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FangSong_GB2312" w:hAnsi="FangSong_GB2312" w:eastAsia="FangSong_GB2312" w:cs="FangSong_GB2312"/>
          <w:sz w:val="36"/>
          <w:szCs w:val="36"/>
        </w:rPr>
      </w:pPr>
    </w:p>
    <w:p>
      <w:pPr>
        <w:rPr>
          <w:rFonts w:ascii="FangSong_GB2312" w:hAnsi="FangSong_GB2312" w:eastAsia="FangSong_GB2312" w:cs="FangSong_GB2312"/>
          <w:sz w:val="36"/>
          <w:szCs w:val="36"/>
        </w:rPr>
      </w:pPr>
    </w:p>
    <w:p>
      <w:pPr>
        <w:rPr>
          <w:rFonts w:ascii="FangSong_GB2312" w:hAnsi="FangSong_GB2312" w:eastAsia="FangSong_GB2312" w:cs="FangSong_GB2312"/>
          <w:sz w:val="36"/>
          <w:szCs w:val="36"/>
        </w:rPr>
      </w:pPr>
    </w:p>
    <w:p>
      <w:pPr>
        <w:rPr>
          <w:rFonts w:ascii="FangSong_GB2312" w:hAnsi="FangSong_GB2312" w:eastAsia="FangSong_GB2312" w:cs="FangSong_GB2312"/>
          <w:sz w:val="36"/>
          <w:szCs w:val="36"/>
        </w:rPr>
      </w:pPr>
    </w:p>
    <w:p>
      <w:pPr>
        <w:adjustRightInd w:val="0"/>
        <w:snapToGrid w:val="0"/>
        <w:jc w:val="center"/>
        <w:outlineLvl w:val="0"/>
        <w:rPr>
          <w:rFonts w:ascii="方正小标宋_GBK" w:eastAsia="方正小标宋_GBK"/>
          <w:bCs/>
          <w:sz w:val="72"/>
          <w:szCs w:val="72"/>
        </w:rPr>
      </w:pPr>
      <w:bookmarkStart w:id="0" w:name="_Toc104299245"/>
      <w:bookmarkStart w:id="1" w:name="_Toc104298938"/>
      <w:r>
        <w:rPr>
          <w:rFonts w:hint="eastAsia" w:ascii="方正小标宋_GBK" w:eastAsia="方正小标宋_GBK"/>
          <w:bCs/>
          <w:sz w:val="72"/>
          <w:szCs w:val="72"/>
        </w:rPr>
        <w:t>建设项目环境影响报告表</w:t>
      </w:r>
      <w:bookmarkEnd w:id="0"/>
      <w:bookmarkEnd w:id="1"/>
    </w:p>
    <w:p>
      <w:pPr>
        <w:adjustRightInd w:val="0"/>
        <w:snapToGrid w:val="0"/>
        <w:spacing w:beforeLines="80"/>
        <w:jc w:val="center"/>
        <w:rPr>
          <w:rFonts w:ascii="楷体_GB2312" w:eastAsia="楷体_GB2312"/>
          <w:bCs/>
          <w:sz w:val="48"/>
          <w:szCs w:val="48"/>
        </w:rPr>
      </w:pPr>
      <w:r>
        <w:rPr>
          <w:rFonts w:hint="eastAsia" w:ascii="楷体_GB2312" w:eastAsia="楷体_GB2312"/>
          <w:bCs/>
          <w:sz w:val="48"/>
          <w:szCs w:val="48"/>
        </w:rPr>
        <w:t>（污染影响类）</w:t>
      </w:r>
    </w:p>
    <w:p>
      <w:pPr>
        <w:adjustRightInd w:val="0"/>
        <w:snapToGrid w:val="0"/>
        <w:spacing w:line="288" w:lineRule="auto"/>
        <w:jc w:val="center"/>
        <w:outlineLvl w:val="0"/>
        <w:rPr>
          <w:rFonts w:ascii="华文仿宋" w:hAnsi="华文仿宋" w:eastAsia="华文仿宋" w:cs="华文仿宋"/>
          <w:color w:val="000000"/>
          <w:kern w:val="44"/>
          <w:sz w:val="44"/>
          <w:szCs w:val="44"/>
        </w:rPr>
      </w:pPr>
    </w:p>
    <w:p>
      <w:pPr>
        <w:jc w:val="center"/>
        <w:rPr>
          <w:rFonts w:eastAsia="仿宋"/>
          <w:sz w:val="52"/>
          <w:szCs w:val="52"/>
        </w:rPr>
      </w:pPr>
    </w:p>
    <w:p>
      <w:pPr>
        <w:ind w:firstLine="1040"/>
        <w:rPr>
          <w:rFonts w:eastAsia="仿宋"/>
          <w:sz w:val="44"/>
          <w:szCs w:val="44"/>
        </w:rPr>
      </w:pPr>
    </w:p>
    <w:p>
      <w:pPr>
        <w:ind w:firstLine="1040"/>
        <w:rPr>
          <w:rFonts w:eastAsia="仿宋"/>
          <w:sz w:val="44"/>
          <w:szCs w:val="44"/>
        </w:rPr>
      </w:pPr>
    </w:p>
    <w:p>
      <w:pPr>
        <w:ind w:firstLine="1040"/>
        <w:jc w:val="center"/>
        <w:rPr>
          <w:rFonts w:eastAsia="仿宋"/>
          <w:sz w:val="44"/>
          <w:szCs w:val="44"/>
        </w:rPr>
      </w:pPr>
    </w:p>
    <w:p>
      <w:pPr>
        <w:ind w:firstLine="1040"/>
        <w:rPr>
          <w:rFonts w:eastAsia="仿宋"/>
          <w:sz w:val="44"/>
          <w:szCs w:val="44"/>
        </w:rPr>
      </w:pPr>
    </w:p>
    <w:p>
      <w:pPr>
        <w:adjustRightInd w:val="0"/>
        <w:snapToGrid w:val="0"/>
        <w:spacing w:line="288" w:lineRule="auto"/>
        <w:ind w:firstLine="360" w:firstLineChars="100"/>
        <w:rPr>
          <w:rFonts w:ascii="宋体" w:hAnsi="宋体"/>
          <w:sz w:val="36"/>
          <w:szCs w:val="36"/>
          <w:u w:val="single"/>
        </w:rPr>
      </w:pPr>
      <w:r>
        <w:rPr>
          <w:rFonts w:hint="eastAsia" w:ascii="宋体" w:hAnsi="宋体"/>
          <w:sz w:val="36"/>
          <w:szCs w:val="36"/>
        </w:rPr>
        <w:t>项目名称：</w:t>
      </w:r>
      <w:r>
        <w:rPr>
          <w:rFonts w:hint="eastAsia" w:ascii="宋体" w:hAnsi="宋体"/>
          <w:sz w:val="36"/>
          <w:szCs w:val="36"/>
          <w:u w:val="single"/>
        </w:rPr>
        <w:t xml:space="preserve">    年产</w:t>
      </w:r>
      <w:r>
        <w:rPr>
          <w:sz w:val="36"/>
          <w:szCs w:val="36"/>
          <w:u w:val="single"/>
        </w:rPr>
        <w:t>2000</w:t>
      </w:r>
      <w:r>
        <w:rPr>
          <w:rFonts w:hAnsi="宋体"/>
          <w:sz w:val="36"/>
          <w:szCs w:val="36"/>
          <w:u w:val="single"/>
        </w:rPr>
        <w:t>万只连接</w:t>
      </w:r>
      <w:r>
        <w:rPr>
          <w:rFonts w:hint="eastAsia" w:ascii="宋体" w:hAnsi="宋体"/>
          <w:sz w:val="36"/>
          <w:szCs w:val="36"/>
          <w:u w:val="single"/>
        </w:rPr>
        <w:t xml:space="preserve">器项目     </w:t>
      </w:r>
    </w:p>
    <w:p>
      <w:pPr>
        <w:adjustRightInd w:val="0"/>
        <w:snapToGrid w:val="0"/>
        <w:spacing w:line="288" w:lineRule="auto"/>
        <w:ind w:firstLine="360" w:firstLineChars="100"/>
        <w:rPr>
          <w:rFonts w:ascii="宋体" w:hAnsi="宋体"/>
          <w:sz w:val="36"/>
          <w:szCs w:val="36"/>
          <w:u w:val="single"/>
        </w:rPr>
      </w:pPr>
      <w:r>
        <w:rPr>
          <w:rFonts w:hint="eastAsia" w:ascii="宋体" w:hAnsi="宋体"/>
          <w:sz w:val="36"/>
          <w:szCs w:val="36"/>
        </w:rPr>
        <w:t>建设单位（盖章）：</w:t>
      </w:r>
      <w:r>
        <w:rPr>
          <w:rFonts w:hint="eastAsia" w:ascii="宋体" w:hAnsi="宋体"/>
          <w:sz w:val="36"/>
          <w:szCs w:val="36"/>
          <w:u w:val="single"/>
        </w:rPr>
        <w:t xml:space="preserve"> 常州市润伦机械有限公司  </w:t>
      </w:r>
    </w:p>
    <w:p>
      <w:pPr>
        <w:adjustRightInd w:val="0"/>
        <w:snapToGrid w:val="0"/>
        <w:spacing w:line="288" w:lineRule="auto"/>
        <w:ind w:firstLine="360" w:firstLineChars="100"/>
        <w:rPr>
          <w:rFonts w:ascii="宋体" w:hAnsi="宋体"/>
          <w:sz w:val="36"/>
          <w:szCs w:val="36"/>
          <w:u w:val="single"/>
        </w:rPr>
      </w:pPr>
      <w:r>
        <w:rPr>
          <w:rFonts w:hint="eastAsia" w:ascii="宋体" w:hAnsi="宋体"/>
          <w:sz w:val="36"/>
          <w:szCs w:val="36"/>
        </w:rPr>
        <w:t>编制日期：</w:t>
      </w:r>
      <w:r>
        <w:rPr>
          <w:rFonts w:hint="eastAsia" w:ascii="宋体" w:hAnsi="宋体"/>
          <w:sz w:val="36"/>
          <w:szCs w:val="36"/>
          <w:u w:val="single"/>
        </w:rPr>
        <w:t xml:space="preserve"> </w:t>
      </w:r>
      <w:r>
        <w:rPr>
          <w:rFonts w:ascii="宋体" w:hAnsi="宋体"/>
          <w:sz w:val="36"/>
          <w:szCs w:val="36"/>
          <w:u w:val="single"/>
        </w:rPr>
        <w:t xml:space="preserve">        </w:t>
      </w:r>
      <w:r>
        <w:rPr>
          <w:rFonts w:hint="eastAsia" w:ascii="宋体" w:hAnsi="宋体"/>
          <w:sz w:val="36"/>
          <w:szCs w:val="36"/>
          <w:u w:val="single"/>
        </w:rPr>
        <w:t xml:space="preserve">   </w:t>
      </w:r>
      <w:r>
        <w:rPr>
          <w:sz w:val="36"/>
          <w:szCs w:val="36"/>
          <w:u w:val="single"/>
        </w:rPr>
        <w:t>202</w:t>
      </w:r>
      <w:r>
        <w:rPr>
          <w:rFonts w:hint="eastAsia"/>
          <w:sz w:val="36"/>
          <w:szCs w:val="36"/>
          <w:u w:val="single"/>
        </w:rPr>
        <w:t>2</w:t>
      </w:r>
      <w:r>
        <w:rPr>
          <w:sz w:val="36"/>
          <w:szCs w:val="36"/>
          <w:u w:val="single"/>
        </w:rPr>
        <w:t>年</w:t>
      </w:r>
      <w:r>
        <w:rPr>
          <w:rFonts w:hint="eastAsia"/>
          <w:sz w:val="36"/>
          <w:szCs w:val="36"/>
          <w:u w:val="single"/>
        </w:rPr>
        <w:t>5</w:t>
      </w:r>
      <w:r>
        <w:rPr>
          <w:sz w:val="36"/>
          <w:szCs w:val="36"/>
          <w:u w:val="single"/>
        </w:rPr>
        <w:t>月</w:t>
      </w:r>
      <w:r>
        <w:rPr>
          <w:rFonts w:ascii="宋体" w:hAnsi="宋体"/>
          <w:sz w:val="36"/>
          <w:szCs w:val="36"/>
          <w:u w:val="single"/>
        </w:rPr>
        <w:t xml:space="preserve">        </w:t>
      </w:r>
      <w:r>
        <w:rPr>
          <w:rFonts w:hint="eastAsia" w:ascii="宋体" w:hAnsi="宋体"/>
          <w:sz w:val="36"/>
          <w:szCs w:val="36"/>
          <w:u w:val="single"/>
        </w:rPr>
        <w:t xml:space="preserve">  </w:t>
      </w:r>
    </w:p>
    <w:p>
      <w:pPr>
        <w:adjustRightInd w:val="0"/>
        <w:snapToGrid w:val="0"/>
        <w:spacing w:line="288" w:lineRule="auto"/>
        <w:ind w:firstLine="1040"/>
        <w:rPr>
          <w:rFonts w:ascii="FangSong_GB2312" w:eastAsia="FangSong_GB2312"/>
          <w:sz w:val="36"/>
          <w:szCs w:val="36"/>
          <w:u w:val="single"/>
        </w:rPr>
      </w:pPr>
      <w:bookmarkStart w:id="2" w:name="_Hlk57884087"/>
    </w:p>
    <w:p>
      <w:pPr>
        <w:adjustRightInd w:val="0"/>
        <w:snapToGrid w:val="0"/>
        <w:spacing w:line="288" w:lineRule="auto"/>
        <w:rPr>
          <w:rFonts w:ascii="FangSong_GB2312" w:eastAsia="FangSong_GB2312"/>
          <w:sz w:val="36"/>
          <w:szCs w:val="36"/>
        </w:rPr>
      </w:pPr>
    </w:p>
    <w:p>
      <w:pPr>
        <w:adjustRightInd w:val="0"/>
        <w:snapToGrid w:val="0"/>
        <w:spacing w:line="288" w:lineRule="auto"/>
        <w:rPr>
          <w:rFonts w:ascii="FangSong_GB2312" w:eastAsia="FangSong_GB2312"/>
          <w:sz w:val="36"/>
          <w:szCs w:val="36"/>
        </w:rPr>
      </w:pPr>
    </w:p>
    <w:p>
      <w:pPr>
        <w:adjustRightInd w:val="0"/>
        <w:snapToGrid w:val="0"/>
        <w:spacing w:line="288" w:lineRule="auto"/>
        <w:rPr>
          <w:rFonts w:ascii="FangSong_GB2312" w:eastAsia="FangSong_GB2312"/>
          <w:sz w:val="36"/>
          <w:szCs w:val="36"/>
        </w:rPr>
      </w:pPr>
    </w:p>
    <w:bookmarkEnd w:id="2"/>
    <w:p>
      <w:pPr>
        <w:adjustRightInd w:val="0"/>
        <w:snapToGrid w:val="0"/>
        <w:spacing w:line="288" w:lineRule="auto"/>
        <w:jc w:val="center"/>
        <w:rPr>
          <w:rFonts w:ascii="楷体_GB2312" w:eastAsia="楷体_GB2312"/>
          <w:sz w:val="36"/>
          <w:szCs w:val="36"/>
        </w:rPr>
      </w:pPr>
      <w:r>
        <w:rPr>
          <w:rFonts w:hint="eastAsia" w:ascii="楷体_GB2312" w:eastAsia="楷体_GB2312"/>
          <w:sz w:val="36"/>
          <w:szCs w:val="36"/>
        </w:rPr>
        <w:t>中华人民共和国生态环境部制</w:t>
      </w:r>
    </w:p>
    <w:p>
      <w:pPr>
        <w:pStyle w:val="2"/>
        <w:ind w:left="-84" w:firstLine="560"/>
        <w:sectPr>
          <w:headerReference r:id="rId5" w:type="first"/>
          <w:footerReference r:id="rId8" w:type="first"/>
          <w:headerReference r:id="rId3" w:type="default"/>
          <w:footerReference r:id="rId6" w:type="default"/>
          <w:headerReference r:id="rId4" w:type="even"/>
          <w:footerReference r:id="rId7" w:type="even"/>
          <w:pgSz w:w="11906" w:h="16838"/>
          <w:pgMar w:top="1701" w:right="1531" w:bottom="1701" w:left="1531" w:header="851" w:footer="1077" w:gutter="0"/>
          <w:pgNumType w:start="3"/>
          <w:cols w:space="720" w:num="1"/>
          <w:titlePg/>
          <w:docGrid w:linePitch="312" w:charSpace="0"/>
        </w:sectPr>
      </w:pPr>
    </w:p>
    <w:p>
      <w:pPr>
        <w:pStyle w:val="11"/>
        <w:tabs>
          <w:tab w:val="right" w:leader="dot" w:pos="8834"/>
        </w:tabs>
        <w:spacing w:before="0" w:after="0" w:line="480" w:lineRule="auto"/>
        <w:jc w:val="center"/>
        <w:rPr>
          <w:rFonts w:ascii="Times New Roman" w:hAnsi="Times New Roman"/>
          <w:b w:val="0"/>
          <w:bCs w:val="0"/>
          <w:caps w:val="0"/>
          <w:sz w:val="32"/>
          <w:szCs w:val="32"/>
        </w:rPr>
      </w:pPr>
      <w:r>
        <w:rPr>
          <w:rFonts w:ascii="Times New Roman" w:hAnsi="Times New Roman"/>
          <w:b w:val="0"/>
        </w:rPr>
        <w:fldChar w:fldCharType="begin"/>
      </w:r>
      <w:r>
        <w:rPr>
          <w:rFonts w:ascii="Times New Roman" w:hAnsi="Times New Roman"/>
          <w:b w:val="0"/>
        </w:rPr>
        <w:instrText xml:space="preserve"> TOC \o "1-1" \h \z \u </w:instrText>
      </w:r>
      <w:r>
        <w:rPr>
          <w:rFonts w:ascii="Times New Roman" w:hAnsi="Times New Roman"/>
          <w:b w:val="0"/>
        </w:rPr>
        <w:fldChar w:fldCharType="separate"/>
      </w:r>
      <w:r>
        <w:fldChar w:fldCharType="begin"/>
      </w:r>
      <w:r>
        <w:instrText xml:space="preserve"> HYPERLINK \l "_Toc104299245" </w:instrText>
      </w:r>
      <w:r>
        <w:fldChar w:fldCharType="separate"/>
      </w:r>
      <w:r>
        <w:rPr>
          <w:rStyle w:val="27"/>
          <w:rFonts w:hint="eastAsia" w:ascii="Times New Roman" w:hAnsi="宋体"/>
          <w:b w:val="0"/>
          <w:sz w:val="32"/>
          <w:szCs w:val="32"/>
        </w:rPr>
        <w:t>目录</w:t>
      </w:r>
      <w:r>
        <w:rPr>
          <w:rStyle w:val="27"/>
          <w:rFonts w:hint="eastAsia" w:ascii="Times New Roman" w:hAnsi="宋体"/>
          <w:b w:val="0"/>
          <w:sz w:val="32"/>
          <w:szCs w:val="32"/>
        </w:rPr>
        <w:fldChar w:fldCharType="end"/>
      </w:r>
    </w:p>
    <w:p>
      <w:pPr>
        <w:pStyle w:val="11"/>
        <w:tabs>
          <w:tab w:val="right" w:leader="dot" w:pos="8834"/>
        </w:tabs>
        <w:spacing w:before="0" w:after="0" w:line="480" w:lineRule="auto"/>
        <w:rPr>
          <w:rFonts w:ascii="Times New Roman" w:hAnsi="Times New Roman"/>
          <w:b w:val="0"/>
          <w:bCs w:val="0"/>
          <w:caps w:val="0"/>
          <w:sz w:val="24"/>
          <w:szCs w:val="24"/>
        </w:rPr>
      </w:pPr>
      <w:r>
        <w:fldChar w:fldCharType="begin"/>
      </w:r>
      <w:r>
        <w:instrText xml:space="preserve"> HYPERLINK \l "_Toc104299246" </w:instrText>
      </w:r>
      <w:r>
        <w:fldChar w:fldCharType="separate"/>
      </w:r>
      <w:r>
        <w:rPr>
          <w:rStyle w:val="27"/>
          <w:rFonts w:ascii="Times New Roman" w:hAnsi="宋体"/>
          <w:b w:val="0"/>
          <w:snapToGrid w:val="0"/>
          <w:sz w:val="24"/>
          <w:szCs w:val="24"/>
        </w:rPr>
        <w:t>一、建设项目基本情况</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_Toc104299246 \h </w:instrText>
      </w:r>
      <w:r>
        <w:rPr>
          <w:rFonts w:ascii="Times New Roman" w:hAnsi="Times New Roman"/>
          <w:b w:val="0"/>
          <w:sz w:val="24"/>
          <w:szCs w:val="24"/>
        </w:rPr>
        <w:fldChar w:fldCharType="separate"/>
      </w:r>
      <w:r>
        <w:rPr>
          <w:rFonts w:ascii="Times New Roman" w:hAnsi="Times New Roman"/>
          <w:b w:val="0"/>
          <w:sz w:val="24"/>
          <w:szCs w:val="24"/>
        </w:rPr>
        <w:t>1</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11"/>
        <w:tabs>
          <w:tab w:val="right" w:leader="dot" w:pos="8834"/>
        </w:tabs>
        <w:spacing w:before="0" w:after="0" w:line="480" w:lineRule="auto"/>
        <w:rPr>
          <w:rFonts w:ascii="Times New Roman" w:hAnsi="Times New Roman"/>
          <w:b w:val="0"/>
          <w:bCs w:val="0"/>
          <w:caps w:val="0"/>
          <w:sz w:val="24"/>
          <w:szCs w:val="24"/>
        </w:rPr>
      </w:pPr>
      <w:r>
        <w:fldChar w:fldCharType="begin"/>
      </w:r>
      <w:r>
        <w:instrText xml:space="preserve"> HYPERLINK \l "_Toc104299247" </w:instrText>
      </w:r>
      <w:r>
        <w:fldChar w:fldCharType="separate"/>
      </w:r>
      <w:r>
        <w:rPr>
          <w:rStyle w:val="27"/>
          <w:rFonts w:ascii="Times New Roman" w:hAnsi="宋体"/>
          <w:b w:val="0"/>
          <w:snapToGrid w:val="0"/>
          <w:sz w:val="24"/>
          <w:szCs w:val="24"/>
        </w:rPr>
        <w:t>二、建设项目工程分析</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_Toc104299247 \h </w:instrText>
      </w:r>
      <w:r>
        <w:rPr>
          <w:rFonts w:ascii="Times New Roman" w:hAnsi="Times New Roman"/>
          <w:b w:val="0"/>
          <w:sz w:val="24"/>
          <w:szCs w:val="24"/>
        </w:rPr>
        <w:fldChar w:fldCharType="separate"/>
      </w:r>
      <w:r>
        <w:rPr>
          <w:rFonts w:ascii="Times New Roman" w:hAnsi="Times New Roman"/>
          <w:b w:val="0"/>
          <w:sz w:val="24"/>
          <w:szCs w:val="24"/>
        </w:rPr>
        <w:t>13</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11"/>
        <w:tabs>
          <w:tab w:val="right" w:leader="dot" w:pos="8834"/>
        </w:tabs>
        <w:spacing w:before="0" w:after="0" w:line="480" w:lineRule="auto"/>
        <w:rPr>
          <w:rFonts w:ascii="Times New Roman" w:hAnsi="Times New Roman"/>
          <w:b w:val="0"/>
          <w:bCs w:val="0"/>
          <w:caps w:val="0"/>
          <w:sz w:val="24"/>
          <w:szCs w:val="24"/>
        </w:rPr>
      </w:pPr>
      <w:r>
        <w:fldChar w:fldCharType="begin"/>
      </w:r>
      <w:r>
        <w:instrText xml:space="preserve"> HYPERLINK \l "_Toc104299248" </w:instrText>
      </w:r>
      <w:r>
        <w:fldChar w:fldCharType="separate"/>
      </w:r>
      <w:r>
        <w:rPr>
          <w:rStyle w:val="27"/>
          <w:rFonts w:ascii="Times New Roman" w:hAnsi="宋体"/>
          <w:b w:val="0"/>
          <w:snapToGrid w:val="0"/>
          <w:sz w:val="24"/>
          <w:szCs w:val="24"/>
        </w:rPr>
        <w:t>三、区域环境质量现状、环境保护目标及评价标准</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_Toc104299248 \h </w:instrText>
      </w:r>
      <w:r>
        <w:rPr>
          <w:rFonts w:ascii="Times New Roman" w:hAnsi="Times New Roman"/>
          <w:b w:val="0"/>
          <w:sz w:val="24"/>
          <w:szCs w:val="24"/>
        </w:rPr>
        <w:fldChar w:fldCharType="separate"/>
      </w:r>
      <w:r>
        <w:rPr>
          <w:rFonts w:ascii="Times New Roman" w:hAnsi="Times New Roman"/>
          <w:b w:val="0"/>
          <w:sz w:val="24"/>
          <w:szCs w:val="24"/>
        </w:rPr>
        <w:t>21</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11"/>
        <w:tabs>
          <w:tab w:val="right" w:leader="dot" w:pos="8834"/>
        </w:tabs>
        <w:spacing w:before="0" w:after="0" w:line="480" w:lineRule="auto"/>
        <w:rPr>
          <w:rFonts w:ascii="Times New Roman" w:hAnsi="Times New Roman"/>
          <w:b w:val="0"/>
          <w:bCs w:val="0"/>
          <w:caps w:val="0"/>
          <w:sz w:val="24"/>
          <w:szCs w:val="24"/>
        </w:rPr>
      </w:pPr>
      <w:r>
        <w:fldChar w:fldCharType="begin"/>
      </w:r>
      <w:r>
        <w:instrText xml:space="preserve"> HYPERLINK \l "_Toc104299249" </w:instrText>
      </w:r>
      <w:r>
        <w:fldChar w:fldCharType="separate"/>
      </w:r>
      <w:r>
        <w:rPr>
          <w:rStyle w:val="27"/>
          <w:rFonts w:ascii="Times New Roman" w:hAnsi="宋体"/>
          <w:b w:val="0"/>
          <w:snapToGrid w:val="0"/>
          <w:sz w:val="24"/>
          <w:szCs w:val="24"/>
        </w:rPr>
        <w:t>四、主要环境影响和保护措施</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_Toc104299249 \h </w:instrText>
      </w:r>
      <w:r>
        <w:rPr>
          <w:rFonts w:ascii="Times New Roman" w:hAnsi="Times New Roman"/>
          <w:b w:val="0"/>
          <w:sz w:val="24"/>
          <w:szCs w:val="24"/>
        </w:rPr>
        <w:fldChar w:fldCharType="separate"/>
      </w:r>
      <w:r>
        <w:rPr>
          <w:rFonts w:ascii="Times New Roman" w:hAnsi="Times New Roman"/>
          <w:b w:val="0"/>
          <w:sz w:val="24"/>
          <w:szCs w:val="24"/>
        </w:rPr>
        <w:t>29</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11"/>
        <w:tabs>
          <w:tab w:val="right" w:leader="dot" w:pos="8834"/>
        </w:tabs>
        <w:spacing w:before="0" w:after="0" w:line="480" w:lineRule="auto"/>
        <w:rPr>
          <w:rFonts w:ascii="Times New Roman" w:hAnsi="Times New Roman"/>
          <w:b w:val="0"/>
          <w:bCs w:val="0"/>
          <w:caps w:val="0"/>
          <w:sz w:val="24"/>
          <w:szCs w:val="24"/>
        </w:rPr>
      </w:pPr>
      <w:r>
        <w:fldChar w:fldCharType="begin"/>
      </w:r>
      <w:r>
        <w:instrText xml:space="preserve"> HYPERLINK \l "_Toc104299250" </w:instrText>
      </w:r>
      <w:r>
        <w:fldChar w:fldCharType="separate"/>
      </w:r>
      <w:r>
        <w:rPr>
          <w:rStyle w:val="27"/>
          <w:rFonts w:ascii="Times New Roman" w:hAnsi="宋体"/>
          <w:b w:val="0"/>
          <w:snapToGrid w:val="0"/>
          <w:sz w:val="24"/>
          <w:szCs w:val="24"/>
        </w:rPr>
        <w:t>五、环境保护措施监督检查清单</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_Toc104299250 \h </w:instrText>
      </w:r>
      <w:r>
        <w:rPr>
          <w:rFonts w:ascii="Times New Roman" w:hAnsi="Times New Roman"/>
          <w:b w:val="0"/>
          <w:sz w:val="24"/>
          <w:szCs w:val="24"/>
        </w:rPr>
        <w:fldChar w:fldCharType="separate"/>
      </w:r>
      <w:r>
        <w:rPr>
          <w:rFonts w:ascii="Times New Roman" w:hAnsi="Times New Roman"/>
          <w:b w:val="0"/>
          <w:sz w:val="24"/>
          <w:szCs w:val="24"/>
        </w:rPr>
        <w:t>50</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11"/>
        <w:tabs>
          <w:tab w:val="right" w:leader="dot" w:pos="8834"/>
        </w:tabs>
        <w:spacing w:before="0" w:after="0" w:line="480" w:lineRule="auto"/>
        <w:rPr>
          <w:rFonts w:ascii="Times New Roman" w:hAnsi="Times New Roman"/>
          <w:b w:val="0"/>
          <w:bCs w:val="0"/>
          <w:caps w:val="0"/>
          <w:sz w:val="24"/>
          <w:szCs w:val="24"/>
        </w:rPr>
      </w:pPr>
      <w:r>
        <w:fldChar w:fldCharType="begin"/>
      </w:r>
      <w:r>
        <w:instrText xml:space="preserve"> HYPERLINK \l "_Toc104299251" </w:instrText>
      </w:r>
      <w:r>
        <w:fldChar w:fldCharType="separate"/>
      </w:r>
      <w:r>
        <w:rPr>
          <w:rStyle w:val="27"/>
          <w:rFonts w:ascii="Times New Roman" w:hAnsi="宋体"/>
          <w:b w:val="0"/>
          <w:snapToGrid w:val="0"/>
          <w:sz w:val="24"/>
          <w:szCs w:val="24"/>
        </w:rPr>
        <w:t>六、结论</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_Toc104299251 \h </w:instrText>
      </w:r>
      <w:r>
        <w:rPr>
          <w:rFonts w:ascii="Times New Roman" w:hAnsi="Times New Roman"/>
          <w:b w:val="0"/>
          <w:sz w:val="24"/>
          <w:szCs w:val="24"/>
        </w:rPr>
        <w:fldChar w:fldCharType="separate"/>
      </w:r>
      <w:r>
        <w:rPr>
          <w:rFonts w:ascii="Times New Roman" w:hAnsi="Times New Roman"/>
          <w:b w:val="0"/>
          <w:sz w:val="24"/>
          <w:szCs w:val="24"/>
        </w:rPr>
        <w:t>52</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11"/>
        <w:tabs>
          <w:tab w:val="right" w:leader="dot" w:pos="8834"/>
        </w:tabs>
        <w:spacing w:before="0" w:after="0" w:line="480" w:lineRule="auto"/>
        <w:rPr>
          <w:rFonts w:ascii="Times New Roman" w:hAnsi="Times New Roman"/>
          <w:b w:val="0"/>
          <w:bCs w:val="0"/>
          <w:caps w:val="0"/>
          <w:sz w:val="24"/>
          <w:szCs w:val="24"/>
        </w:rPr>
      </w:pPr>
      <w:r>
        <w:fldChar w:fldCharType="begin"/>
      </w:r>
      <w:r>
        <w:instrText xml:space="preserve"> HYPERLINK \l "_Toc104299252" </w:instrText>
      </w:r>
      <w:r>
        <w:fldChar w:fldCharType="separate"/>
      </w:r>
      <w:r>
        <w:rPr>
          <w:rStyle w:val="27"/>
          <w:rFonts w:ascii="Times New Roman" w:hAnsi="宋体"/>
          <w:b w:val="0"/>
          <w:snapToGrid w:val="0"/>
          <w:sz w:val="24"/>
          <w:szCs w:val="24"/>
        </w:rPr>
        <w:t>附表</w:t>
      </w:r>
      <w:r>
        <w:rPr>
          <w:rFonts w:ascii="Times New Roman" w:hAnsi="Times New Roman"/>
          <w:b w:val="0"/>
          <w:sz w:val="24"/>
          <w:szCs w:val="24"/>
        </w:rPr>
        <w:tab/>
      </w:r>
      <w:r>
        <w:rPr>
          <w:rFonts w:ascii="Times New Roman" w:hAnsi="Times New Roman"/>
          <w:b w:val="0"/>
          <w:sz w:val="24"/>
          <w:szCs w:val="24"/>
        </w:rPr>
        <w:fldChar w:fldCharType="begin"/>
      </w:r>
      <w:r>
        <w:rPr>
          <w:rFonts w:ascii="Times New Roman" w:hAnsi="Times New Roman"/>
          <w:b w:val="0"/>
          <w:sz w:val="24"/>
          <w:szCs w:val="24"/>
        </w:rPr>
        <w:instrText xml:space="preserve"> PAGEREF _Toc104299252 \h </w:instrText>
      </w:r>
      <w:r>
        <w:rPr>
          <w:rFonts w:ascii="Times New Roman" w:hAnsi="Times New Roman"/>
          <w:b w:val="0"/>
          <w:sz w:val="24"/>
          <w:szCs w:val="24"/>
        </w:rPr>
        <w:fldChar w:fldCharType="separate"/>
      </w:r>
      <w:r>
        <w:rPr>
          <w:rFonts w:ascii="Times New Roman" w:hAnsi="Times New Roman"/>
          <w:b w:val="0"/>
          <w:sz w:val="24"/>
          <w:szCs w:val="24"/>
        </w:rPr>
        <w:t>53</w:t>
      </w:r>
      <w:r>
        <w:rPr>
          <w:rFonts w:ascii="Times New Roman" w:hAnsi="Times New Roman"/>
          <w:b w:val="0"/>
          <w:sz w:val="24"/>
          <w:szCs w:val="24"/>
        </w:rPr>
        <w:fldChar w:fldCharType="end"/>
      </w:r>
      <w:r>
        <w:rPr>
          <w:rFonts w:ascii="Times New Roman" w:hAnsi="Times New Roman"/>
          <w:b w:val="0"/>
          <w:sz w:val="24"/>
          <w:szCs w:val="24"/>
        </w:rPr>
        <w:fldChar w:fldCharType="end"/>
      </w:r>
    </w:p>
    <w:p>
      <w:pPr>
        <w:pStyle w:val="2"/>
        <w:spacing w:line="480" w:lineRule="auto"/>
        <w:ind w:left="-84" w:firstLine="560"/>
      </w:pPr>
      <w:r>
        <w:rPr>
          <w:rFonts w:ascii="Times New Roman" w:hAnsi="Times New Roman" w:eastAsia="宋体" w:cs="Times New Roman"/>
        </w:rPr>
        <w:fldChar w:fldCharType="end"/>
      </w:r>
    </w:p>
    <w:p>
      <w:pPr>
        <w:pStyle w:val="2"/>
        <w:ind w:left="-84" w:firstLine="560"/>
      </w:pPr>
    </w:p>
    <w:p>
      <w:pPr>
        <w:pStyle w:val="2"/>
        <w:ind w:left="-84" w:firstLine="560"/>
        <w:sectPr>
          <w:pgSz w:w="11906" w:h="16838"/>
          <w:pgMar w:top="1701" w:right="1531" w:bottom="1701" w:left="1531" w:header="851" w:footer="1077" w:gutter="0"/>
          <w:pgNumType w:start="3"/>
          <w:cols w:space="720" w:num="1"/>
          <w:titlePg/>
          <w:docGrid w:linePitch="312" w:charSpace="0"/>
        </w:sectPr>
      </w:pPr>
    </w:p>
    <w:p>
      <w:pPr>
        <w:pStyle w:val="19"/>
        <w:spacing w:before="0" w:beforeAutospacing="0" w:after="0" w:afterAutospacing="0"/>
        <w:contextualSpacing/>
        <w:jc w:val="center"/>
        <w:outlineLvl w:val="0"/>
        <w:rPr>
          <w:rFonts w:ascii="黑体" w:hAnsi="黑体" w:eastAsia="黑体"/>
          <w:snapToGrid w:val="0"/>
          <w:sz w:val="30"/>
          <w:szCs w:val="30"/>
        </w:rPr>
      </w:pPr>
      <w:bookmarkStart w:id="3" w:name="_Toc104298939"/>
      <w:bookmarkStart w:id="4" w:name="_Toc104299246"/>
      <w:r>
        <w:rPr>
          <w:rFonts w:hint="eastAsia" w:ascii="黑体" w:hAnsi="黑体" w:eastAsia="黑体"/>
          <w:snapToGrid w:val="0"/>
          <w:sz w:val="30"/>
          <w:szCs w:val="30"/>
        </w:rPr>
        <w:t>一、建设项目基本情况</w:t>
      </w:r>
      <w:bookmarkEnd w:id="3"/>
      <w:bookmarkEnd w:id="4"/>
    </w:p>
    <w:tbl>
      <w:tblPr>
        <w:tblStyle w:val="22"/>
        <w:tblW w:w="90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539"/>
        <w:gridCol w:w="1887"/>
        <w:gridCol w:w="1637"/>
        <w:gridCol w:w="2212"/>
        <w:gridCol w:w="2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建设项目名称</w:t>
            </w:r>
          </w:p>
        </w:tc>
        <w:tc>
          <w:tcPr>
            <w:tcW w:w="6625" w:type="dxa"/>
            <w:gridSpan w:val="3"/>
            <w:vAlign w:val="center"/>
          </w:tcPr>
          <w:p>
            <w:pPr>
              <w:adjustRightInd w:val="0"/>
              <w:snapToGrid w:val="0"/>
              <w:jc w:val="center"/>
              <w:rPr>
                <w:szCs w:val="21"/>
              </w:rPr>
            </w:pPr>
            <w:r>
              <w:rPr>
                <w:rFonts w:hint="eastAsia"/>
                <w:szCs w:val="21"/>
              </w:rPr>
              <w:t>年产2000万只连接器项目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项目代码</w:t>
            </w:r>
          </w:p>
        </w:tc>
        <w:tc>
          <w:tcPr>
            <w:tcW w:w="6625" w:type="dxa"/>
            <w:gridSpan w:val="3"/>
            <w:vAlign w:val="center"/>
          </w:tcPr>
          <w:p>
            <w:pPr>
              <w:adjustRightInd w:val="0"/>
              <w:snapToGrid w:val="0"/>
              <w:jc w:val="center"/>
              <w:rPr>
                <w:szCs w:val="21"/>
              </w:rPr>
            </w:pPr>
            <w:r>
              <w:rPr>
                <w:szCs w:val="21"/>
              </w:rPr>
              <w:t>2204-320412-89-03-840287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建设单位联系人</w:t>
            </w:r>
          </w:p>
        </w:tc>
        <w:tc>
          <w:tcPr>
            <w:tcW w:w="1637" w:type="dxa"/>
            <w:vAlign w:val="center"/>
          </w:tcPr>
          <w:p>
            <w:pPr>
              <w:adjustRightInd w:val="0"/>
              <w:snapToGrid w:val="0"/>
              <w:jc w:val="center"/>
              <w:rPr>
                <w:szCs w:val="21"/>
              </w:rPr>
            </w:pPr>
            <w:r>
              <w:rPr>
                <w:rFonts w:hint="eastAsia"/>
                <w:szCs w:val="21"/>
              </w:rPr>
              <w:t>朱效付</w:t>
            </w:r>
          </w:p>
        </w:tc>
        <w:tc>
          <w:tcPr>
            <w:tcW w:w="2212" w:type="dxa"/>
            <w:vAlign w:val="center"/>
          </w:tcPr>
          <w:p>
            <w:pPr>
              <w:adjustRightInd w:val="0"/>
              <w:snapToGrid w:val="0"/>
              <w:jc w:val="center"/>
              <w:rPr>
                <w:szCs w:val="21"/>
              </w:rPr>
            </w:pPr>
            <w:r>
              <w:rPr>
                <w:rFonts w:hAnsi="宋体"/>
                <w:szCs w:val="21"/>
              </w:rPr>
              <w:t>联系方式</w:t>
            </w:r>
          </w:p>
        </w:tc>
        <w:tc>
          <w:tcPr>
            <w:tcW w:w="2776" w:type="dxa"/>
            <w:vAlign w:val="center"/>
          </w:tcPr>
          <w:p>
            <w:pPr>
              <w:adjustRightInd w:val="0"/>
              <w:snapToGrid w:val="0"/>
              <w:jc w:val="center"/>
              <w:rPr>
                <w:rFonts w:ascii="宋体" w:hAnsi="宋体"/>
                <w:szCs w:val="21"/>
              </w:rPr>
            </w:pPr>
            <w:r>
              <w:rPr>
                <w:szCs w:val="21"/>
              </w:rPr>
              <w:t>13701598678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建设地点</w:t>
            </w:r>
          </w:p>
        </w:tc>
        <w:tc>
          <w:tcPr>
            <w:tcW w:w="6625" w:type="dxa"/>
            <w:gridSpan w:val="3"/>
            <w:vAlign w:val="center"/>
          </w:tcPr>
          <w:p>
            <w:pPr>
              <w:adjustRightInd w:val="0"/>
              <w:snapToGrid w:val="0"/>
              <w:jc w:val="center"/>
              <w:rPr>
                <w:szCs w:val="21"/>
              </w:rPr>
            </w:pPr>
            <w:r>
              <w:rPr>
                <w:rFonts w:hint="eastAsia"/>
              </w:rPr>
              <w:t>江苏省常州市武进区湖塘镇三勤社区何家组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地理坐标</w:t>
            </w:r>
          </w:p>
        </w:tc>
        <w:tc>
          <w:tcPr>
            <w:tcW w:w="6625" w:type="dxa"/>
            <w:gridSpan w:val="3"/>
            <w:vAlign w:val="center"/>
          </w:tcPr>
          <w:p>
            <w:pPr>
              <w:jc w:val="center"/>
              <w:rPr>
                <w:szCs w:val="21"/>
              </w:rPr>
            </w:pPr>
            <w:r>
              <w:rPr>
                <w:rFonts w:hAnsi="宋体"/>
                <w:szCs w:val="21"/>
              </w:rPr>
              <w:t>（</w:t>
            </w:r>
            <w:r>
              <w:rPr>
                <w:szCs w:val="21"/>
                <w:u w:val="single"/>
              </w:rPr>
              <w:t>1</w:t>
            </w:r>
            <w:r>
              <w:rPr>
                <w:rFonts w:hint="eastAsia"/>
                <w:szCs w:val="21"/>
                <w:u w:val="single"/>
              </w:rPr>
              <w:t>19</w:t>
            </w:r>
            <w:r>
              <w:rPr>
                <w:rFonts w:hAnsi="宋体"/>
                <w:szCs w:val="21"/>
              </w:rPr>
              <w:t>度</w:t>
            </w:r>
            <w:r>
              <w:rPr>
                <w:rFonts w:hint="eastAsia"/>
                <w:szCs w:val="21"/>
                <w:u w:val="single"/>
              </w:rPr>
              <w:t>59</w:t>
            </w:r>
            <w:r>
              <w:rPr>
                <w:rFonts w:hAnsi="宋体"/>
                <w:szCs w:val="21"/>
              </w:rPr>
              <w:t>分</w:t>
            </w:r>
            <w:r>
              <w:rPr>
                <w:rFonts w:hint="eastAsia"/>
                <w:szCs w:val="21"/>
                <w:u w:val="single"/>
              </w:rPr>
              <w:t>13.824</w:t>
            </w:r>
            <w:r>
              <w:rPr>
                <w:rFonts w:hAnsi="宋体"/>
                <w:szCs w:val="21"/>
              </w:rPr>
              <w:t>秒，</w:t>
            </w:r>
            <w:r>
              <w:rPr>
                <w:szCs w:val="21"/>
                <w:u w:val="single"/>
              </w:rPr>
              <w:t>31</w:t>
            </w:r>
            <w:r>
              <w:rPr>
                <w:rFonts w:hAnsi="宋体"/>
                <w:szCs w:val="21"/>
              </w:rPr>
              <w:t>度</w:t>
            </w:r>
            <w:r>
              <w:rPr>
                <w:rFonts w:hint="eastAsia"/>
                <w:szCs w:val="21"/>
                <w:u w:val="single"/>
              </w:rPr>
              <w:t>41</w:t>
            </w:r>
            <w:r>
              <w:rPr>
                <w:rFonts w:hAnsi="宋体"/>
                <w:szCs w:val="21"/>
              </w:rPr>
              <w:t>分</w:t>
            </w:r>
            <w:r>
              <w:rPr>
                <w:rFonts w:hint="eastAsia"/>
                <w:szCs w:val="21"/>
                <w:u w:val="single"/>
              </w:rPr>
              <w:t>59.506</w:t>
            </w:r>
            <w:r>
              <w:rPr>
                <w:rFonts w:hAnsi="宋体"/>
                <w:szCs w:val="21"/>
              </w:rPr>
              <w:t>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国民经济</w:t>
            </w:r>
          </w:p>
          <w:p>
            <w:pPr>
              <w:adjustRightInd w:val="0"/>
              <w:snapToGrid w:val="0"/>
              <w:jc w:val="center"/>
              <w:rPr>
                <w:rFonts w:ascii="宋体" w:hAnsi="宋体" w:cs="宋体"/>
                <w:szCs w:val="21"/>
              </w:rPr>
            </w:pPr>
            <w:r>
              <w:rPr>
                <w:rFonts w:hint="eastAsia" w:ascii="宋体" w:hAnsi="宋体" w:cs="宋体"/>
                <w:szCs w:val="21"/>
              </w:rPr>
              <w:t>行业类别</w:t>
            </w:r>
          </w:p>
        </w:tc>
        <w:tc>
          <w:tcPr>
            <w:tcW w:w="1637" w:type="dxa"/>
            <w:vAlign w:val="center"/>
          </w:tcPr>
          <w:p>
            <w:pPr>
              <w:adjustRightInd w:val="0"/>
              <w:snapToGrid w:val="0"/>
              <w:jc w:val="center"/>
              <w:rPr>
                <w:szCs w:val="21"/>
              </w:rPr>
            </w:pPr>
            <w:r>
              <w:rPr>
                <w:rFonts w:eastAsiaTheme="minorEastAsia"/>
                <w:szCs w:val="21"/>
              </w:rPr>
              <w:t>C3484机械零部件加工</w:t>
            </w:r>
          </w:p>
        </w:tc>
        <w:tc>
          <w:tcPr>
            <w:tcW w:w="2212" w:type="dxa"/>
            <w:vAlign w:val="center"/>
          </w:tcPr>
          <w:p>
            <w:pPr>
              <w:adjustRightInd w:val="0"/>
              <w:snapToGrid w:val="0"/>
              <w:jc w:val="center"/>
              <w:rPr>
                <w:szCs w:val="21"/>
              </w:rPr>
            </w:pPr>
            <w:bookmarkStart w:id="5" w:name="_Hlk49843745"/>
            <w:r>
              <w:rPr>
                <w:rFonts w:hAnsi="宋体"/>
                <w:szCs w:val="21"/>
              </w:rPr>
              <w:t>建设项目</w:t>
            </w:r>
          </w:p>
          <w:p>
            <w:pPr>
              <w:adjustRightInd w:val="0"/>
              <w:snapToGrid w:val="0"/>
              <w:jc w:val="center"/>
              <w:rPr>
                <w:szCs w:val="21"/>
              </w:rPr>
            </w:pPr>
            <w:r>
              <w:rPr>
                <w:rFonts w:hAnsi="宋体"/>
                <w:szCs w:val="21"/>
              </w:rPr>
              <w:t>行业类别</w:t>
            </w:r>
            <w:bookmarkEnd w:id="5"/>
          </w:p>
        </w:tc>
        <w:tc>
          <w:tcPr>
            <w:tcW w:w="2776" w:type="dxa"/>
            <w:vAlign w:val="center"/>
          </w:tcPr>
          <w:p>
            <w:pPr>
              <w:adjustRightInd w:val="0"/>
              <w:snapToGrid w:val="0"/>
              <w:jc w:val="center"/>
              <w:rPr>
                <w:rFonts w:eastAsiaTheme="minorEastAsia"/>
                <w:szCs w:val="21"/>
              </w:rPr>
            </w:pPr>
            <w:r>
              <w:rPr>
                <w:rFonts w:hint="eastAsia" w:eastAsiaTheme="minorEastAsia"/>
                <w:szCs w:val="21"/>
              </w:rPr>
              <w:t>69通用零部件制造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建设性质</w:t>
            </w:r>
          </w:p>
        </w:tc>
        <w:tc>
          <w:tcPr>
            <w:tcW w:w="1637" w:type="dxa"/>
            <w:vAlign w:val="center"/>
          </w:tcPr>
          <w:p>
            <w:pPr>
              <w:jc w:val="left"/>
              <w:rPr>
                <w:rFonts w:ascii="宋体" w:hAnsi="宋体" w:cs="宋体"/>
                <w:szCs w:val="21"/>
              </w:rPr>
            </w:pPr>
            <w:r>
              <w:rPr>
                <w:rFonts w:ascii="Wingdings 2" w:hAnsi="Wingdings 2" w:cs="宋体"/>
                <w:szCs w:val="21"/>
              </w:rPr>
              <w:t></w:t>
            </w:r>
            <w:r>
              <w:rPr>
                <w:rFonts w:hint="eastAsia" w:ascii="宋体" w:hAnsi="宋体" w:cs="宋体"/>
                <w:szCs w:val="21"/>
              </w:rPr>
              <w:t>新建（迁建）</w:t>
            </w:r>
          </w:p>
          <w:p>
            <w:pPr>
              <w:jc w:val="left"/>
              <w:rPr>
                <w:rFonts w:ascii="宋体" w:hAnsi="宋体" w:cs="宋体"/>
                <w:szCs w:val="21"/>
              </w:rPr>
            </w:pPr>
            <w:r>
              <w:rPr>
                <w:rFonts w:hint="eastAsia" w:ascii="宋体" w:hAnsi="宋体" w:cs="宋体"/>
                <w:szCs w:val="21"/>
              </w:rPr>
              <w:t>□改建</w:t>
            </w:r>
          </w:p>
          <w:p>
            <w:pPr>
              <w:jc w:val="left"/>
              <w:rPr>
                <w:rFonts w:ascii="宋体" w:hAnsi="宋体" w:cs="宋体"/>
                <w:szCs w:val="21"/>
              </w:rPr>
            </w:pPr>
            <w:r>
              <w:rPr>
                <w:rFonts w:hint="eastAsia" w:ascii="宋体" w:hAnsi="宋体" w:cs="宋体"/>
                <w:szCs w:val="21"/>
              </w:rPr>
              <w:t>□扩建</w:t>
            </w:r>
          </w:p>
          <w:p>
            <w:pPr>
              <w:jc w:val="left"/>
              <w:rPr>
                <w:rFonts w:ascii="宋体" w:hAnsi="宋体" w:cs="宋体"/>
                <w:szCs w:val="21"/>
              </w:rPr>
            </w:pPr>
            <w:r>
              <w:rPr>
                <w:rFonts w:hint="eastAsia" w:ascii="宋体" w:hAnsi="宋体" w:cs="宋体"/>
                <w:szCs w:val="21"/>
              </w:rPr>
              <w:t>□技术改造</w:t>
            </w:r>
          </w:p>
        </w:tc>
        <w:tc>
          <w:tcPr>
            <w:tcW w:w="2212" w:type="dxa"/>
            <w:vAlign w:val="center"/>
          </w:tcPr>
          <w:p>
            <w:pPr>
              <w:adjustRightInd w:val="0"/>
              <w:snapToGrid w:val="0"/>
              <w:jc w:val="center"/>
              <w:rPr>
                <w:rFonts w:ascii="宋体" w:hAnsi="宋体" w:cs="宋体"/>
                <w:szCs w:val="21"/>
              </w:rPr>
            </w:pPr>
            <w:r>
              <w:rPr>
                <w:rFonts w:hint="eastAsia" w:ascii="宋体" w:hAnsi="宋体" w:cs="宋体"/>
                <w:szCs w:val="21"/>
              </w:rPr>
              <w:t>建设项目</w:t>
            </w:r>
          </w:p>
          <w:p>
            <w:pPr>
              <w:adjustRightInd w:val="0"/>
              <w:snapToGrid w:val="0"/>
              <w:jc w:val="center"/>
              <w:rPr>
                <w:rFonts w:ascii="宋体" w:hAnsi="宋体" w:cs="宋体"/>
                <w:szCs w:val="21"/>
              </w:rPr>
            </w:pPr>
            <w:r>
              <w:rPr>
                <w:rFonts w:hint="eastAsia" w:ascii="宋体" w:hAnsi="宋体" w:cs="宋体"/>
                <w:szCs w:val="21"/>
              </w:rPr>
              <w:t>申报情形</w:t>
            </w:r>
          </w:p>
        </w:tc>
        <w:tc>
          <w:tcPr>
            <w:tcW w:w="2776" w:type="dxa"/>
            <w:vAlign w:val="center"/>
          </w:tcPr>
          <w:p>
            <w:pPr>
              <w:jc w:val="left"/>
              <w:rPr>
                <w:rFonts w:ascii="宋体" w:hAnsi="宋体" w:cs="宋体"/>
                <w:szCs w:val="21"/>
              </w:rPr>
            </w:pPr>
            <w:r>
              <w:rPr>
                <w:rFonts w:ascii="Wingdings 2" w:hAnsi="Wingdings 2" w:cs="宋体"/>
                <w:szCs w:val="21"/>
              </w:rPr>
              <w:t></w:t>
            </w:r>
            <w:r>
              <w:rPr>
                <w:rFonts w:hint="eastAsia" w:ascii="宋体" w:hAnsi="宋体" w:cs="宋体"/>
                <w:szCs w:val="21"/>
              </w:rPr>
              <w:t>首次申报项目</w:t>
            </w:r>
          </w:p>
          <w:p>
            <w:pPr>
              <w:jc w:val="left"/>
              <w:rPr>
                <w:rFonts w:ascii="宋体" w:hAnsi="宋体" w:cs="宋体"/>
                <w:szCs w:val="21"/>
              </w:rPr>
            </w:pPr>
            <w:r>
              <w:rPr>
                <w:rFonts w:hint="eastAsia" w:ascii="宋体" w:hAnsi="宋体" w:cs="宋体"/>
                <w:szCs w:val="21"/>
              </w:rPr>
              <w:t>□不予批准后再次申报项目</w:t>
            </w:r>
          </w:p>
          <w:p>
            <w:pPr>
              <w:jc w:val="left"/>
              <w:rPr>
                <w:rFonts w:ascii="宋体" w:hAnsi="宋体" w:cs="宋体"/>
                <w:szCs w:val="21"/>
              </w:rPr>
            </w:pPr>
            <w:r>
              <w:rPr>
                <w:rFonts w:hint="eastAsia" w:ascii="宋体" w:hAnsi="宋体" w:cs="宋体"/>
                <w:szCs w:val="21"/>
              </w:rPr>
              <w:sym w:font="Wingdings 2" w:char="00A3"/>
            </w:r>
            <w:r>
              <w:rPr>
                <w:rFonts w:hint="eastAsia" w:ascii="宋体" w:hAnsi="宋体" w:cs="宋体"/>
                <w:szCs w:val="21"/>
              </w:rPr>
              <w:t>超五年重新审核项目</w:t>
            </w:r>
          </w:p>
          <w:p>
            <w:pPr>
              <w:jc w:val="left"/>
              <w:rPr>
                <w:rFonts w:ascii="宋体" w:hAnsi="宋体" w:cs="宋体"/>
                <w:szCs w:val="21"/>
              </w:rPr>
            </w:pPr>
            <w:r>
              <w:rPr>
                <w:rFonts w:hint="eastAsia" w:ascii="宋体" w:hAnsi="宋体" w:cs="宋体"/>
                <w:szCs w:val="21"/>
              </w:rPr>
              <w:t>□重大变动重新报批项目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项目审批（核准</w:t>
            </w:r>
            <w:r>
              <w:rPr>
                <w:rFonts w:ascii="宋体" w:hAnsi="宋体" w:cs="宋体"/>
                <w:szCs w:val="21"/>
              </w:rPr>
              <w:t>/</w:t>
            </w:r>
          </w:p>
          <w:p>
            <w:pPr>
              <w:adjustRightInd w:val="0"/>
              <w:snapToGrid w:val="0"/>
              <w:jc w:val="center"/>
              <w:rPr>
                <w:rFonts w:ascii="宋体" w:hAnsi="宋体" w:cs="宋体"/>
                <w:szCs w:val="21"/>
              </w:rPr>
            </w:pPr>
            <w:r>
              <w:rPr>
                <w:rFonts w:hint="eastAsia" w:ascii="宋体" w:hAnsi="宋体" w:cs="宋体"/>
                <w:szCs w:val="21"/>
              </w:rPr>
              <w:t>备案）部门（选填）</w:t>
            </w:r>
          </w:p>
        </w:tc>
        <w:tc>
          <w:tcPr>
            <w:tcW w:w="1637" w:type="dxa"/>
            <w:vAlign w:val="center"/>
          </w:tcPr>
          <w:p>
            <w:pPr>
              <w:adjustRightInd w:val="0"/>
              <w:snapToGrid w:val="0"/>
              <w:jc w:val="center"/>
              <w:rPr>
                <w:rFonts w:ascii="宋体" w:hAnsi="宋体"/>
                <w:szCs w:val="21"/>
              </w:rPr>
            </w:pPr>
            <w:r>
              <w:rPr>
                <w:rFonts w:hint="eastAsia" w:ascii="宋体" w:hAnsi="宋体"/>
                <w:szCs w:val="21"/>
              </w:rPr>
              <w:t>常州市武进区行</w:t>
            </w:r>
          </w:p>
          <w:p>
            <w:pPr>
              <w:adjustRightInd w:val="0"/>
              <w:snapToGrid w:val="0"/>
              <w:jc w:val="center"/>
              <w:rPr>
                <w:szCs w:val="21"/>
              </w:rPr>
            </w:pPr>
            <w:r>
              <w:rPr>
                <w:rFonts w:hint="eastAsia" w:ascii="宋体" w:hAnsi="宋体"/>
                <w:szCs w:val="21"/>
              </w:rPr>
              <w:t>政审批局</w:t>
            </w:r>
          </w:p>
        </w:tc>
        <w:tc>
          <w:tcPr>
            <w:tcW w:w="2212" w:type="dxa"/>
            <w:vAlign w:val="center"/>
          </w:tcPr>
          <w:p>
            <w:pPr>
              <w:adjustRightInd w:val="0"/>
              <w:snapToGrid w:val="0"/>
              <w:jc w:val="center"/>
              <w:rPr>
                <w:szCs w:val="21"/>
              </w:rPr>
            </w:pPr>
            <w:r>
              <w:rPr>
                <w:rFonts w:hAnsi="宋体"/>
                <w:szCs w:val="21"/>
              </w:rPr>
              <w:t>项目审批（核准</w:t>
            </w:r>
            <w:r>
              <w:rPr>
                <w:szCs w:val="21"/>
              </w:rPr>
              <w:t>/</w:t>
            </w:r>
          </w:p>
          <w:p>
            <w:pPr>
              <w:adjustRightInd w:val="0"/>
              <w:snapToGrid w:val="0"/>
              <w:jc w:val="center"/>
              <w:rPr>
                <w:szCs w:val="21"/>
              </w:rPr>
            </w:pPr>
            <w:r>
              <w:rPr>
                <w:rFonts w:hAnsi="宋体"/>
                <w:szCs w:val="21"/>
              </w:rPr>
              <w:t>备案）文号（选填）</w:t>
            </w:r>
          </w:p>
        </w:tc>
        <w:tc>
          <w:tcPr>
            <w:tcW w:w="2776" w:type="dxa"/>
            <w:vAlign w:val="center"/>
          </w:tcPr>
          <w:p>
            <w:pPr>
              <w:adjustRightInd w:val="0"/>
              <w:snapToGrid w:val="0"/>
              <w:jc w:val="center"/>
              <w:rPr>
                <w:szCs w:val="21"/>
              </w:rPr>
            </w:pPr>
            <w:r>
              <w:rPr>
                <w:rFonts w:hAnsi="宋体"/>
                <w:szCs w:val="21"/>
              </w:rPr>
              <w:t>武行审备〔</w:t>
            </w:r>
            <w:r>
              <w:rPr>
                <w:szCs w:val="21"/>
              </w:rPr>
              <w:t>2022</w:t>
            </w:r>
            <w:r>
              <w:rPr>
                <w:rFonts w:hAnsi="宋体"/>
                <w:szCs w:val="21"/>
              </w:rPr>
              <w:t>〕</w:t>
            </w:r>
            <w:r>
              <w:rPr>
                <w:szCs w:val="21"/>
              </w:rPr>
              <w:t>114</w:t>
            </w:r>
            <w:r>
              <w:rPr>
                <w:rFonts w:hAnsi="宋体"/>
                <w:szCs w:val="21"/>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总投资（万元）</w:t>
            </w:r>
          </w:p>
        </w:tc>
        <w:tc>
          <w:tcPr>
            <w:tcW w:w="1637" w:type="dxa"/>
            <w:vAlign w:val="center"/>
          </w:tcPr>
          <w:p>
            <w:pPr>
              <w:adjustRightInd w:val="0"/>
              <w:snapToGrid w:val="0"/>
              <w:jc w:val="center"/>
              <w:rPr>
                <w:szCs w:val="21"/>
              </w:rPr>
            </w:pPr>
            <w:r>
              <w:rPr>
                <w:rFonts w:hint="eastAsia"/>
                <w:szCs w:val="21"/>
              </w:rPr>
              <w:t>350</w:t>
            </w:r>
          </w:p>
        </w:tc>
        <w:tc>
          <w:tcPr>
            <w:tcW w:w="2212" w:type="dxa"/>
            <w:tcMar>
              <w:top w:w="16" w:type="dxa"/>
              <w:left w:w="16" w:type="dxa"/>
              <w:right w:w="16" w:type="dxa"/>
            </w:tcMar>
            <w:vAlign w:val="center"/>
          </w:tcPr>
          <w:p>
            <w:pPr>
              <w:adjustRightInd w:val="0"/>
              <w:snapToGrid w:val="0"/>
              <w:jc w:val="center"/>
              <w:rPr>
                <w:szCs w:val="21"/>
              </w:rPr>
            </w:pPr>
            <w:r>
              <w:rPr>
                <w:rFonts w:hAnsi="宋体"/>
                <w:szCs w:val="21"/>
              </w:rPr>
              <w:t>环保投资（万元）</w:t>
            </w:r>
          </w:p>
        </w:tc>
        <w:tc>
          <w:tcPr>
            <w:tcW w:w="2776" w:type="dxa"/>
            <w:vAlign w:val="center"/>
          </w:tcPr>
          <w:p>
            <w:pPr>
              <w:adjustRightInd w:val="0"/>
              <w:snapToGrid w:val="0"/>
              <w:jc w:val="center"/>
              <w:rPr>
                <w:szCs w:val="21"/>
              </w:rPr>
            </w:pPr>
            <w:r>
              <w:rPr>
                <w:rFonts w:hint="eastAsia"/>
                <w:szCs w:val="21"/>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环保投资占比（</w:t>
            </w:r>
            <w:r>
              <w:rPr>
                <w:rFonts w:ascii="宋体" w:hAnsi="宋体" w:cs="宋体"/>
                <w:szCs w:val="21"/>
              </w:rPr>
              <w:t>%</w:t>
            </w:r>
            <w:r>
              <w:rPr>
                <w:rFonts w:hint="eastAsia" w:ascii="宋体" w:hAnsi="宋体" w:cs="宋体"/>
                <w:szCs w:val="21"/>
              </w:rPr>
              <w:t>）</w:t>
            </w:r>
          </w:p>
        </w:tc>
        <w:tc>
          <w:tcPr>
            <w:tcW w:w="1637" w:type="dxa"/>
            <w:vAlign w:val="center"/>
          </w:tcPr>
          <w:p>
            <w:pPr>
              <w:adjustRightInd w:val="0"/>
              <w:snapToGrid w:val="0"/>
              <w:jc w:val="center"/>
              <w:rPr>
                <w:szCs w:val="21"/>
              </w:rPr>
            </w:pPr>
            <w:r>
              <w:rPr>
                <w:rFonts w:hint="eastAsia"/>
                <w:szCs w:val="21"/>
              </w:rPr>
              <w:t>3</w:t>
            </w:r>
          </w:p>
        </w:tc>
        <w:tc>
          <w:tcPr>
            <w:tcW w:w="2212" w:type="dxa"/>
            <w:tcMar>
              <w:top w:w="16" w:type="dxa"/>
              <w:left w:w="16" w:type="dxa"/>
              <w:right w:w="16" w:type="dxa"/>
            </w:tcMar>
            <w:vAlign w:val="center"/>
          </w:tcPr>
          <w:p>
            <w:pPr>
              <w:adjustRightInd w:val="0"/>
              <w:snapToGrid w:val="0"/>
              <w:jc w:val="center"/>
              <w:rPr>
                <w:szCs w:val="21"/>
              </w:rPr>
            </w:pPr>
            <w:r>
              <w:rPr>
                <w:rFonts w:hAnsi="宋体"/>
                <w:szCs w:val="21"/>
              </w:rPr>
              <w:t>施工工期</w:t>
            </w:r>
          </w:p>
        </w:tc>
        <w:tc>
          <w:tcPr>
            <w:tcW w:w="2776" w:type="dxa"/>
            <w:vAlign w:val="center"/>
          </w:tcPr>
          <w:p>
            <w:pPr>
              <w:adjustRightInd w:val="0"/>
              <w:snapToGrid w:val="0"/>
              <w:jc w:val="center"/>
              <w:rPr>
                <w:szCs w:val="21"/>
              </w:rPr>
            </w:pPr>
            <w:r>
              <w:rPr>
                <w:rFonts w:hint="eastAsia"/>
                <w:szCs w:val="21"/>
              </w:rPr>
              <w:t>3</w:t>
            </w:r>
            <w:r>
              <w:rPr>
                <w:rFonts w:hAnsi="宋体"/>
                <w:szCs w:val="21"/>
              </w:rPr>
              <w:t>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426" w:type="dxa"/>
            <w:gridSpan w:val="2"/>
            <w:tcMar>
              <w:top w:w="16" w:type="dxa"/>
              <w:left w:w="16" w:type="dxa"/>
              <w:right w:w="16" w:type="dxa"/>
            </w:tcMar>
            <w:vAlign w:val="center"/>
          </w:tcPr>
          <w:p>
            <w:pPr>
              <w:adjustRightInd w:val="0"/>
              <w:snapToGrid w:val="0"/>
              <w:jc w:val="center"/>
              <w:rPr>
                <w:rFonts w:ascii="宋体" w:hAnsi="宋体" w:cs="宋体"/>
                <w:szCs w:val="21"/>
              </w:rPr>
            </w:pPr>
            <w:r>
              <w:rPr>
                <w:rFonts w:hint="eastAsia" w:ascii="宋体" w:hAnsi="宋体" w:cs="宋体"/>
                <w:szCs w:val="21"/>
              </w:rPr>
              <w:t>是否开工建设</w:t>
            </w:r>
          </w:p>
        </w:tc>
        <w:tc>
          <w:tcPr>
            <w:tcW w:w="1637" w:type="dxa"/>
            <w:vAlign w:val="center"/>
          </w:tcPr>
          <w:p>
            <w:pPr>
              <w:adjustRightInd w:val="0"/>
              <w:snapToGrid w:val="0"/>
              <w:rPr>
                <w:rFonts w:ascii="宋体" w:hAnsi="宋体" w:cs="宋体"/>
                <w:szCs w:val="21"/>
              </w:rPr>
            </w:pPr>
            <w:r>
              <w:rPr>
                <w:rFonts w:ascii="Wingdings 2" w:hAnsi="Wingdings 2" w:cs="宋体"/>
                <w:szCs w:val="21"/>
              </w:rPr>
              <w:t></w:t>
            </w:r>
            <w:r>
              <w:rPr>
                <w:rFonts w:hint="eastAsia" w:ascii="宋体" w:hAnsi="宋体" w:cs="宋体"/>
                <w:szCs w:val="21"/>
              </w:rPr>
              <w:t>否</w:t>
            </w:r>
          </w:p>
          <w:p>
            <w:pPr>
              <w:adjustRightInd w:val="0"/>
              <w:snapToGrid w:val="0"/>
              <w:rPr>
                <w:rFonts w:ascii="宋体" w:hAnsi="宋体" w:cs="宋体"/>
                <w:szCs w:val="21"/>
              </w:rPr>
            </w:pPr>
            <w:r>
              <w:rPr>
                <w:rFonts w:hint="eastAsia" w:ascii="宋体" w:hAnsi="宋体" w:cs="宋体"/>
                <w:szCs w:val="21"/>
              </w:rPr>
              <w:sym w:font="Wingdings 2" w:char="00A3"/>
            </w:r>
            <w:r>
              <w:rPr>
                <w:rFonts w:hint="eastAsia" w:ascii="宋体" w:hAnsi="宋体" w:cs="宋体"/>
                <w:szCs w:val="21"/>
              </w:rPr>
              <w:t>是：</w:t>
            </w:r>
            <w:r>
              <w:rPr>
                <w:rFonts w:hint="eastAsia" w:ascii="宋体" w:hAnsi="宋体" w:cs="宋体"/>
                <w:szCs w:val="21"/>
                <w:u w:val="single"/>
              </w:rPr>
              <w:t xml:space="preserve">             </w:t>
            </w:r>
          </w:p>
        </w:tc>
        <w:tc>
          <w:tcPr>
            <w:tcW w:w="2212" w:type="dxa"/>
            <w:tcMar>
              <w:top w:w="16" w:type="dxa"/>
              <w:left w:w="16" w:type="dxa"/>
              <w:right w:w="16" w:type="dxa"/>
            </w:tcMar>
            <w:vAlign w:val="center"/>
          </w:tcPr>
          <w:p>
            <w:pPr>
              <w:adjustRightInd w:val="0"/>
              <w:snapToGrid w:val="0"/>
              <w:jc w:val="center"/>
              <w:rPr>
                <w:spacing w:val="-6"/>
                <w:szCs w:val="21"/>
              </w:rPr>
            </w:pPr>
            <w:r>
              <w:rPr>
                <w:rFonts w:hint="eastAsia" w:ascii="宋体" w:hAnsi="宋体" w:cs="宋体"/>
                <w:spacing w:val="-6"/>
                <w:szCs w:val="21"/>
              </w:rPr>
              <w:t>用</w:t>
            </w:r>
            <w:r>
              <w:rPr>
                <w:rFonts w:hAnsi="宋体"/>
                <w:spacing w:val="-6"/>
                <w:szCs w:val="21"/>
              </w:rPr>
              <w:t>地面积（</w:t>
            </w:r>
            <w:r>
              <w:rPr>
                <w:spacing w:val="-6"/>
                <w:szCs w:val="21"/>
              </w:rPr>
              <w:t>m</w:t>
            </w:r>
            <w:r>
              <w:rPr>
                <w:spacing w:val="-6"/>
                <w:szCs w:val="21"/>
                <w:vertAlign w:val="superscript"/>
              </w:rPr>
              <w:t>2</w:t>
            </w:r>
            <w:r>
              <w:rPr>
                <w:rFonts w:hAnsi="宋体"/>
                <w:spacing w:val="-6"/>
                <w:szCs w:val="21"/>
              </w:rPr>
              <w:t>）</w:t>
            </w:r>
          </w:p>
        </w:tc>
        <w:tc>
          <w:tcPr>
            <w:tcW w:w="2776" w:type="dxa"/>
            <w:vAlign w:val="center"/>
          </w:tcPr>
          <w:p>
            <w:pPr>
              <w:adjustRightInd w:val="0"/>
              <w:snapToGrid w:val="0"/>
              <w:jc w:val="center"/>
              <w:rPr>
                <w:szCs w:val="21"/>
              </w:rPr>
            </w:pPr>
            <w:r>
              <w:rPr>
                <w:rFonts w:hint="eastAsia"/>
                <w:szCs w:val="21"/>
              </w:rPr>
              <w:t>1056（租赁）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2426" w:type="dxa"/>
            <w:gridSpan w:val="2"/>
            <w:vAlign w:val="center"/>
          </w:tcPr>
          <w:p>
            <w:pPr>
              <w:autoSpaceDE w:val="0"/>
              <w:autoSpaceDN w:val="0"/>
              <w:adjustRightInd w:val="0"/>
              <w:snapToGrid w:val="0"/>
              <w:jc w:val="center"/>
              <w:rPr>
                <w:rFonts w:ascii="宋体" w:hAnsi="宋体" w:cs="宋体"/>
                <w:kern w:val="0"/>
                <w:szCs w:val="21"/>
              </w:rPr>
            </w:pPr>
            <w:r>
              <w:rPr>
                <w:rFonts w:hint="eastAsia" w:ascii="宋体" w:hAnsi="宋体" w:cs="宋体"/>
                <w:kern w:val="0"/>
                <w:szCs w:val="21"/>
              </w:rPr>
              <w:t>专项评价设置情况</w:t>
            </w:r>
          </w:p>
        </w:tc>
        <w:tc>
          <w:tcPr>
            <w:tcW w:w="6625" w:type="dxa"/>
            <w:gridSpan w:val="3"/>
            <w:vAlign w:val="center"/>
          </w:tcPr>
          <w:p>
            <w:pPr>
              <w:autoSpaceDE w:val="0"/>
              <w:autoSpaceDN w:val="0"/>
              <w:adjustRightInd w:val="0"/>
              <w:snapToGrid w:val="0"/>
              <w:jc w:val="center"/>
              <w:rPr>
                <w:rFonts w:ascii="宋体" w:hAnsi="宋体" w:cs="宋体"/>
                <w:kern w:val="0"/>
                <w:szCs w:val="21"/>
              </w:rPr>
            </w:pPr>
            <w:r>
              <w:rPr>
                <w:rFonts w:hint="eastAsia" w:ascii="宋体" w:hAnsi="宋体" w:cs="宋体"/>
                <w:kern w:val="0"/>
                <w:szCs w:val="21"/>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jc w:val="center"/>
        </w:trPr>
        <w:tc>
          <w:tcPr>
            <w:tcW w:w="2426" w:type="dxa"/>
            <w:gridSpan w:val="2"/>
            <w:vAlign w:val="center"/>
          </w:tcPr>
          <w:p>
            <w:pPr>
              <w:autoSpaceDE w:val="0"/>
              <w:autoSpaceDN w:val="0"/>
              <w:adjustRightInd w:val="0"/>
              <w:snapToGrid w:val="0"/>
              <w:jc w:val="center"/>
              <w:rPr>
                <w:rFonts w:ascii="宋体" w:hAnsi="宋体" w:cs="宋体"/>
                <w:kern w:val="0"/>
                <w:szCs w:val="21"/>
              </w:rPr>
            </w:pPr>
            <w:r>
              <w:rPr>
                <w:rFonts w:hint="eastAsia" w:ascii="宋体" w:hAnsi="宋体" w:cs="宋体"/>
                <w:szCs w:val="21"/>
              </w:rPr>
              <w:t>规划情况</w:t>
            </w:r>
          </w:p>
        </w:tc>
        <w:tc>
          <w:tcPr>
            <w:tcW w:w="6625" w:type="dxa"/>
            <w:gridSpan w:val="3"/>
            <w:vAlign w:val="center"/>
          </w:tcPr>
          <w:p>
            <w:pPr>
              <w:adjustRightInd w:val="0"/>
              <w:snapToGrid w:val="0"/>
              <w:jc w:val="left"/>
              <w:rPr>
                <w:rFonts w:hAnsi="宋体"/>
              </w:rPr>
            </w:pPr>
            <w:r>
              <w:rPr>
                <w:rFonts w:hint="eastAsia" w:hAnsi="宋体"/>
              </w:rPr>
              <w:t>规划名称：《工业园区定位规划调整方案》</w:t>
            </w:r>
          </w:p>
          <w:p>
            <w:pPr>
              <w:adjustRightInd w:val="0"/>
              <w:snapToGrid w:val="0"/>
              <w:jc w:val="left"/>
              <w:rPr>
                <w:rFonts w:hAnsi="宋体"/>
              </w:rPr>
            </w:pPr>
            <w:r>
              <w:rPr>
                <w:rFonts w:hint="eastAsia" w:hAnsi="宋体"/>
              </w:rPr>
              <w:t>审批机关：常州市武进区人民政府</w:t>
            </w:r>
          </w:p>
          <w:p>
            <w:pPr>
              <w:adjustRightInd w:val="0"/>
              <w:snapToGrid w:val="0"/>
              <w:jc w:val="left"/>
              <w:rPr>
                <w:rFonts w:hAnsi="宋体"/>
              </w:rPr>
            </w:pPr>
            <w:r>
              <w:rPr>
                <w:rFonts w:hint="eastAsia" w:hAnsi="宋体"/>
              </w:rPr>
              <w:t>审批文件名称及文号：《关于各镇工业园区定位规划调整方案的批复》，武政复[2002]31号。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8" w:hRule="atLeast"/>
          <w:jc w:val="center"/>
        </w:trPr>
        <w:tc>
          <w:tcPr>
            <w:tcW w:w="2426" w:type="dxa"/>
            <w:gridSpan w:val="2"/>
            <w:vAlign w:val="center"/>
          </w:tcPr>
          <w:p>
            <w:pPr>
              <w:adjustRightInd w:val="0"/>
              <w:snapToGrid w:val="0"/>
              <w:jc w:val="center"/>
              <w:rPr>
                <w:rFonts w:ascii="宋体" w:hAnsi="宋体" w:cs="宋体"/>
                <w:szCs w:val="21"/>
              </w:rPr>
            </w:pPr>
            <w:r>
              <w:rPr>
                <w:rFonts w:hint="eastAsia" w:ascii="宋体" w:hAnsi="宋体" w:cs="宋体"/>
                <w:szCs w:val="21"/>
              </w:rPr>
              <w:t>规划环境影响</w:t>
            </w:r>
          </w:p>
          <w:p>
            <w:pPr>
              <w:adjustRightInd w:val="0"/>
              <w:snapToGrid w:val="0"/>
              <w:jc w:val="center"/>
              <w:rPr>
                <w:rFonts w:ascii="宋体" w:hAnsi="宋体" w:cs="宋体"/>
                <w:kern w:val="0"/>
                <w:szCs w:val="21"/>
              </w:rPr>
            </w:pPr>
            <w:r>
              <w:rPr>
                <w:rFonts w:hint="eastAsia" w:ascii="宋体" w:hAnsi="宋体" w:cs="宋体"/>
                <w:szCs w:val="21"/>
              </w:rPr>
              <w:t>评价情况</w:t>
            </w:r>
          </w:p>
        </w:tc>
        <w:tc>
          <w:tcPr>
            <w:tcW w:w="6625" w:type="dxa"/>
            <w:gridSpan w:val="3"/>
            <w:vAlign w:val="center"/>
          </w:tcPr>
          <w:p>
            <w:pPr>
              <w:adjustRightInd w:val="0"/>
              <w:snapToGrid w:val="0"/>
              <w:jc w:val="center"/>
              <w:rPr>
                <w:highlight w:val="yellow"/>
              </w:rPr>
            </w:pPr>
            <w:r>
              <w:rPr>
                <w:rFonts w:hint="eastAsia"/>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2426" w:type="dxa"/>
            <w:gridSpan w:val="2"/>
            <w:vAlign w:val="center"/>
          </w:tcPr>
          <w:p>
            <w:pPr>
              <w:autoSpaceDE w:val="0"/>
              <w:autoSpaceDN w:val="0"/>
              <w:adjustRightInd w:val="0"/>
              <w:snapToGrid w:val="0"/>
              <w:jc w:val="center"/>
              <w:rPr>
                <w:rFonts w:ascii="宋体" w:hAnsi="宋体" w:cs="宋体"/>
                <w:kern w:val="0"/>
                <w:szCs w:val="21"/>
              </w:rPr>
            </w:pPr>
            <w:r>
              <w:rPr>
                <w:rFonts w:hint="eastAsia" w:ascii="宋体" w:hAnsi="宋体" w:cs="宋体"/>
                <w:kern w:val="0"/>
                <w:szCs w:val="21"/>
              </w:rPr>
              <w:t>规划及规划环境</w:t>
            </w:r>
          </w:p>
          <w:p>
            <w:pPr>
              <w:autoSpaceDE w:val="0"/>
              <w:autoSpaceDN w:val="0"/>
              <w:adjustRightInd w:val="0"/>
              <w:snapToGrid w:val="0"/>
              <w:jc w:val="center"/>
              <w:rPr>
                <w:rFonts w:ascii="宋体" w:hAnsi="宋体" w:cs="宋体"/>
                <w:kern w:val="0"/>
                <w:szCs w:val="21"/>
              </w:rPr>
            </w:pPr>
            <w:r>
              <w:rPr>
                <w:rFonts w:hint="eastAsia" w:ascii="宋体" w:hAnsi="宋体" w:cs="宋体"/>
                <w:kern w:val="0"/>
                <w:szCs w:val="21"/>
              </w:rPr>
              <w:t>影响评价符合性分析</w:t>
            </w:r>
          </w:p>
        </w:tc>
        <w:tc>
          <w:tcPr>
            <w:tcW w:w="6625" w:type="dxa"/>
            <w:gridSpan w:val="3"/>
            <w:vAlign w:val="center"/>
          </w:tcPr>
          <w:p>
            <w:pPr>
              <w:pStyle w:val="84"/>
              <w:spacing w:line="240" w:lineRule="auto"/>
              <w:ind w:firstLine="422"/>
              <w:rPr>
                <w:b/>
                <w:sz w:val="21"/>
                <w:szCs w:val="21"/>
              </w:rPr>
            </w:pPr>
            <w:r>
              <w:rPr>
                <w:rFonts w:hint="eastAsia"/>
                <w:b/>
                <w:sz w:val="21"/>
                <w:szCs w:val="21"/>
              </w:rPr>
              <w:t>与规划符合性分析</w:t>
            </w:r>
          </w:p>
          <w:p>
            <w:pPr>
              <w:pStyle w:val="84"/>
              <w:spacing w:line="240" w:lineRule="auto"/>
              <w:ind w:firstLine="422"/>
              <w:rPr>
                <w:b/>
                <w:sz w:val="21"/>
                <w:szCs w:val="21"/>
              </w:rPr>
            </w:pPr>
            <w:r>
              <w:rPr>
                <w:rFonts w:hint="eastAsia"/>
                <w:b/>
                <w:sz w:val="21"/>
                <w:szCs w:val="21"/>
              </w:rPr>
              <w:t>与</w:t>
            </w:r>
            <w:r>
              <w:rPr>
                <w:rFonts w:hint="eastAsia" w:hAnsi="宋体"/>
                <w:b/>
                <w:sz w:val="21"/>
                <w:szCs w:val="21"/>
              </w:rPr>
              <w:t>工业园区定位规划调整方案符合性分析：</w:t>
            </w:r>
          </w:p>
          <w:p>
            <w:pPr>
              <w:pStyle w:val="84"/>
              <w:spacing w:line="240" w:lineRule="auto"/>
              <w:ind w:firstLine="420"/>
              <w:rPr>
                <w:sz w:val="21"/>
                <w:szCs w:val="21"/>
              </w:rPr>
            </w:pPr>
            <w:r>
              <w:rPr>
                <w:sz w:val="21"/>
                <w:szCs w:val="21"/>
              </w:rPr>
              <w:t>一、湖塘镇</w:t>
            </w:r>
          </w:p>
          <w:p>
            <w:pPr>
              <w:ind w:firstLine="420" w:firstLineChars="200"/>
              <w:rPr>
                <w:szCs w:val="21"/>
              </w:rPr>
            </w:pPr>
            <w:r>
              <w:rPr>
                <w:szCs w:val="21"/>
              </w:rPr>
              <w:t>调整方案</w:t>
            </w:r>
            <w:r>
              <w:rPr>
                <w:rFonts w:hint="eastAsia"/>
                <w:szCs w:val="21"/>
              </w:rPr>
              <w:t>：</w:t>
            </w:r>
            <w:r>
              <w:rPr>
                <w:szCs w:val="21"/>
              </w:rPr>
              <w:t>同意在区原批准的湖塘镇城西、城东和鸣凰三个工业园区的基础上调整和扩大其建设范围，其具体位置是</w:t>
            </w:r>
            <w:r>
              <w:rPr>
                <w:rFonts w:hint="eastAsia"/>
                <w:szCs w:val="21"/>
              </w:rPr>
              <w:t>：（1）</w:t>
            </w:r>
            <w:r>
              <w:rPr>
                <w:szCs w:val="21"/>
              </w:rPr>
              <w:t>城西工业园区:东至长沟河(含陈家村河上岸)</w:t>
            </w:r>
            <w:r>
              <w:rPr>
                <w:rFonts w:hint="eastAsia"/>
                <w:szCs w:val="21"/>
              </w:rPr>
              <w:t>，</w:t>
            </w:r>
            <w:r>
              <w:rPr>
                <w:szCs w:val="21"/>
              </w:rPr>
              <w:t>西至牛塘镇，南至长虹路(含大坝村)北至牛塘镇沈家弄村委，总规划面积6平方公里。</w:t>
            </w:r>
            <w:r>
              <w:rPr>
                <w:rFonts w:hint="eastAsia"/>
                <w:szCs w:val="21"/>
              </w:rPr>
              <w:t>（2）</w:t>
            </w:r>
            <w:r>
              <w:rPr>
                <w:szCs w:val="21"/>
              </w:rPr>
              <w:t>城东工业园区</w:t>
            </w:r>
            <w:r>
              <w:rPr>
                <w:rFonts w:hint="eastAsia"/>
                <w:szCs w:val="21"/>
              </w:rPr>
              <w:t>：</w:t>
            </w:r>
            <w:r>
              <w:rPr>
                <w:szCs w:val="21"/>
              </w:rPr>
              <w:t>东至遥观镇，西至采菱港，南至滆湖东路，北至常州雕庄乡交界，总规划面积为10平方公里。</w:t>
            </w:r>
            <w:r>
              <w:rPr>
                <w:rFonts w:hint="eastAsia"/>
                <w:szCs w:val="21"/>
              </w:rPr>
              <w:t>（3）</w:t>
            </w:r>
            <w:r>
              <w:rPr>
                <w:szCs w:val="21"/>
              </w:rPr>
              <w:t>鸣凰工业园区</w:t>
            </w:r>
            <w:r>
              <w:rPr>
                <w:rFonts w:hint="eastAsia"/>
                <w:szCs w:val="21"/>
              </w:rPr>
              <w:t>：</w:t>
            </w:r>
            <w:r>
              <w:rPr>
                <w:szCs w:val="21"/>
              </w:rPr>
              <w:t>东至武宜路，西至牛塘镇，南至南夏墅镇，北至滆湖西路，总规划面积8平方公里。</w:t>
            </w:r>
          </w:p>
          <w:p>
            <w:pPr>
              <w:ind w:firstLine="422" w:firstLineChars="200"/>
              <w:rPr>
                <w:b/>
                <w:szCs w:val="21"/>
              </w:rPr>
            </w:pPr>
            <w:r>
              <w:rPr>
                <w:rFonts w:hint="eastAsia"/>
                <w:b/>
                <w:szCs w:val="21"/>
              </w:rPr>
              <w:t>本项目位于</w:t>
            </w:r>
            <w:r>
              <w:rPr>
                <w:rFonts w:hint="eastAsia" w:hAnsi="宋体"/>
                <w:b/>
                <w:bCs/>
                <w:szCs w:val="21"/>
              </w:rPr>
              <w:t>江苏省</w:t>
            </w:r>
            <w:r>
              <w:rPr>
                <w:b/>
              </w:rPr>
              <w:t>常州市武进区湖塘镇三勤社区何家组</w:t>
            </w:r>
            <w:r>
              <w:rPr>
                <w:rFonts w:hint="eastAsia"/>
                <w:b/>
                <w:szCs w:val="21"/>
              </w:rPr>
              <w:t>，</w:t>
            </w:r>
            <w:r>
              <w:rPr>
                <w:rFonts w:hAnsi="宋体"/>
                <w:b/>
                <w:bCs/>
                <w:szCs w:val="21"/>
              </w:rPr>
              <w:t>属于</w:t>
            </w:r>
            <w:r>
              <w:rPr>
                <w:rFonts w:hint="eastAsia" w:hAnsi="宋体"/>
                <w:b/>
                <w:bCs/>
                <w:szCs w:val="21"/>
              </w:rPr>
              <w:t>城东工业园区内</w:t>
            </w:r>
            <w:r>
              <w:rPr>
                <w:rFonts w:hint="eastAsia"/>
                <w:b/>
                <w:szCs w:val="21"/>
              </w:rPr>
              <w:t>，</w:t>
            </w:r>
            <w:r>
              <w:rPr>
                <w:b/>
                <w:bCs/>
                <w:szCs w:val="21"/>
              </w:rPr>
              <w:t>根据</w:t>
            </w:r>
            <w:r>
              <w:rPr>
                <w:rFonts w:hint="eastAsia"/>
                <w:b/>
                <w:bCs/>
                <w:szCs w:val="21"/>
              </w:rPr>
              <w:t>《</w:t>
            </w:r>
            <w:r>
              <w:rPr>
                <w:rFonts w:hint="eastAsia"/>
                <w:b/>
                <w:szCs w:val="21"/>
              </w:rPr>
              <w:t>常州市武进区湖塘镇土地利用总体规划图》</w:t>
            </w:r>
            <w:r>
              <w:rPr>
                <w:b/>
                <w:bCs/>
                <w:szCs w:val="21"/>
              </w:rPr>
              <w:t>（见附图6）</w:t>
            </w:r>
            <w:r>
              <w:rPr>
                <w:rFonts w:hint="eastAsia"/>
                <w:b/>
                <w:bCs/>
                <w:szCs w:val="21"/>
              </w:rPr>
              <w:t>及</w:t>
            </w:r>
            <w:r>
              <w:rPr>
                <w:rFonts w:hint="eastAsia"/>
                <w:b/>
                <w:szCs w:val="21"/>
              </w:rPr>
              <w:t>土地证（地号131209011）</w:t>
            </w:r>
            <w:r>
              <w:rPr>
                <w:b/>
                <w:bCs/>
                <w:szCs w:val="21"/>
              </w:rPr>
              <w:t>，本项目所在地为</w:t>
            </w:r>
            <w:r>
              <w:rPr>
                <w:rFonts w:hint="eastAsia"/>
                <w:b/>
                <w:bCs/>
                <w:szCs w:val="21"/>
              </w:rPr>
              <w:t>工业</w:t>
            </w:r>
            <w:r>
              <w:rPr>
                <w:b/>
                <w:bCs/>
                <w:szCs w:val="21"/>
              </w:rPr>
              <w:t>用地，</w:t>
            </w:r>
            <w:r>
              <w:rPr>
                <w:rFonts w:hint="eastAsia"/>
                <w:b/>
                <w:bCs/>
                <w:szCs w:val="21"/>
              </w:rPr>
              <w:t>因此本项目符合</w:t>
            </w:r>
            <w:r>
              <w:rPr>
                <w:b/>
                <w:bCs/>
                <w:szCs w:val="21"/>
              </w:rPr>
              <w:t>用地规划</w:t>
            </w:r>
            <w:r>
              <w:rPr>
                <w:rFonts w:hint="eastAsia"/>
                <w:b/>
                <w:szCs w:val="21"/>
              </w:rPr>
              <w:t>。对照《国民经济行业分类（GB/T 4754—2017）》，本项目属于</w:t>
            </w:r>
            <w:r>
              <w:rPr>
                <w:rFonts w:eastAsiaTheme="minorEastAsia"/>
                <w:b/>
                <w:szCs w:val="21"/>
              </w:rPr>
              <w:t>C3484机械零部件加工</w:t>
            </w:r>
            <w:r>
              <w:rPr>
                <w:rFonts w:hint="eastAsia"/>
                <w:b/>
                <w:szCs w:val="21"/>
              </w:rPr>
              <w:t>。</w:t>
            </w: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39" w:type="dxa"/>
            <w:vAlign w:val="center"/>
          </w:tcPr>
          <w:p>
            <w:pPr>
              <w:autoSpaceDE w:val="0"/>
              <w:autoSpaceDN w:val="0"/>
              <w:adjustRightInd w:val="0"/>
              <w:snapToGrid w:val="0"/>
              <w:jc w:val="center"/>
              <w:rPr>
                <w:rFonts w:ascii="宋体" w:hAnsi="宋体" w:cs="宋体"/>
                <w:kern w:val="0"/>
                <w:szCs w:val="21"/>
              </w:rPr>
            </w:pPr>
            <w:r>
              <w:rPr>
                <w:rFonts w:hint="eastAsia" w:ascii="宋体" w:hAnsi="宋体" w:cs="宋体"/>
                <w:kern w:val="0"/>
                <w:szCs w:val="21"/>
              </w:rPr>
              <w:t>其他符合性分析</w:t>
            </w:r>
          </w:p>
        </w:tc>
        <w:tc>
          <w:tcPr>
            <w:tcW w:w="8512" w:type="dxa"/>
            <w:gridSpan w:val="4"/>
            <w:vAlign w:val="center"/>
          </w:tcPr>
          <w:p>
            <w:pPr>
              <w:autoSpaceDE w:val="0"/>
              <w:autoSpaceDN w:val="0"/>
              <w:adjustRightInd w:val="0"/>
              <w:snapToGrid w:val="0"/>
              <w:spacing w:line="360" w:lineRule="auto"/>
              <w:jc w:val="left"/>
              <w:rPr>
                <w:b/>
                <w:sz w:val="24"/>
              </w:rPr>
            </w:pPr>
            <w:r>
              <w:rPr>
                <w:rFonts w:hint="eastAsia"/>
                <w:b/>
                <w:sz w:val="24"/>
              </w:rPr>
              <w:t>1、</w:t>
            </w:r>
            <w:r>
              <w:rPr>
                <w:b/>
                <w:sz w:val="24"/>
              </w:rPr>
              <w:t>“三线一单”控制要求相符性分析</w:t>
            </w:r>
          </w:p>
          <w:p>
            <w:pPr>
              <w:spacing w:line="360" w:lineRule="auto"/>
              <w:ind w:firstLine="482" w:firstLineChars="200"/>
              <w:rPr>
                <w:b/>
              </w:rPr>
            </w:pPr>
            <w:r>
              <w:rPr>
                <w:rFonts w:hint="eastAsia" w:hAnsi="宋体"/>
                <w:b/>
                <w:sz w:val="24"/>
              </w:rPr>
              <w:t>（1）</w:t>
            </w:r>
            <w:r>
              <w:rPr>
                <w:rFonts w:hAnsi="宋体"/>
                <w:b/>
                <w:sz w:val="24"/>
              </w:rPr>
              <w:t>根据《关于以改善环境质量为核心加强环境影响评价管理的通知》（环环评</w:t>
            </w:r>
            <w:r>
              <w:rPr>
                <w:b/>
                <w:sz w:val="24"/>
              </w:rPr>
              <w:t>[2016]150</w:t>
            </w:r>
            <w:r>
              <w:rPr>
                <w:rFonts w:hAnsi="宋体"/>
                <w:b/>
                <w:sz w:val="24"/>
              </w:rPr>
              <w:t>号文）</w:t>
            </w:r>
            <w:r>
              <w:rPr>
                <w:rFonts w:hint="eastAsia" w:hAnsi="宋体"/>
                <w:b/>
                <w:sz w:val="24"/>
              </w:rPr>
              <w:t>，</w:t>
            </w:r>
            <w:r>
              <w:rPr>
                <w:rFonts w:hAnsi="宋体"/>
                <w:b/>
                <w:sz w:val="24"/>
              </w:rPr>
              <w:t>本项目与</w:t>
            </w:r>
            <w:r>
              <w:rPr>
                <w:b/>
                <w:sz w:val="24"/>
              </w:rPr>
              <w:t>“</w:t>
            </w:r>
            <w:r>
              <w:rPr>
                <w:rFonts w:hAnsi="宋体"/>
                <w:b/>
                <w:sz w:val="24"/>
              </w:rPr>
              <w:t>三线一单</w:t>
            </w:r>
            <w:r>
              <w:rPr>
                <w:b/>
                <w:sz w:val="24"/>
              </w:rPr>
              <w:t>”</w:t>
            </w:r>
            <w:r>
              <w:rPr>
                <w:rFonts w:hAnsi="宋体"/>
                <w:b/>
                <w:sz w:val="24"/>
              </w:rPr>
              <w:t>相符性分析主要体现在以下四个方面：</w:t>
            </w:r>
          </w:p>
          <w:p>
            <w:pPr>
              <w:widowControl/>
              <w:jc w:val="center"/>
            </w:pPr>
            <w:r>
              <w:rPr>
                <w:b/>
                <w:bCs/>
                <w:kern w:val="0"/>
                <w:sz w:val="24"/>
              </w:rPr>
              <w:t>表1-</w:t>
            </w:r>
            <w:r>
              <w:rPr>
                <w:rFonts w:hint="eastAsia"/>
                <w:b/>
                <w:bCs/>
                <w:kern w:val="0"/>
                <w:sz w:val="24"/>
              </w:rPr>
              <w:t>1</w:t>
            </w:r>
            <w:r>
              <w:rPr>
                <w:b/>
                <w:bCs/>
                <w:kern w:val="0"/>
                <w:sz w:val="24"/>
              </w:rPr>
              <w:t xml:space="preserve"> “三线一单”符合性分析情况一览表</w:t>
            </w:r>
          </w:p>
          <w:tbl>
            <w:tblPr>
              <w:tblStyle w:val="2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78"/>
              <w:gridCol w:w="810"/>
              <w:gridCol w:w="6230"/>
              <w:gridCol w:w="77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8" w:type="pct"/>
                  <w:vAlign w:val="center"/>
                </w:tcPr>
                <w:p>
                  <w:pPr>
                    <w:autoSpaceDE w:val="0"/>
                    <w:autoSpaceDN w:val="0"/>
                    <w:snapToGrid w:val="0"/>
                    <w:jc w:val="center"/>
                    <w:rPr>
                      <w:b/>
                      <w:bCs/>
                      <w:szCs w:val="21"/>
                    </w:rPr>
                  </w:pPr>
                  <w:r>
                    <w:rPr>
                      <w:b/>
                      <w:bCs/>
                      <w:szCs w:val="21"/>
                    </w:rPr>
                    <w:t>序号</w:t>
                  </w:r>
                </w:p>
              </w:tc>
              <w:tc>
                <w:tcPr>
                  <w:tcW w:w="488" w:type="pct"/>
                  <w:vAlign w:val="center"/>
                </w:tcPr>
                <w:p>
                  <w:pPr>
                    <w:autoSpaceDE w:val="0"/>
                    <w:autoSpaceDN w:val="0"/>
                    <w:snapToGrid w:val="0"/>
                    <w:jc w:val="center"/>
                    <w:rPr>
                      <w:b/>
                      <w:bCs/>
                      <w:szCs w:val="21"/>
                    </w:rPr>
                  </w:pPr>
                  <w:r>
                    <w:rPr>
                      <w:b/>
                      <w:bCs/>
                      <w:szCs w:val="21"/>
                    </w:rPr>
                    <w:t>判断类型</w:t>
                  </w:r>
                </w:p>
              </w:tc>
              <w:tc>
                <w:tcPr>
                  <w:tcW w:w="3754" w:type="pct"/>
                  <w:vAlign w:val="center"/>
                </w:tcPr>
                <w:p>
                  <w:pPr>
                    <w:autoSpaceDE w:val="0"/>
                    <w:autoSpaceDN w:val="0"/>
                    <w:snapToGrid w:val="0"/>
                    <w:jc w:val="center"/>
                    <w:rPr>
                      <w:b/>
                      <w:bCs/>
                      <w:szCs w:val="21"/>
                    </w:rPr>
                  </w:pPr>
                  <w:r>
                    <w:rPr>
                      <w:b/>
                      <w:bCs/>
                      <w:szCs w:val="21"/>
                    </w:rPr>
                    <w:t>对照分析</w:t>
                  </w:r>
                </w:p>
              </w:tc>
              <w:tc>
                <w:tcPr>
                  <w:tcW w:w="469" w:type="pct"/>
                  <w:vAlign w:val="center"/>
                </w:tcPr>
                <w:p>
                  <w:pPr>
                    <w:autoSpaceDE w:val="0"/>
                    <w:autoSpaceDN w:val="0"/>
                    <w:snapToGrid w:val="0"/>
                    <w:jc w:val="center"/>
                    <w:rPr>
                      <w:b/>
                      <w:bCs/>
                      <w:szCs w:val="21"/>
                    </w:rPr>
                  </w:pPr>
                  <w:r>
                    <w:rPr>
                      <w:b/>
                      <w:bCs/>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76" w:hRule="atLeast"/>
              </w:trPr>
              <w:tc>
                <w:tcPr>
                  <w:tcW w:w="288" w:type="pct"/>
                  <w:vAlign w:val="center"/>
                </w:tcPr>
                <w:p>
                  <w:pPr>
                    <w:autoSpaceDE w:val="0"/>
                    <w:autoSpaceDN w:val="0"/>
                    <w:snapToGrid w:val="0"/>
                    <w:jc w:val="center"/>
                    <w:rPr>
                      <w:szCs w:val="21"/>
                    </w:rPr>
                  </w:pPr>
                  <w:r>
                    <w:rPr>
                      <w:szCs w:val="21"/>
                    </w:rPr>
                    <w:t>1</w:t>
                  </w:r>
                </w:p>
              </w:tc>
              <w:tc>
                <w:tcPr>
                  <w:tcW w:w="488" w:type="pct"/>
                  <w:vAlign w:val="center"/>
                </w:tcPr>
                <w:p>
                  <w:pPr>
                    <w:autoSpaceDE w:val="0"/>
                    <w:autoSpaceDN w:val="0"/>
                    <w:snapToGrid w:val="0"/>
                    <w:jc w:val="center"/>
                    <w:rPr>
                      <w:szCs w:val="21"/>
                    </w:rPr>
                  </w:pPr>
                  <w:r>
                    <w:rPr>
                      <w:szCs w:val="21"/>
                    </w:rPr>
                    <w:t>生态红线</w:t>
                  </w:r>
                </w:p>
              </w:tc>
              <w:tc>
                <w:tcPr>
                  <w:tcW w:w="3754" w:type="pct"/>
                  <w:vAlign w:val="center"/>
                </w:tcPr>
                <w:p>
                  <w:pPr>
                    <w:autoSpaceDE w:val="0"/>
                    <w:autoSpaceDN w:val="0"/>
                    <w:snapToGrid w:val="0"/>
                    <w:ind w:firstLine="420" w:firstLineChars="200"/>
                    <w:jc w:val="left"/>
                    <w:rPr>
                      <w:szCs w:val="21"/>
                    </w:rPr>
                  </w:pPr>
                  <w:r>
                    <w:rPr>
                      <w:szCs w:val="21"/>
                    </w:rPr>
                    <w:t>根据《省政府关于印发江苏省生态空间管控区域规划的通知》（苏政发[2020]1号）、《省政府关于印发江苏省国家级生态保护红线规划的通知》（苏政发[2018]74号）文件，距离本项目最近的国家级生态保护红线区域</w:t>
                  </w:r>
                  <w:r>
                    <w:rPr>
                      <w:rFonts w:hint="eastAsia"/>
                      <w:szCs w:val="21"/>
                    </w:rPr>
                    <w:t>为滆湖重要湿地（武进区），位于项目西南侧11km处；</w:t>
                  </w:r>
                  <w:r>
                    <w:rPr>
                      <w:szCs w:val="21"/>
                    </w:rPr>
                    <w:t>距离本项目最近的江苏省生态空间管控区域为</w:t>
                  </w:r>
                  <w:r>
                    <w:rPr>
                      <w:rFonts w:hint="eastAsia"/>
                      <w:szCs w:val="21"/>
                    </w:rPr>
                    <w:t>宋剑湖湿地公园</w:t>
                  </w:r>
                  <w:r>
                    <w:rPr>
                      <w:szCs w:val="21"/>
                    </w:rPr>
                    <w:t>，位于项</w:t>
                  </w:r>
                  <w:r>
                    <w:rPr>
                      <w:rFonts w:hint="eastAsia"/>
                      <w:szCs w:val="21"/>
                    </w:rPr>
                    <w:t>目东北</w:t>
                  </w:r>
                  <w:r>
                    <w:rPr>
                      <w:szCs w:val="21"/>
                    </w:rPr>
                    <w:t>侧</w:t>
                  </w:r>
                  <w:r>
                    <w:rPr>
                      <w:rFonts w:hint="eastAsia"/>
                      <w:szCs w:val="21"/>
                    </w:rPr>
                    <w:t>4.5</w:t>
                  </w:r>
                  <w:r>
                    <w:rPr>
                      <w:szCs w:val="21"/>
                    </w:rPr>
                    <w:t>km处。因此本项目不在文件中所列的国家级生态保护红线范围及生态空间管控区域范围内，符合《省政府关于印发江苏省生态空间管控区域规划的通知》（苏政发[2020]1号）、《省政府关于印发江苏省国家级生态保护红线规划的通知》（苏政发[2018]74号）文件要求。</w:t>
                  </w:r>
                </w:p>
              </w:tc>
              <w:tc>
                <w:tcPr>
                  <w:tcW w:w="469" w:type="pct"/>
                  <w:vAlign w:val="center"/>
                </w:tcPr>
                <w:p>
                  <w:pPr>
                    <w:autoSpaceDE w:val="0"/>
                    <w:autoSpaceDN w:val="0"/>
                    <w:snapToGrid w:val="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8" w:type="pct"/>
                  <w:vAlign w:val="center"/>
                </w:tcPr>
                <w:p>
                  <w:pPr>
                    <w:autoSpaceDE w:val="0"/>
                    <w:autoSpaceDN w:val="0"/>
                    <w:snapToGrid w:val="0"/>
                    <w:jc w:val="center"/>
                    <w:rPr>
                      <w:szCs w:val="21"/>
                    </w:rPr>
                  </w:pPr>
                  <w:r>
                    <w:rPr>
                      <w:szCs w:val="21"/>
                    </w:rPr>
                    <w:t>2</w:t>
                  </w:r>
                </w:p>
              </w:tc>
              <w:tc>
                <w:tcPr>
                  <w:tcW w:w="488" w:type="pct"/>
                  <w:vAlign w:val="center"/>
                </w:tcPr>
                <w:p>
                  <w:pPr>
                    <w:autoSpaceDE w:val="0"/>
                    <w:autoSpaceDN w:val="0"/>
                    <w:snapToGrid w:val="0"/>
                    <w:jc w:val="center"/>
                    <w:rPr>
                      <w:szCs w:val="21"/>
                    </w:rPr>
                  </w:pPr>
                  <w:r>
                    <w:rPr>
                      <w:szCs w:val="21"/>
                    </w:rPr>
                    <w:t>环境质量底线</w:t>
                  </w:r>
                </w:p>
              </w:tc>
              <w:tc>
                <w:tcPr>
                  <w:tcW w:w="3754" w:type="pct"/>
                  <w:vAlign w:val="center"/>
                </w:tcPr>
                <w:p>
                  <w:pPr>
                    <w:autoSpaceDE w:val="0"/>
                    <w:autoSpaceDN w:val="0"/>
                    <w:snapToGrid w:val="0"/>
                    <w:ind w:firstLine="420" w:firstLineChars="200"/>
                    <w:jc w:val="left"/>
                    <w:rPr>
                      <w:szCs w:val="21"/>
                    </w:rPr>
                  </w:pPr>
                  <w:r>
                    <w:rPr>
                      <w:szCs w:val="21"/>
                    </w:rPr>
                    <w:t>根据《2020年度常州市生态环境状况公报》，2020年常州市环境空气中SO</w:t>
                  </w:r>
                  <w:r>
                    <w:rPr>
                      <w:szCs w:val="21"/>
                      <w:vertAlign w:val="subscript"/>
                    </w:rPr>
                    <w:t>2</w:t>
                  </w:r>
                  <w:r>
                    <w:rPr>
                      <w:szCs w:val="21"/>
                    </w:rPr>
                    <w:t>年均值与日均值、NO</w:t>
                  </w:r>
                  <w:r>
                    <w:rPr>
                      <w:szCs w:val="21"/>
                      <w:vertAlign w:val="subscript"/>
                    </w:rPr>
                    <w:t>2</w:t>
                  </w:r>
                  <w:r>
                    <w:rPr>
                      <w:szCs w:val="21"/>
                    </w:rPr>
                    <w:t>年均值、PM</w:t>
                  </w:r>
                  <w:r>
                    <w:rPr>
                      <w:szCs w:val="21"/>
                      <w:vertAlign w:val="subscript"/>
                    </w:rPr>
                    <w:t>10</w:t>
                  </w:r>
                  <w:r>
                    <w:rPr>
                      <w:szCs w:val="21"/>
                    </w:rPr>
                    <w:t>年均值和CO日均值均达到环境空气质量二级标准；NO</w:t>
                  </w:r>
                  <w:r>
                    <w:rPr>
                      <w:szCs w:val="21"/>
                      <w:vertAlign w:val="subscript"/>
                    </w:rPr>
                    <w:t>2</w:t>
                  </w:r>
                  <w:r>
                    <w:rPr>
                      <w:szCs w:val="21"/>
                    </w:rPr>
                    <w:t>日均值、PM</w:t>
                  </w:r>
                  <w:r>
                    <w:rPr>
                      <w:szCs w:val="21"/>
                      <w:vertAlign w:val="subscript"/>
                    </w:rPr>
                    <w:t>10</w:t>
                  </w:r>
                  <w:r>
                    <w:rPr>
                      <w:szCs w:val="21"/>
                    </w:rPr>
                    <w:t>日均值、PM</w:t>
                  </w:r>
                  <w:r>
                    <w:rPr>
                      <w:szCs w:val="21"/>
                      <w:vertAlign w:val="subscript"/>
                    </w:rPr>
                    <w:t>2.5</w:t>
                  </w:r>
                  <w:r>
                    <w:rPr>
                      <w:szCs w:val="21"/>
                    </w:rPr>
                    <w:t>年均值和日均值、臭氧日最大8小时滑动均值第90百分位数浓度均超过环境空气质量二级标准，因此判定为非达标区</w:t>
                  </w:r>
                  <w:r>
                    <w:rPr>
                      <w:color w:val="0000FF"/>
                      <w:szCs w:val="21"/>
                    </w:rPr>
                    <w:t>。</w:t>
                  </w:r>
                  <w:r>
                    <w:rPr>
                      <w:szCs w:val="21"/>
                    </w:rPr>
                    <w:t>根据《市大气办关于印发常州市提升大气环境质量强化管控方案的通知》（常大气办[2018]3号）</w:t>
                  </w:r>
                  <w:r>
                    <w:rPr>
                      <w:rFonts w:hint="eastAsia"/>
                      <w:szCs w:val="21"/>
                    </w:rPr>
                    <w:t>、</w:t>
                  </w:r>
                  <w:r>
                    <w:rPr>
                      <w:szCs w:val="21"/>
                    </w:rPr>
                    <w:t>《2021年常州市深入打好污染防治攻坚战工作方案》（常政发[2021]21号）等文件采取措施后，常州市的大气空气质量将得到一定改善。根据现状监测结果可知，项目所在区域地表水、大气能够满足相应功能区划要求。本项目生活污水接管进滨湖污水处理厂集中处理，对高噪声设备采取减震隔声措施，固废均规范处置。因此，本项目建成后不会突破项目所在地的环境质量底线。</w:t>
                  </w:r>
                </w:p>
              </w:tc>
              <w:tc>
                <w:tcPr>
                  <w:tcW w:w="469" w:type="pct"/>
                  <w:vAlign w:val="center"/>
                </w:tcPr>
                <w:p>
                  <w:pPr>
                    <w:autoSpaceDE w:val="0"/>
                    <w:autoSpaceDN w:val="0"/>
                    <w:snapToGrid w:val="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8" w:type="pct"/>
                  <w:vAlign w:val="center"/>
                </w:tcPr>
                <w:p>
                  <w:pPr>
                    <w:autoSpaceDE w:val="0"/>
                    <w:autoSpaceDN w:val="0"/>
                    <w:snapToGrid w:val="0"/>
                    <w:jc w:val="center"/>
                    <w:rPr>
                      <w:szCs w:val="21"/>
                    </w:rPr>
                  </w:pPr>
                  <w:r>
                    <w:rPr>
                      <w:szCs w:val="21"/>
                    </w:rPr>
                    <w:t>3</w:t>
                  </w:r>
                </w:p>
              </w:tc>
              <w:tc>
                <w:tcPr>
                  <w:tcW w:w="488" w:type="pct"/>
                  <w:vAlign w:val="center"/>
                </w:tcPr>
                <w:p>
                  <w:pPr>
                    <w:autoSpaceDE w:val="0"/>
                    <w:autoSpaceDN w:val="0"/>
                    <w:snapToGrid w:val="0"/>
                    <w:jc w:val="center"/>
                    <w:rPr>
                      <w:szCs w:val="21"/>
                    </w:rPr>
                  </w:pPr>
                  <w:r>
                    <w:rPr>
                      <w:szCs w:val="21"/>
                    </w:rPr>
                    <w:t>资源利用上线</w:t>
                  </w:r>
                </w:p>
              </w:tc>
              <w:tc>
                <w:tcPr>
                  <w:tcW w:w="3754" w:type="pct"/>
                  <w:vAlign w:val="center"/>
                </w:tcPr>
                <w:p>
                  <w:pPr>
                    <w:autoSpaceDE w:val="0"/>
                    <w:autoSpaceDN w:val="0"/>
                    <w:snapToGrid w:val="0"/>
                    <w:ind w:firstLine="420" w:firstLineChars="200"/>
                    <w:jc w:val="left"/>
                    <w:rPr>
                      <w:szCs w:val="21"/>
                    </w:rPr>
                  </w:pPr>
                  <w:r>
                    <w:rPr>
                      <w:szCs w:val="21"/>
                    </w:rPr>
                    <w:t>本项目不属于高耗能行业，所使用的能源主要为水、电能；本项目所在地水资源丰富，电力资源由当地电网公司输送，企业将采取有效的节水、节电措施，切实提高投入产出比，降低能耗，不会突破资源利用上线。符合资源利用上线相关要求。</w:t>
                  </w:r>
                </w:p>
              </w:tc>
              <w:tc>
                <w:tcPr>
                  <w:tcW w:w="469" w:type="pct"/>
                  <w:vAlign w:val="center"/>
                </w:tcPr>
                <w:p>
                  <w:pPr>
                    <w:autoSpaceDE w:val="0"/>
                    <w:autoSpaceDN w:val="0"/>
                    <w:snapToGrid w:val="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88" w:type="pct"/>
                  <w:vAlign w:val="center"/>
                </w:tcPr>
                <w:p>
                  <w:pPr>
                    <w:autoSpaceDE w:val="0"/>
                    <w:autoSpaceDN w:val="0"/>
                    <w:snapToGrid w:val="0"/>
                    <w:jc w:val="center"/>
                    <w:rPr>
                      <w:szCs w:val="21"/>
                    </w:rPr>
                  </w:pPr>
                  <w:r>
                    <w:rPr>
                      <w:szCs w:val="21"/>
                    </w:rPr>
                    <w:t>4</w:t>
                  </w:r>
                </w:p>
              </w:tc>
              <w:tc>
                <w:tcPr>
                  <w:tcW w:w="488" w:type="pct"/>
                  <w:vAlign w:val="center"/>
                </w:tcPr>
                <w:p>
                  <w:pPr>
                    <w:autoSpaceDE w:val="0"/>
                    <w:autoSpaceDN w:val="0"/>
                    <w:snapToGrid w:val="0"/>
                    <w:jc w:val="center"/>
                    <w:rPr>
                      <w:szCs w:val="21"/>
                    </w:rPr>
                  </w:pPr>
                  <w:r>
                    <w:rPr>
                      <w:szCs w:val="21"/>
                    </w:rPr>
                    <w:t>环境准入负面清单</w:t>
                  </w:r>
                </w:p>
              </w:tc>
              <w:tc>
                <w:tcPr>
                  <w:tcW w:w="3754" w:type="pct"/>
                  <w:vAlign w:val="center"/>
                </w:tcPr>
                <w:p>
                  <w:pPr>
                    <w:autoSpaceDE w:val="0"/>
                    <w:autoSpaceDN w:val="0"/>
                    <w:snapToGrid w:val="0"/>
                    <w:ind w:firstLine="420" w:firstLineChars="200"/>
                    <w:jc w:val="left"/>
                    <w:rPr>
                      <w:szCs w:val="21"/>
                    </w:rPr>
                  </w:pPr>
                  <w:r>
                    <w:rPr>
                      <w:szCs w:val="21"/>
                    </w:rPr>
                    <w:t>经对照</w:t>
                  </w:r>
                  <w:r>
                    <w:rPr>
                      <w:rFonts w:hint="eastAsia"/>
                      <w:szCs w:val="21"/>
                    </w:rPr>
                    <w:t>，本项目不属于</w:t>
                  </w:r>
                  <w:r>
                    <w:rPr>
                      <w:szCs w:val="21"/>
                    </w:rPr>
                    <w:t>《市场准入负面清单（202</w:t>
                  </w:r>
                  <w:r>
                    <w:rPr>
                      <w:rFonts w:hint="eastAsia"/>
                      <w:szCs w:val="21"/>
                    </w:rPr>
                    <w:t>2</w:t>
                  </w:r>
                  <w:r>
                    <w:rPr>
                      <w:szCs w:val="21"/>
                    </w:rPr>
                    <w:t>年版）》中禁止事项</w:t>
                  </w:r>
                  <w:r>
                    <w:rPr>
                      <w:rFonts w:hint="eastAsia"/>
                      <w:szCs w:val="21"/>
                    </w:rPr>
                    <w:t>，不属于《省发展改革委省工业和信息化厅关于坚决遏制“两高”项目盲目发展的通知》（苏发改资环发【2021】837号）中“两高”项目，</w:t>
                  </w:r>
                  <w:r>
                    <w:rPr>
                      <w:szCs w:val="21"/>
                    </w:rPr>
                    <w:t>不属于《长江经济带发展负面清单指南（试行，2022年版）》中禁止建设类项目，未列入长江经济带发展负面清单。因此本项目符合环境准入负面清单相关要求</w:t>
                  </w:r>
                  <w:r>
                    <w:rPr>
                      <w:rFonts w:hint="eastAsia"/>
                      <w:szCs w:val="21"/>
                    </w:rPr>
                    <w:t>。</w:t>
                  </w:r>
                </w:p>
              </w:tc>
              <w:tc>
                <w:tcPr>
                  <w:tcW w:w="469" w:type="pct"/>
                  <w:vAlign w:val="center"/>
                </w:tcPr>
                <w:p>
                  <w:pPr>
                    <w:autoSpaceDE w:val="0"/>
                    <w:autoSpaceDN w:val="0"/>
                    <w:snapToGrid w:val="0"/>
                    <w:jc w:val="center"/>
                    <w:rPr>
                      <w:szCs w:val="21"/>
                    </w:rPr>
                  </w:pPr>
                  <w:r>
                    <w:rPr>
                      <w:szCs w:val="21"/>
                    </w:rPr>
                    <w:t>是</w:t>
                  </w:r>
                </w:p>
              </w:tc>
            </w:tr>
          </w:tbl>
          <w:p>
            <w:pPr>
              <w:spacing w:line="360" w:lineRule="auto"/>
              <w:ind w:firstLine="482" w:firstLineChars="200"/>
              <w:rPr>
                <w:b/>
                <w:sz w:val="24"/>
              </w:rPr>
            </w:pPr>
            <w:r>
              <w:rPr>
                <w:rFonts w:hint="eastAsia"/>
                <w:b/>
                <w:sz w:val="24"/>
              </w:rPr>
              <w:t>（</w:t>
            </w:r>
            <w:r>
              <w:rPr>
                <w:b/>
                <w:sz w:val="24"/>
              </w:rPr>
              <w:t>2）与《江苏省政府关于印发江苏省“三线一单”生态环境分区管控方案的通知》（苏政发[2020]49号）相符性</w:t>
            </w:r>
          </w:p>
          <w:p>
            <w:pPr>
              <w:spacing w:line="360" w:lineRule="auto"/>
              <w:ind w:firstLine="480" w:firstLineChars="200"/>
              <w:rPr>
                <w:sz w:val="24"/>
              </w:rPr>
            </w:pPr>
            <w:r>
              <w:rPr>
                <w:sz w:val="24"/>
              </w:rPr>
              <w:t>本项目位于江苏</w:t>
            </w:r>
            <w:r>
              <w:rPr>
                <w:rFonts w:hint="eastAsia"/>
                <w:sz w:val="24"/>
              </w:rPr>
              <w:t>省常州市武进区湖塘镇三勤社区何家组</w:t>
            </w:r>
            <w:r>
              <w:rPr>
                <w:sz w:val="24"/>
              </w:rPr>
              <w:t>，所在地位于长江流域及太湖流域</w:t>
            </w:r>
            <w:r>
              <w:rPr>
                <w:rFonts w:hint="eastAsia"/>
                <w:sz w:val="24"/>
              </w:rPr>
              <w:t>，</w:t>
            </w:r>
            <w:r>
              <w:rPr>
                <w:sz w:val="24"/>
              </w:rPr>
              <w:t>对照《江苏省政府关于印发江苏省“三线一单”生态环境分区管控方案的通知》（苏政发[2020]49号）可知，项目位于重点管控单元，其重点管控要求与本项目的相符性分析见表1-</w:t>
            </w:r>
            <w:r>
              <w:rPr>
                <w:rFonts w:hint="eastAsia"/>
                <w:sz w:val="24"/>
              </w:rPr>
              <w:t>2。</w:t>
            </w:r>
          </w:p>
          <w:p>
            <w:pPr>
              <w:jc w:val="center"/>
              <w:rPr>
                <w:b/>
                <w:sz w:val="24"/>
              </w:rPr>
            </w:pPr>
            <w:r>
              <w:rPr>
                <w:rFonts w:hint="eastAsia"/>
                <w:b/>
                <w:sz w:val="24"/>
              </w:rPr>
              <w:t>表1-2 与苏政发</w:t>
            </w:r>
            <w:r>
              <w:rPr>
                <w:b/>
                <w:sz w:val="24"/>
              </w:rPr>
              <w:t>[2020]</w:t>
            </w:r>
            <w:r>
              <w:rPr>
                <w:rFonts w:hint="eastAsia"/>
                <w:b/>
                <w:sz w:val="24"/>
              </w:rPr>
              <w:t>49号相符性分析</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5688"/>
              <w:gridCol w:w="18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vAlign w:val="center"/>
                </w:tcPr>
                <w:p>
                  <w:pPr>
                    <w:jc w:val="center"/>
                    <w:rPr>
                      <w:b/>
                    </w:rPr>
                  </w:pPr>
                  <w:r>
                    <w:rPr>
                      <w:rFonts w:hint="eastAsia"/>
                      <w:b/>
                    </w:rPr>
                    <w:t>管控类别</w:t>
                  </w:r>
                </w:p>
              </w:tc>
              <w:tc>
                <w:tcPr>
                  <w:tcW w:w="3428" w:type="pct"/>
                  <w:vAlign w:val="center"/>
                </w:tcPr>
                <w:p>
                  <w:pPr>
                    <w:jc w:val="center"/>
                    <w:rPr>
                      <w:b/>
                    </w:rPr>
                  </w:pPr>
                  <w:r>
                    <w:rPr>
                      <w:rFonts w:hint="eastAsia"/>
                      <w:b/>
                    </w:rPr>
                    <w:t>重点管控要求</w:t>
                  </w:r>
                </w:p>
              </w:tc>
              <w:tc>
                <w:tcPr>
                  <w:tcW w:w="1118" w:type="pct"/>
                  <w:vAlign w:val="center"/>
                </w:tcPr>
                <w:p>
                  <w:pPr>
                    <w:jc w:val="center"/>
                    <w:rPr>
                      <w:b/>
                    </w:rPr>
                  </w:pPr>
                  <w:r>
                    <w:rPr>
                      <w:rFonts w:hint="eastAsia"/>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pPr>
                    <w:jc w:val="center"/>
                    <w:rPr>
                      <w:b/>
                    </w:rPr>
                  </w:pPr>
                  <w:r>
                    <w:rPr>
                      <w:rFonts w:hint="eastAsia"/>
                      <w:b/>
                    </w:rPr>
                    <w:t>长江流域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78" w:hRule="atLeast"/>
                <w:jc w:val="center"/>
              </w:trPr>
              <w:tc>
                <w:tcPr>
                  <w:tcW w:w="454" w:type="pct"/>
                  <w:vMerge w:val="restart"/>
                  <w:vAlign w:val="center"/>
                </w:tcPr>
                <w:p>
                  <w:pPr>
                    <w:jc w:val="center"/>
                  </w:pPr>
                  <w:r>
                    <w:rPr>
                      <w:rFonts w:hint="eastAsia"/>
                    </w:rPr>
                    <w:t>空间布局约束</w:t>
                  </w:r>
                </w:p>
              </w:tc>
              <w:tc>
                <w:tcPr>
                  <w:tcW w:w="3428" w:type="pct"/>
                  <w:tcBorders>
                    <w:bottom w:val="single" w:color="auto" w:sz="2" w:space="0"/>
                  </w:tcBorders>
                  <w:vAlign w:val="center"/>
                </w:tcPr>
                <w:p>
                  <w:pPr>
                    <w:ind w:firstLine="420" w:firstLineChars="200"/>
                  </w:pPr>
                  <w:r>
                    <w:rPr>
                      <w:rFonts w:hint="eastAsia"/>
                    </w:rPr>
                    <w:t>1、始终把长江生态修复放在首位，坚持共抓大保护、不搞大开发，引导长江流域产业转型升级和布局优化调整，实现科学发展、有序发展、高质量发展。</w:t>
                  </w:r>
                </w:p>
                <w:p>
                  <w:pPr>
                    <w:ind w:firstLine="420" w:firstLineChars="200"/>
                  </w:pPr>
                  <w:r>
                    <w:rPr>
                      <w:rFonts w:hint="eastAsia"/>
                    </w:rPr>
                    <w:t>2、加强生态空间保护，禁止在国家确定的生态保护红线和永久基本农田范围内，投资建设除国家重大战略资源勘查项目、生态保护修复和地质灾害治理项目、重大基础设施项目、军事国防项目以及农民基本生产生活等必要的民生项目以外的项目。</w:t>
                  </w:r>
                </w:p>
              </w:tc>
              <w:tc>
                <w:tcPr>
                  <w:tcW w:w="1118" w:type="pct"/>
                  <w:tcBorders>
                    <w:bottom w:val="single" w:color="auto" w:sz="2" w:space="0"/>
                  </w:tcBorders>
                  <w:vAlign w:val="center"/>
                </w:tcPr>
                <w:p>
                  <w:pPr>
                    <w:ind w:firstLine="420" w:firstLineChars="200"/>
                  </w:pPr>
                  <w:r>
                    <w:rPr>
                      <w:rFonts w:hint="eastAsia"/>
                    </w:rPr>
                    <w:t>本项目位于江苏省常州市武进区湖塘镇三勤社区何家组，不在国家确定的生态保护红线和永久基本农田范围内。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27" w:hRule="atLeast"/>
                <w:jc w:val="center"/>
              </w:trPr>
              <w:tc>
                <w:tcPr>
                  <w:tcW w:w="454" w:type="pct"/>
                  <w:vMerge w:val="continue"/>
                  <w:vAlign w:val="center"/>
                </w:tcPr>
                <w:p>
                  <w:pPr>
                    <w:jc w:val="center"/>
                  </w:pPr>
                </w:p>
              </w:tc>
              <w:tc>
                <w:tcPr>
                  <w:tcW w:w="3428" w:type="pct"/>
                  <w:tcBorders>
                    <w:top w:val="single" w:color="auto" w:sz="2" w:space="0"/>
                    <w:bottom w:val="single" w:color="auto" w:sz="2" w:space="0"/>
                  </w:tcBorders>
                  <w:vAlign w:val="center"/>
                </w:tcPr>
                <w:p>
                  <w:pPr>
                    <w:ind w:firstLine="420" w:firstLineChars="200"/>
                  </w:pPr>
                  <w:r>
                    <w:rPr>
                      <w:rFonts w:hint="eastAsia"/>
                    </w:rPr>
                    <w:t>3、禁止在沿江地区新建或扩建化学工业园区，禁止新建或扩建以大宗进口油气资源为原料的石油加工、石油化工、基础有机无机化工、煤化工项目；禁止在长江干流和主要支流岸线1公里范围内新建危化品码头。</w:t>
                  </w:r>
                </w:p>
              </w:tc>
              <w:tc>
                <w:tcPr>
                  <w:tcW w:w="1118" w:type="pct"/>
                  <w:tcBorders>
                    <w:top w:val="single" w:color="auto" w:sz="2" w:space="0"/>
                    <w:bottom w:val="single" w:color="auto" w:sz="2" w:space="0"/>
                  </w:tcBorders>
                  <w:vAlign w:val="center"/>
                </w:tcPr>
                <w:p>
                  <w:pPr>
                    <w:ind w:firstLine="420" w:firstLineChars="200"/>
                  </w:pPr>
                  <w:r>
                    <w:rPr>
                      <w:rFonts w:hint="eastAsia"/>
                    </w:rPr>
                    <w:t>本项目为</w:t>
                  </w:r>
                  <w:r>
                    <w:rPr>
                      <w:rFonts w:hint="eastAsia" w:eastAsiaTheme="minorEastAsia"/>
                      <w:szCs w:val="21"/>
                    </w:rPr>
                    <w:t>机械零部件加工行</w:t>
                  </w:r>
                  <w:r>
                    <w:rPr>
                      <w:rFonts w:hint="eastAsia"/>
                    </w:rPr>
                    <w:t>业，不属于上述禁止建设的项目；本项目不在长江干流和主要支流岸线1公里范围内。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454" w:type="pct"/>
                  <w:vMerge w:val="continue"/>
                  <w:vAlign w:val="center"/>
                </w:tcPr>
                <w:p>
                  <w:pPr>
                    <w:jc w:val="center"/>
                  </w:pPr>
                </w:p>
              </w:tc>
              <w:tc>
                <w:tcPr>
                  <w:tcW w:w="3428" w:type="pct"/>
                  <w:tcBorders>
                    <w:top w:val="single" w:color="auto" w:sz="2" w:space="0"/>
                    <w:bottom w:val="single" w:color="auto" w:sz="2" w:space="0"/>
                  </w:tcBorders>
                  <w:vAlign w:val="center"/>
                </w:tcPr>
                <w:p>
                  <w:pPr>
                    <w:ind w:firstLine="420" w:firstLineChars="200"/>
                  </w:pPr>
                  <w:r>
                    <w:rPr>
                      <w:rFonts w:hint="eastAsia"/>
                    </w:rPr>
                    <w:t>4、强化港口布局优化，禁止建设不符合国家港口布局规划和《江苏省沿江沿海港口布局规划（2015-2030年）》《江苏省内河港口布局规划（2017-2035年）》的码头项目，禁止建设未纳入《长江干线过江通道布局规划》的过江干线通道项目。</w:t>
                  </w:r>
                </w:p>
              </w:tc>
              <w:tc>
                <w:tcPr>
                  <w:tcW w:w="1118" w:type="pct"/>
                  <w:tcBorders>
                    <w:top w:val="single" w:color="auto" w:sz="2" w:space="0"/>
                    <w:bottom w:val="single" w:color="auto" w:sz="2" w:space="0"/>
                  </w:tcBorders>
                  <w:vAlign w:val="center"/>
                </w:tcPr>
                <w:p>
                  <w:pPr>
                    <w:ind w:firstLine="420" w:firstLineChars="200"/>
                  </w:pPr>
                  <w:r>
                    <w:rPr>
                      <w:rFonts w:hint="eastAsia"/>
                    </w:rPr>
                    <w:t>本项目为</w:t>
                  </w:r>
                  <w:r>
                    <w:rPr>
                      <w:rFonts w:hint="eastAsia" w:eastAsiaTheme="minorEastAsia"/>
                      <w:szCs w:val="21"/>
                    </w:rPr>
                    <w:t>机械零部件加工行</w:t>
                  </w:r>
                  <w:r>
                    <w:rPr>
                      <w:rFonts w:hint="eastAsia"/>
                    </w:rPr>
                    <w:t>业，不属于码头项目和过江干线通道项目。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vAlign w:val="center"/>
                </w:tcPr>
                <w:p>
                  <w:pPr>
                    <w:jc w:val="center"/>
                  </w:pPr>
                  <w:r>
                    <w:rPr>
                      <w:rFonts w:hint="eastAsia"/>
                    </w:rPr>
                    <w:t>污染物排放管控</w:t>
                  </w:r>
                </w:p>
              </w:tc>
              <w:tc>
                <w:tcPr>
                  <w:tcW w:w="3428" w:type="pct"/>
                  <w:vAlign w:val="center"/>
                </w:tcPr>
                <w:p>
                  <w:pPr>
                    <w:ind w:firstLine="420" w:firstLineChars="200"/>
                  </w:pPr>
                  <w:r>
                    <w:rPr>
                      <w:rFonts w:hint="eastAsia"/>
                    </w:rPr>
                    <w:t>1、根据《江苏省长江水污染防治条例》实施污染物总量控制制度。</w:t>
                  </w:r>
                </w:p>
                <w:p>
                  <w:pPr>
                    <w:ind w:firstLine="420" w:firstLineChars="200"/>
                  </w:pPr>
                  <w:r>
                    <w:rPr>
                      <w:rFonts w:hint="eastAsia"/>
                    </w:rPr>
                    <w:t>2、全面加强和规范长江入河排污口管理，有效管控入河污染物排放，形成权责清晰、监控到位、管理规范的长江入河排污口监管体系，加快改善长江水环境质量。</w:t>
                  </w:r>
                </w:p>
              </w:tc>
              <w:tc>
                <w:tcPr>
                  <w:tcW w:w="1118" w:type="pct"/>
                  <w:vAlign w:val="center"/>
                </w:tcPr>
                <w:p>
                  <w:pPr>
                    <w:ind w:firstLine="420" w:firstLineChars="200"/>
                  </w:pPr>
                  <w:r>
                    <w:rPr>
                      <w:szCs w:val="21"/>
                    </w:rPr>
                    <w:t>本项目</w:t>
                  </w:r>
                  <w:r>
                    <w:rPr>
                      <w:rFonts w:hint="eastAsia"/>
                      <w:szCs w:val="21"/>
                    </w:rPr>
                    <w:t>食堂废水经隔油池处理后与</w:t>
                  </w:r>
                  <w:r>
                    <w:rPr>
                      <w:szCs w:val="21"/>
                    </w:rPr>
                    <w:t>生活污水</w:t>
                  </w:r>
                  <w:r>
                    <w:rPr>
                      <w:rFonts w:hint="eastAsia"/>
                    </w:rPr>
                    <w:t>接管至武南污水处理厂，总量在武南污水处理厂内平衡。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vAlign w:val="center"/>
                </w:tcPr>
                <w:p>
                  <w:pPr>
                    <w:jc w:val="center"/>
                  </w:pPr>
                  <w:r>
                    <w:rPr>
                      <w:rFonts w:hint="eastAsia"/>
                    </w:rPr>
                    <w:t>环境风险防控</w:t>
                  </w:r>
                </w:p>
              </w:tc>
              <w:tc>
                <w:tcPr>
                  <w:tcW w:w="3428" w:type="pct"/>
                  <w:vAlign w:val="center"/>
                </w:tcPr>
                <w:p>
                  <w:pPr>
                    <w:ind w:firstLine="420" w:firstLineChars="200"/>
                  </w:pPr>
                  <w:r>
                    <w:rPr>
                      <w:rFonts w:hint="eastAsia"/>
                    </w:rPr>
                    <w:t>1、防范沿江环境风险。深化沿江石化、化工、医药、纺织、印染、化纤、危化品和石油类仓储、涉重金属和危险废物处置等重点企业环境风险防控。</w:t>
                  </w:r>
                </w:p>
                <w:p>
                  <w:pPr>
                    <w:ind w:firstLine="420" w:firstLineChars="200"/>
                  </w:pPr>
                  <w:r>
                    <w:rPr>
                      <w:rFonts w:hint="eastAsia"/>
                    </w:rPr>
                    <w:t>2、加强饮用水水源保护。优化水源保护区划定，推动饮用水水源地规范化建设。</w:t>
                  </w:r>
                </w:p>
              </w:tc>
              <w:tc>
                <w:tcPr>
                  <w:tcW w:w="1118" w:type="pct"/>
                  <w:vAlign w:val="center"/>
                </w:tcPr>
                <w:p>
                  <w:pPr>
                    <w:ind w:firstLine="420" w:firstLineChars="200"/>
                  </w:pPr>
                  <w:r>
                    <w:rPr>
                      <w:rFonts w:hint="eastAsia"/>
                    </w:rPr>
                    <w:t>本项目为</w:t>
                  </w:r>
                  <w:r>
                    <w:rPr>
                      <w:rFonts w:hint="eastAsia" w:eastAsiaTheme="minorEastAsia"/>
                      <w:szCs w:val="21"/>
                    </w:rPr>
                    <w:t>机械零部件加工行</w:t>
                  </w:r>
                  <w:r>
                    <w:rPr>
                      <w:rFonts w:hint="eastAsia"/>
                    </w:rPr>
                    <w:t>业，不属于上述行业。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vAlign w:val="center"/>
                </w:tcPr>
                <w:p>
                  <w:pPr>
                    <w:jc w:val="center"/>
                  </w:pPr>
                  <w:r>
                    <w:rPr>
                      <w:rFonts w:hint="eastAsia"/>
                    </w:rPr>
                    <w:t>资源利用效率要求</w:t>
                  </w:r>
                </w:p>
              </w:tc>
              <w:tc>
                <w:tcPr>
                  <w:tcW w:w="3428" w:type="pct"/>
                  <w:vAlign w:val="center"/>
                </w:tcPr>
                <w:p>
                  <w:pPr>
                    <w:ind w:firstLine="420" w:firstLineChars="200"/>
                  </w:pPr>
                  <w:r>
                    <w:rPr>
                      <w:rFonts w:hint="eastAsia"/>
                    </w:rPr>
                    <w:t>到2020年长江干支流自然岸线保有率达到国家要求。</w:t>
                  </w:r>
                </w:p>
              </w:tc>
              <w:tc>
                <w:tcPr>
                  <w:tcW w:w="1118" w:type="pct"/>
                  <w:vAlign w:val="center"/>
                </w:tcPr>
                <w:p>
                  <w:pPr>
                    <w:ind w:firstLine="420" w:firstLineChars="200"/>
                  </w:pP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vAlign w:val="center"/>
                </w:tcPr>
                <w:p>
                  <w:pPr>
                    <w:jc w:val="center"/>
                    <w:rPr>
                      <w:b/>
                    </w:rPr>
                  </w:pPr>
                  <w:r>
                    <w:rPr>
                      <w:rFonts w:hint="eastAsia"/>
                      <w:b/>
                    </w:rPr>
                    <w:t>太湖流域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vAlign w:val="center"/>
                </w:tcPr>
                <w:p>
                  <w:pPr>
                    <w:jc w:val="center"/>
                  </w:pPr>
                  <w:r>
                    <w:rPr>
                      <w:rFonts w:hint="eastAsia"/>
                    </w:rPr>
                    <w:t>空间布局约束</w:t>
                  </w:r>
                </w:p>
              </w:tc>
              <w:tc>
                <w:tcPr>
                  <w:tcW w:w="3428" w:type="pct"/>
                  <w:vAlign w:val="center"/>
                </w:tcPr>
                <w:p>
                  <w:pPr>
                    <w:ind w:firstLine="420" w:firstLineChars="200"/>
                  </w:pPr>
                  <w:r>
                    <w:rPr>
                      <w:rFonts w:hint="eastAsia"/>
                    </w:rPr>
                    <w:t>1、在太湖流域一、二、三级保护区，禁止新建、改建、扩建化学制浆造纸、制革、酿造、染料、印染、电镀以及其他排放含磷、氮等污染物的企业和项目，城镇污水集中处理等环境基础设施项目和《江苏省太湖水污染防治条例》第四十六条规定的情形除外。</w:t>
                  </w:r>
                </w:p>
                <w:p>
                  <w:pPr>
                    <w:ind w:firstLine="420" w:firstLineChars="200"/>
                  </w:pPr>
                  <w:r>
                    <w:rPr>
                      <w:rFonts w:hint="eastAsia"/>
                    </w:rPr>
                    <w:t>2、在太湖流域一级保护区，禁止新建、扩建向水体排放污染物的建设项目，禁止新建、扩建畜禽养殖场，禁止新建、扩建高尔夫球场、水上游乐等开发项目以及设置水上餐饮经营设施。</w:t>
                  </w:r>
                </w:p>
                <w:p>
                  <w:pPr>
                    <w:ind w:firstLine="420" w:firstLineChars="200"/>
                  </w:pPr>
                  <w:r>
                    <w:rPr>
                      <w:rFonts w:hint="eastAsia"/>
                    </w:rPr>
                    <w:t>3、在太湖流域二级保护区，禁止新建、扩建化工、医药生产项目，禁止新建、扩建污水集中处理设施排污口以外的排污口。</w:t>
                  </w:r>
                </w:p>
              </w:tc>
              <w:tc>
                <w:tcPr>
                  <w:tcW w:w="1118" w:type="pct"/>
                  <w:vAlign w:val="center"/>
                </w:tcPr>
                <w:p>
                  <w:pPr>
                    <w:ind w:firstLine="420" w:firstLineChars="200"/>
                  </w:pPr>
                  <w:r>
                    <w:rPr>
                      <w:rFonts w:hint="eastAsia"/>
                    </w:rPr>
                    <w:t>本项目位于江苏省常州市武进区湖塘镇三勤社区何家组</w:t>
                  </w:r>
                  <w:r>
                    <w:rPr>
                      <w:rFonts w:hint="eastAsia"/>
                      <w:szCs w:val="21"/>
                    </w:rPr>
                    <w:t>，属于太湖流域三级保护区；本项目为</w:t>
                  </w:r>
                  <w:r>
                    <w:rPr>
                      <w:rFonts w:hint="eastAsia" w:eastAsiaTheme="minorEastAsia"/>
                      <w:szCs w:val="21"/>
                    </w:rPr>
                    <w:t>机械零部件加工行</w:t>
                  </w:r>
                  <w:r>
                    <w:rPr>
                      <w:rFonts w:hint="eastAsia"/>
                    </w:rPr>
                    <w:t>业</w:t>
                  </w:r>
                  <w:r>
                    <w:rPr>
                      <w:rFonts w:hint="eastAsia"/>
                      <w:szCs w:val="21"/>
                    </w:rPr>
                    <w:t>，无含氮磷生产废水排放，食堂废水经隔油池处理后与</w:t>
                  </w:r>
                  <w:r>
                    <w:rPr>
                      <w:szCs w:val="21"/>
                    </w:rPr>
                    <w:t>生活污水</w:t>
                  </w:r>
                  <w:r>
                    <w:rPr>
                      <w:rFonts w:hint="eastAsia"/>
                      <w:szCs w:val="21"/>
                    </w:rPr>
                    <w:t>通过市政管网排入武南污水处理厂。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vAlign w:val="center"/>
                </w:tcPr>
                <w:p>
                  <w:pPr>
                    <w:jc w:val="center"/>
                  </w:pPr>
                  <w:r>
                    <w:rPr>
                      <w:rFonts w:hint="eastAsia"/>
                    </w:rPr>
                    <w:t>污染物排放管控</w:t>
                  </w:r>
                </w:p>
              </w:tc>
              <w:tc>
                <w:tcPr>
                  <w:tcW w:w="3428" w:type="pct"/>
                  <w:vAlign w:val="center"/>
                </w:tcPr>
                <w:p>
                  <w:pPr>
                    <w:ind w:firstLine="420" w:firstLineChars="200"/>
                  </w:pPr>
                  <w:r>
                    <w:rPr>
                      <w:rFonts w:hint="eastAsia"/>
                    </w:rPr>
                    <w:t>城镇污水处理厂、纺织工业、化学工业、造纸工业、钢铁工业、电镀工业和食品工业的污水处理设施执行《太湖地区城镇污水处理厂及重点工业行业主要水污染物排放限值》。</w:t>
                  </w:r>
                </w:p>
              </w:tc>
              <w:tc>
                <w:tcPr>
                  <w:tcW w:w="1118" w:type="pct"/>
                  <w:vAlign w:val="center"/>
                </w:tcPr>
                <w:p>
                  <w:pPr>
                    <w:ind w:firstLine="420" w:firstLineChars="200"/>
                  </w:pPr>
                  <w:r>
                    <w:rPr>
                      <w:rFonts w:hint="eastAsia"/>
                    </w:rPr>
                    <w:t>本项目为</w:t>
                  </w:r>
                  <w:r>
                    <w:rPr>
                      <w:rFonts w:hint="eastAsia" w:eastAsiaTheme="minorEastAsia"/>
                      <w:szCs w:val="21"/>
                    </w:rPr>
                    <w:t>机械零部件加工行</w:t>
                  </w:r>
                  <w:r>
                    <w:rPr>
                      <w:rFonts w:hint="eastAsia"/>
                    </w:rPr>
                    <w:t>业，无生产废水产生，</w:t>
                  </w:r>
                  <w:r>
                    <w:rPr>
                      <w:rFonts w:hint="eastAsia"/>
                      <w:szCs w:val="21"/>
                    </w:rPr>
                    <w:t>食堂废水经隔油池处理后与</w:t>
                  </w:r>
                  <w:r>
                    <w:rPr>
                      <w:szCs w:val="21"/>
                    </w:rPr>
                    <w:t>生活污水</w:t>
                  </w:r>
                  <w:r>
                    <w:rPr>
                      <w:rFonts w:hint="eastAsia"/>
                    </w:rPr>
                    <w:t>接管至武南污水处理厂集中处理，不属于上述行业。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vAlign w:val="center"/>
                </w:tcPr>
                <w:p>
                  <w:pPr>
                    <w:jc w:val="center"/>
                  </w:pPr>
                  <w:r>
                    <w:rPr>
                      <w:rFonts w:hint="eastAsia"/>
                    </w:rPr>
                    <w:t>环境风险防控</w:t>
                  </w:r>
                </w:p>
              </w:tc>
              <w:tc>
                <w:tcPr>
                  <w:tcW w:w="3428" w:type="pct"/>
                  <w:vAlign w:val="center"/>
                </w:tcPr>
                <w:p>
                  <w:pPr>
                    <w:ind w:firstLine="420" w:firstLineChars="200"/>
                  </w:pPr>
                  <w:r>
                    <w:rPr>
                      <w:rFonts w:hint="eastAsia"/>
                    </w:rPr>
                    <w:t>1、运输剧毒物质、危险化学品的船舶不得进入太湖。</w:t>
                  </w:r>
                </w:p>
                <w:p>
                  <w:pPr>
                    <w:ind w:firstLine="420" w:firstLineChars="200"/>
                  </w:pPr>
                  <w:r>
                    <w:rPr>
                      <w:rFonts w:hint="eastAsia"/>
                    </w:rPr>
                    <w:t>2、禁止向太湖流域水体排放或者倾倒油类、酸液、碱液、剧毒废渣废液、含放射性废渣废液、含病原体污水、工业废渣以及其他废弃物。</w:t>
                  </w:r>
                </w:p>
                <w:p>
                  <w:pPr>
                    <w:ind w:firstLine="420" w:firstLineChars="200"/>
                  </w:pPr>
                  <w:r>
                    <w:rPr>
                      <w:rFonts w:hint="eastAsia"/>
                    </w:rPr>
                    <w:t>3、加强太湖流域生态环境风险应急管控，着力提高防控太湖蓝藻水华风险预警和应急处置能力。</w:t>
                  </w:r>
                </w:p>
              </w:tc>
              <w:tc>
                <w:tcPr>
                  <w:tcW w:w="1118" w:type="pct"/>
                  <w:vAlign w:val="center"/>
                </w:tcPr>
                <w:p>
                  <w:pPr>
                    <w:ind w:firstLine="420" w:firstLineChars="200"/>
                  </w:pPr>
                  <w:r>
                    <w:rPr>
                      <w:rFonts w:hint="eastAsia"/>
                    </w:rPr>
                    <w:t>本项目将在生产过程中加强风险管控，严防污染物污染水体和周边外环境，不涉及《江苏省人民政府关于印发江苏省“三线一单”生态环境分区管控方案的通知》中规定的环境风险。</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vAlign w:val="center"/>
                </w:tcPr>
                <w:p>
                  <w:pPr>
                    <w:jc w:val="center"/>
                  </w:pPr>
                  <w:r>
                    <w:rPr>
                      <w:rFonts w:hint="eastAsia"/>
                    </w:rPr>
                    <w:t>资源利用效率要求</w:t>
                  </w:r>
                </w:p>
              </w:tc>
              <w:tc>
                <w:tcPr>
                  <w:tcW w:w="3428" w:type="pct"/>
                  <w:vAlign w:val="center"/>
                </w:tcPr>
                <w:p>
                  <w:pPr>
                    <w:ind w:firstLine="420" w:firstLineChars="200"/>
                  </w:pPr>
                  <w:r>
                    <w:rPr>
                      <w:rFonts w:hint="eastAsia"/>
                    </w:rPr>
                    <w:t>1、太湖流域加强水资源配置与调度，优先满足居民生活用水，兼顾生产、生态用水以及航运等需要。</w:t>
                  </w:r>
                </w:p>
                <w:p>
                  <w:pPr>
                    <w:ind w:firstLine="420" w:firstLineChars="200"/>
                  </w:pPr>
                  <w:r>
                    <w:rPr>
                      <w:rFonts w:hint="eastAsia"/>
                    </w:rPr>
                    <w:t>2、2020年底前，太湖流域所有省级以上开发区开展园区循环化改造。</w:t>
                  </w:r>
                </w:p>
              </w:tc>
              <w:tc>
                <w:tcPr>
                  <w:tcW w:w="1118" w:type="pct"/>
                  <w:vAlign w:val="center"/>
                </w:tcPr>
                <w:p>
                  <w:pPr>
                    <w:ind w:firstLine="420" w:firstLineChars="200"/>
                  </w:pPr>
                  <w:r>
                    <w:rPr>
                      <w:rFonts w:hint="eastAsia"/>
                    </w:rPr>
                    <w:t>/</w:t>
                  </w:r>
                </w:p>
              </w:tc>
            </w:tr>
          </w:tbl>
          <w:p>
            <w:pPr>
              <w:spacing w:line="360" w:lineRule="auto"/>
              <w:ind w:firstLine="480" w:firstLineChars="200"/>
              <w:rPr>
                <w:sz w:val="24"/>
              </w:rPr>
            </w:pPr>
            <w:r>
              <w:rPr>
                <w:rFonts w:hint="eastAsia"/>
                <w:sz w:val="24"/>
              </w:rPr>
              <w:t>综上，本项目与《江苏省政府关于印发江苏省“三线一单”生态环境分区管控方案的通知》（苏政发[2020]49号）的要求相符。</w:t>
            </w:r>
          </w:p>
          <w:p>
            <w:pPr>
              <w:spacing w:line="360" w:lineRule="auto"/>
              <w:ind w:firstLine="482" w:firstLineChars="200"/>
              <w:rPr>
                <w:b/>
                <w:sz w:val="24"/>
              </w:rPr>
            </w:pPr>
            <w:r>
              <w:rPr>
                <w:rFonts w:hint="eastAsia"/>
                <w:b/>
                <w:sz w:val="24"/>
              </w:rPr>
              <w:t>（3）与《常州市“三线一单”生态环境分区管控实施方案》相符性</w:t>
            </w:r>
          </w:p>
          <w:p>
            <w:pPr>
              <w:spacing w:line="360" w:lineRule="auto"/>
              <w:ind w:firstLine="480" w:firstLineChars="200"/>
              <w:rPr>
                <w:sz w:val="24"/>
              </w:rPr>
            </w:pPr>
            <w:r>
              <w:rPr>
                <w:rFonts w:hint="eastAsia"/>
                <w:sz w:val="24"/>
              </w:rPr>
              <w:t>本项目位于江苏省常州市武进区湖塘镇三勤社区何家组，对照《常州市“三线一单”生态环境分区管控实施方案》（常环[2020]95号）可知，项目位于重点管控单元，其重点管控要求与本项目的相符性分析见表1-3。</w:t>
            </w:r>
          </w:p>
          <w:p>
            <w:pPr>
              <w:jc w:val="center"/>
              <w:rPr>
                <w:b/>
                <w:sz w:val="24"/>
              </w:rPr>
            </w:pPr>
          </w:p>
          <w:p>
            <w:pPr>
              <w:jc w:val="center"/>
              <w:rPr>
                <w:b/>
                <w:sz w:val="24"/>
              </w:rPr>
            </w:pPr>
          </w:p>
          <w:p>
            <w:pPr>
              <w:jc w:val="center"/>
              <w:rPr>
                <w:b/>
                <w:sz w:val="24"/>
              </w:rPr>
            </w:pPr>
          </w:p>
          <w:p>
            <w:pPr>
              <w:jc w:val="center"/>
              <w:rPr>
                <w:b/>
                <w:sz w:val="24"/>
              </w:rPr>
            </w:pPr>
          </w:p>
          <w:p>
            <w:pPr>
              <w:jc w:val="center"/>
              <w:rPr>
                <w:b/>
                <w:sz w:val="24"/>
              </w:rPr>
            </w:pPr>
            <w:r>
              <w:rPr>
                <w:rFonts w:hint="eastAsia"/>
                <w:b/>
                <w:sz w:val="24"/>
              </w:rPr>
              <w:t>表1-3 与常环〔2020〕95号相符性分析</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53"/>
              <w:gridCol w:w="5688"/>
              <w:gridCol w:w="185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tcBorders>
                    <w:top w:val="single" w:color="auto" w:sz="12" w:space="0"/>
                    <w:left w:val="nil"/>
                    <w:bottom w:val="single" w:color="auto" w:sz="4" w:space="0"/>
                    <w:right w:val="single" w:color="auto" w:sz="4" w:space="0"/>
                  </w:tcBorders>
                  <w:vAlign w:val="center"/>
                </w:tcPr>
                <w:p>
                  <w:pPr>
                    <w:jc w:val="center"/>
                    <w:rPr>
                      <w:b/>
                      <w:szCs w:val="21"/>
                    </w:rPr>
                  </w:pPr>
                  <w:r>
                    <w:rPr>
                      <w:b/>
                    </w:rPr>
                    <w:t>管控类别</w:t>
                  </w:r>
                </w:p>
              </w:tc>
              <w:tc>
                <w:tcPr>
                  <w:tcW w:w="3428" w:type="pct"/>
                  <w:tcBorders>
                    <w:top w:val="single" w:color="auto" w:sz="12" w:space="0"/>
                    <w:left w:val="single" w:color="auto" w:sz="4" w:space="0"/>
                    <w:bottom w:val="single" w:color="auto" w:sz="4" w:space="0"/>
                    <w:right w:val="single" w:color="auto" w:sz="4" w:space="0"/>
                  </w:tcBorders>
                  <w:vAlign w:val="center"/>
                </w:tcPr>
                <w:p>
                  <w:pPr>
                    <w:jc w:val="center"/>
                    <w:rPr>
                      <w:b/>
                      <w:szCs w:val="21"/>
                    </w:rPr>
                  </w:pPr>
                  <w:r>
                    <w:rPr>
                      <w:b/>
                    </w:rPr>
                    <w:t>重点管控要求</w:t>
                  </w:r>
                </w:p>
              </w:tc>
              <w:tc>
                <w:tcPr>
                  <w:tcW w:w="1118" w:type="pct"/>
                  <w:tcBorders>
                    <w:top w:val="single" w:color="auto" w:sz="12" w:space="0"/>
                    <w:left w:val="single" w:color="auto" w:sz="4" w:space="0"/>
                    <w:bottom w:val="single" w:color="auto" w:sz="4" w:space="0"/>
                    <w:right w:val="nil"/>
                  </w:tcBorders>
                  <w:vAlign w:val="center"/>
                </w:tcPr>
                <w:p>
                  <w:pPr>
                    <w:jc w:val="center"/>
                    <w:rPr>
                      <w:b/>
                      <w:szCs w:val="21"/>
                    </w:rPr>
                  </w:pPr>
                  <w:r>
                    <w:rPr>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gridSpan w:val="3"/>
                  <w:tcBorders>
                    <w:top w:val="single" w:color="auto" w:sz="4" w:space="0"/>
                    <w:left w:val="nil"/>
                    <w:bottom w:val="single" w:color="auto" w:sz="4" w:space="0"/>
                    <w:right w:val="nil"/>
                  </w:tcBorders>
                  <w:vAlign w:val="center"/>
                </w:tcPr>
                <w:p>
                  <w:pPr>
                    <w:jc w:val="center"/>
                    <w:rPr>
                      <w:kern w:val="0"/>
                    </w:rPr>
                  </w:pPr>
                  <w:r>
                    <w:rPr>
                      <w:kern w:val="0"/>
                    </w:rPr>
                    <w:t>常州市中心城区（武进区）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19" w:hRule="atLeast"/>
                <w:jc w:val="center"/>
              </w:trPr>
              <w:tc>
                <w:tcPr>
                  <w:tcW w:w="454" w:type="pct"/>
                  <w:tcBorders>
                    <w:top w:val="single" w:color="auto" w:sz="4" w:space="0"/>
                    <w:left w:val="nil"/>
                    <w:bottom w:val="single" w:color="auto" w:sz="4" w:space="0"/>
                    <w:right w:val="single" w:color="auto" w:sz="4" w:space="0"/>
                  </w:tcBorders>
                  <w:vAlign w:val="center"/>
                </w:tcPr>
                <w:p>
                  <w:pPr>
                    <w:jc w:val="center"/>
                    <w:rPr>
                      <w:szCs w:val="21"/>
                    </w:rPr>
                  </w:pPr>
                  <w:r>
                    <w:t>空间布局约束</w:t>
                  </w:r>
                </w:p>
              </w:tc>
              <w:tc>
                <w:tcPr>
                  <w:tcW w:w="3428" w:type="pct"/>
                  <w:tcBorders>
                    <w:top w:val="single" w:color="auto" w:sz="4" w:space="0"/>
                    <w:left w:val="single" w:color="auto" w:sz="4" w:space="0"/>
                    <w:bottom w:val="single" w:color="auto" w:sz="4" w:space="0"/>
                    <w:right w:val="single" w:color="auto" w:sz="4" w:space="0"/>
                  </w:tcBorders>
                  <w:vAlign w:val="center"/>
                </w:tcPr>
                <w:p>
                  <w:pPr>
                    <w:widowControl/>
                    <w:ind w:firstLine="420" w:firstLineChars="200"/>
                    <w:rPr>
                      <w:color w:val="000000"/>
                      <w:kern w:val="0"/>
                      <w:szCs w:val="21"/>
                    </w:rPr>
                  </w:pPr>
                  <w:r>
                    <w:rPr>
                      <w:rFonts w:hAnsi="宋体"/>
                      <w:color w:val="000000"/>
                      <w:kern w:val="0"/>
                      <w:szCs w:val="21"/>
                    </w:rPr>
                    <w:t>（</w:t>
                  </w:r>
                  <w:r>
                    <w:rPr>
                      <w:color w:val="000000"/>
                      <w:kern w:val="0"/>
                      <w:szCs w:val="21"/>
                    </w:rPr>
                    <w:t>1</w:t>
                  </w:r>
                  <w:r>
                    <w:rPr>
                      <w:rFonts w:hAnsi="宋体"/>
                      <w:color w:val="000000"/>
                      <w:kern w:val="0"/>
                      <w:szCs w:val="21"/>
                    </w:rPr>
                    <w:t>）各类开发建设活动应符合常州市总体规划、控制性详细规划、土地利用规划等相关要求。</w:t>
                  </w:r>
                </w:p>
                <w:p>
                  <w:pPr>
                    <w:widowControl/>
                    <w:ind w:firstLine="420" w:firstLineChars="200"/>
                    <w:rPr>
                      <w:color w:val="000000"/>
                      <w:kern w:val="0"/>
                      <w:szCs w:val="21"/>
                    </w:rPr>
                  </w:pPr>
                  <w:r>
                    <w:rPr>
                      <w:rFonts w:hAnsi="宋体"/>
                      <w:color w:val="000000"/>
                      <w:kern w:val="0"/>
                      <w:szCs w:val="21"/>
                    </w:rPr>
                    <w:t>（</w:t>
                  </w:r>
                  <w:r>
                    <w:rPr>
                      <w:color w:val="000000"/>
                      <w:kern w:val="0"/>
                      <w:szCs w:val="21"/>
                    </w:rPr>
                    <w:t>2</w:t>
                  </w:r>
                  <w:r>
                    <w:rPr>
                      <w:rFonts w:hAnsi="宋体"/>
                      <w:color w:val="000000"/>
                      <w:kern w:val="0"/>
                      <w:szCs w:val="21"/>
                    </w:rPr>
                    <w:t>）禁止引入列入《产业结构调整指导目录（</w:t>
                  </w:r>
                  <w:r>
                    <w:rPr>
                      <w:color w:val="000000"/>
                      <w:kern w:val="0"/>
                      <w:szCs w:val="21"/>
                    </w:rPr>
                    <w:t>2019</w:t>
                  </w:r>
                  <w:r>
                    <w:rPr>
                      <w:rFonts w:hAnsi="宋体"/>
                      <w:color w:val="000000"/>
                      <w:kern w:val="0"/>
                      <w:szCs w:val="21"/>
                    </w:rPr>
                    <w:t>年本）》、《江苏省产业结构调整限制、淘汰和禁止目录》、《江苏省工业和信息产业结构调整、限制、淘汰目录及能耗限额》淘汰类的产业。</w:t>
                  </w:r>
                </w:p>
              </w:tc>
              <w:tc>
                <w:tcPr>
                  <w:tcW w:w="1118" w:type="pct"/>
                  <w:tcBorders>
                    <w:top w:val="single" w:color="auto" w:sz="4" w:space="0"/>
                    <w:left w:val="single" w:color="auto" w:sz="4" w:space="0"/>
                    <w:bottom w:val="single" w:color="auto" w:sz="4" w:space="0"/>
                    <w:right w:val="nil"/>
                  </w:tcBorders>
                  <w:vAlign w:val="center"/>
                </w:tcPr>
                <w:p>
                  <w:pPr>
                    <w:ind w:firstLine="420" w:firstLineChars="200"/>
                    <w:rPr>
                      <w:szCs w:val="21"/>
                    </w:rPr>
                  </w:pPr>
                  <w:r>
                    <w:rPr>
                      <w:rFonts w:hint="eastAsia"/>
                    </w:rPr>
                    <w:t>本项目为</w:t>
                  </w:r>
                  <w:r>
                    <w:rPr>
                      <w:rFonts w:hint="eastAsia" w:eastAsiaTheme="minorEastAsia"/>
                      <w:szCs w:val="21"/>
                    </w:rPr>
                    <w:t>机械零部件加工行</w:t>
                  </w:r>
                  <w:r>
                    <w:rPr>
                      <w:rFonts w:hint="eastAsia"/>
                    </w:rPr>
                    <w:t>业，不属于上述行业。</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7" w:hRule="atLeast"/>
                <w:jc w:val="center"/>
              </w:trPr>
              <w:tc>
                <w:tcPr>
                  <w:tcW w:w="454" w:type="pct"/>
                  <w:tcBorders>
                    <w:top w:val="single" w:color="auto" w:sz="4" w:space="0"/>
                    <w:left w:val="nil"/>
                    <w:bottom w:val="single" w:color="auto" w:sz="4" w:space="0"/>
                    <w:right w:val="single" w:color="auto" w:sz="4" w:space="0"/>
                  </w:tcBorders>
                  <w:vAlign w:val="center"/>
                </w:tcPr>
                <w:p>
                  <w:pPr>
                    <w:jc w:val="center"/>
                    <w:rPr>
                      <w:szCs w:val="21"/>
                    </w:rPr>
                  </w:pPr>
                  <w:r>
                    <w:t>污染物排放管控</w:t>
                  </w:r>
                </w:p>
              </w:tc>
              <w:tc>
                <w:tcPr>
                  <w:tcW w:w="3428" w:type="pct"/>
                  <w:tcBorders>
                    <w:top w:val="single" w:color="auto" w:sz="4" w:space="0"/>
                    <w:left w:val="single" w:color="auto" w:sz="4" w:space="0"/>
                    <w:bottom w:val="single" w:color="auto" w:sz="4" w:space="0"/>
                    <w:right w:val="single" w:color="auto" w:sz="4" w:space="0"/>
                  </w:tcBorders>
                  <w:vAlign w:val="center"/>
                </w:tcPr>
                <w:p>
                  <w:pPr>
                    <w:widowControl/>
                    <w:ind w:firstLine="420" w:firstLineChars="200"/>
                    <w:rPr>
                      <w:color w:val="000000"/>
                      <w:kern w:val="0"/>
                      <w:szCs w:val="21"/>
                    </w:rPr>
                  </w:pPr>
                  <w:r>
                    <w:rPr>
                      <w:rFonts w:hAnsi="宋体"/>
                      <w:color w:val="000000"/>
                      <w:kern w:val="0"/>
                      <w:szCs w:val="21"/>
                    </w:rPr>
                    <w:t>（</w:t>
                  </w:r>
                  <w:r>
                    <w:rPr>
                      <w:color w:val="000000"/>
                      <w:kern w:val="0"/>
                      <w:szCs w:val="21"/>
                    </w:rPr>
                    <w:t>1</w:t>
                  </w:r>
                  <w:r>
                    <w:rPr>
                      <w:rFonts w:hAnsi="宋体"/>
                      <w:color w:val="000000"/>
                      <w:kern w:val="0"/>
                      <w:szCs w:val="21"/>
                    </w:rPr>
                    <w:t>）严格实施污染物总量控制制度，根据区域环境质量改善目标，削减污染物排放总量。</w:t>
                  </w:r>
                </w:p>
                <w:p>
                  <w:pPr>
                    <w:widowControl/>
                    <w:ind w:firstLine="420" w:firstLineChars="200"/>
                    <w:rPr>
                      <w:color w:val="000000"/>
                      <w:kern w:val="0"/>
                      <w:szCs w:val="21"/>
                    </w:rPr>
                  </w:pPr>
                  <w:r>
                    <w:rPr>
                      <w:rFonts w:hAnsi="宋体"/>
                      <w:color w:val="000000"/>
                      <w:kern w:val="0"/>
                      <w:szCs w:val="21"/>
                    </w:rPr>
                    <w:t>（</w:t>
                  </w:r>
                  <w:r>
                    <w:rPr>
                      <w:color w:val="000000"/>
                      <w:kern w:val="0"/>
                      <w:szCs w:val="21"/>
                    </w:rPr>
                    <w:t>2</w:t>
                  </w:r>
                  <w:r>
                    <w:rPr>
                      <w:rFonts w:hAnsi="宋体"/>
                      <w:color w:val="000000"/>
                      <w:kern w:val="0"/>
                      <w:szCs w:val="21"/>
                    </w:rPr>
                    <w:t>）强化餐饮油烟治理，加强噪声污染防治，严格施工扬尘监管，加强土壤和地下水污染防治与修复。</w:t>
                  </w:r>
                </w:p>
              </w:tc>
              <w:tc>
                <w:tcPr>
                  <w:tcW w:w="1118" w:type="pct"/>
                  <w:tcBorders>
                    <w:top w:val="single" w:color="auto" w:sz="4" w:space="0"/>
                    <w:left w:val="single" w:color="auto" w:sz="4" w:space="0"/>
                    <w:bottom w:val="single" w:color="auto" w:sz="4" w:space="0"/>
                    <w:right w:val="nil"/>
                  </w:tcBorders>
                  <w:vAlign w:val="center"/>
                </w:tcPr>
                <w:p>
                  <w:pPr>
                    <w:ind w:firstLine="420" w:firstLineChars="200"/>
                    <w:rPr>
                      <w:szCs w:val="21"/>
                    </w:rPr>
                  </w:pPr>
                  <w:r>
                    <w:t>实行总量控制制度，废水进入</w:t>
                  </w:r>
                  <w:r>
                    <w:rPr>
                      <w:rFonts w:hint="eastAsia"/>
                    </w:rPr>
                    <w:t>武南</w:t>
                  </w:r>
                  <w:r>
                    <w:t>污水处理厂</w:t>
                  </w: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tcBorders>
                    <w:top w:val="single" w:color="auto" w:sz="4" w:space="0"/>
                    <w:left w:val="nil"/>
                    <w:bottom w:val="single" w:color="auto" w:sz="4" w:space="0"/>
                    <w:right w:val="single" w:color="auto" w:sz="4" w:space="0"/>
                  </w:tcBorders>
                  <w:vAlign w:val="center"/>
                </w:tcPr>
                <w:p>
                  <w:pPr>
                    <w:jc w:val="center"/>
                    <w:rPr>
                      <w:szCs w:val="21"/>
                    </w:rPr>
                  </w:pPr>
                  <w:r>
                    <w:t>环境风险防控</w:t>
                  </w:r>
                </w:p>
              </w:tc>
              <w:tc>
                <w:tcPr>
                  <w:tcW w:w="3428" w:type="pct"/>
                  <w:tcBorders>
                    <w:top w:val="single" w:color="auto" w:sz="4" w:space="0"/>
                    <w:left w:val="single" w:color="auto" w:sz="4" w:space="0"/>
                    <w:bottom w:val="single" w:color="auto" w:sz="4" w:space="0"/>
                    <w:right w:val="single" w:color="auto" w:sz="4" w:space="0"/>
                  </w:tcBorders>
                  <w:vAlign w:val="center"/>
                </w:tcPr>
                <w:p>
                  <w:pPr>
                    <w:widowControl/>
                    <w:ind w:firstLine="420" w:firstLineChars="200"/>
                    <w:rPr>
                      <w:color w:val="000000"/>
                      <w:kern w:val="0"/>
                      <w:szCs w:val="21"/>
                    </w:rPr>
                  </w:pPr>
                  <w:r>
                    <w:rPr>
                      <w:rFonts w:hAnsi="宋体"/>
                      <w:color w:val="000000"/>
                      <w:kern w:val="0"/>
                      <w:szCs w:val="21"/>
                    </w:rPr>
                    <w:t>合理布局工业、商业、居住、科教等功能区块，严格控制噪声、恶臭、油烟等污染排放较大的建设项目布局。</w:t>
                  </w:r>
                </w:p>
              </w:tc>
              <w:tc>
                <w:tcPr>
                  <w:tcW w:w="1118" w:type="pct"/>
                  <w:tcBorders>
                    <w:top w:val="single" w:color="auto" w:sz="4" w:space="0"/>
                    <w:left w:val="single" w:color="auto" w:sz="4" w:space="0"/>
                    <w:bottom w:val="single" w:color="auto" w:sz="4" w:space="0"/>
                    <w:right w:val="nil"/>
                  </w:tcBorders>
                  <w:vAlign w:val="center"/>
                </w:tcPr>
                <w:p>
                  <w:pPr>
                    <w:ind w:firstLine="420" w:firstLineChars="200"/>
                  </w:pPr>
                  <w:r>
                    <w:rPr>
                      <w:rFonts w:hint="eastAsia"/>
                    </w:rPr>
                    <w:t>本项目噪声满足功能区要求。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4" w:type="pct"/>
                  <w:tcBorders>
                    <w:top w:val="single" w:color="auto" w:sz="4" w:space="0"/>
                    <w:left w:val="nil"/>
                    <w:bottom w:val="single" w:color="auto" w:sz="12" w:space="0"/>
                    <w:right w:val="single" w:color="auto" w:sz="4" w:space="0"/>
                  </w:tcBorders>
                  <w:vAlign w:val="center"/>
                </w:tcPr>
                <w:p>
                  <w:pPr>
                    <w:jc w:val="center"/>
                    <w:rPr>
                      <w:szCs w:val="21"/>
                    </w:rPr>
                  </w:pPr>
                  <w:r>
                    <w:t>资源利用效率要求</w:t>
                  </w:r>
                </w:p>
              </w:tc>
              <w:tc>
                <w:tcPr>
                  <w:tcW w:w="3428" w:type="pct"/>
                  <w:tcBorders>
                    <w:top w:val="single" w:color="auto" w:sz="4" w:space="0"/>
                    <w:left w:val="single" w:color="auto" w:sz="4" w:space="0"/>
                    <w:bottom w:val="single" w:color="auto" w:sz="12" w:space="0"/>
                    <w:right w:val="single" w:color="auto" w:sz="4" w:space="0"/>
                  </w:tcBorders>
                  <w:vAlign w:val="center"/>
                </w:tcPr>
                <w:p>
                  <w:pPr>
                    <w:widowControl/>
                    <w:ind w:firstLine="420" w:firstLineChars="200"/>
                    <w:rPr>
                      <w:color w:val="000000"/>
                      <w:kern w:val="0"/>
                      <w:szCs w:val="21"/>
                    </w:rPr>
                  </w:pPr>
                  <w:r>
                    <w:rPr>
                      <w:rFonts w:hAnsi="宋体"/>
                      <w:color w:val="000000"/>
                      <w:kern w:val="0"/>
                      <w:szCs w:val="21"/>
                    </w:rPr>
                    <w:t>全面开展节水型社会建设，推进节水产品推广普及，限制高耗水服务业用水。</w:t>
                  </w:r>
                </w:p>
              </w:tc>
              <w:tc>
                <w:tcPr>
                  <w:tcW w:w="1118" w:type="pct"/>
                  <w:tcBorders>
                    <w:top w:val="single" w:color="auto" w:sz="4" w:space="0"/>
                    <w:left w:val="single" w:color="auto" w:sz="4" w:space="0"/>
                    <w:bottom w:val="single" w:color="auto" w:sz="12" w:space="0"/>
                    <w:right w:val="nil"/>
                  </w:tcBorders>
                  <w:vAlign w:val="center"/>
                </w:tcPr>
                <w:p>
                  <w:pPr>
                    <w:ind w:firstLine="420" w:firstLineChars="200"/>
                  </w:pPr>
                  <w:r>
                    <w:rPr>
                      <w:rFonts w:hint="eastAsia"/>
                    </w:rPr>
                    <w:t>本项目无生产废水产生，</w:t>
                  </w:r>
                  <w:r>
                    <w:rPr>
                      <w:rFonts w:hint="eastAsia"/>
                      <w:szCs w:val="21"/>
                    </w:rPr>
                    <w:t>食堂废水经隔油池处理后与</w:t>
                  </w:r>
                  <w:r>
                    <w:rPr>
                      <w:szCs w:val="21"/>
                    </w:rPr>
                    <w:t>生活污水</w:t>
                  </w:r>
                  <w:r>
                    <w:rPr>
                      <w:rFonts w:hint="eastAsia"/>
                    </w:rPr>
                    <w:t>接管市政水管，经由武南污水处理厂处理。</w:t>
                  </w:r>
                </w:p>
              </w:tc>
            </w:tr>
          </w:tbl>
          <w:p>
            <w:pPr>
              <w:spacing w:line="360" w:lineRule="auto"/>
              <w:ind w:firstLine="480" w:firstLineChars="200"/>
              <w:rPr>
                <w:sz w:val="24"/>
              </w:rPr>
            </w:pPr>
            <w:r>
              <w:rPr>
                <w:rFonts w:hint="eastAsia"/>
                <w:sz w:val="24"/>
              </w:rPr>
              <w:t>综上，本项目与《常州市“三线一单”生态环境分区管控实施方案》（常环[2020]95号）的要求相符。</w:t>
            </w:r>
          </w:p>
          <w:p>
            <w:pPr>
              <w:autoSpaceDE w:val="0"/>
              <w:autoSpaceDN w:val="0"/>
              <w:adjustRightInd w:val="0"/>
              <w:snapToGrid w:val="0"/>
              <w:spacing w:line="360" w:lineRule="auto"/>
              <w:rPr>
                <w:b/>
                <w:bCs/>
                <w:sz w:val="24"/>
              </w:rPr>
            </w:pPr>
            <w:r>
              <w:rPr>
                <w:b/>
                <w:bCs/>
                <w:sz w:val="24"/>
              </w:rPr>
              <w:t>2、产业政策相符性分析</w:t>
            </w:r>
          </w:p>
          <w:p>
            <w:pPr>
              <w:jc w:val="center"/>
            </w:pPr>
            <w:r>
              <w:rPr>
                <w:b/>
                <w:sz w:val="24"/>
              </w:rPr>
              <w:t>表1-4  产业政策相符性分析</w:t>
            </w:r>
          </w:p>
          <w:tbl>
            <w:tblPr>
              <w:tblStyle w:val="22"/>
              <w:tblW w:w="8056"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1"/>
              <w:gridCol w:w="4873"/>
              <w:gridCol w:w="239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791" w:type="dxa"/>
                  <w:vAlign w:val="center"/>
                </w:tcPr>
                <w:p>
                  <w:pPr>
                    <w:jc w:val="center"/>
                    <w:rPr>
                      <w:b/>
                      <w:bCs/>
                      <w:szCs w:val="21"/>
                    </w:rPr>
                  </w:pPr>
                  <w:r>
                    <w:rPr>
                      <w:b/>
                      <w:bCs/>
                      <w:szCs w:val="21"/>
                    </w:rPr>
                    <w:t>序号</w:t>
                  </w:r>
                </w:p>
              </w:tc>
              <w:tc>
                <w:tcPr>
                  <w:tcW w:w="4873" w:type="dxa"/>
                  <w:vAlign w:val="center"/>
                </w:tcPr>
                <w:p>
                  <w:pPr>
                    <w:jc w:val="center"/>
                    <w:rPr>
                      <w:b/>
                      <w:bCs/>
                      <w:szCs w:val="21"/>
                    </w:rPr>
                  </w:pPr>
                  <w:r>
                    <w:rPr>
                      <w:b/>
                      <w:bCs/>
                      <w:szCs w:val="21"/>
                    </w:rPr>
                    <w:t>对照分析</w:t>
                  </w:r>
                </w:p>
              </w:tc>
              <w:tc>
                <w:tcPr>
                  <w:tcW w:w="2392" w:type="dxa"/>
                  <w:vAlign w:val="center"/>
                </w:tcPr>
                <w:p>
                  <w:pPr>
                    <w:jc w:val="center"/>
                    <w:rPr>
                      <w:b/>
                      <w:bCs/>
                      <w:szCs w:val="21"/>
                    </w:rPr>
                  </w:pPr>
                  <w:r>
                    <w:rPr>
                      <w:b/>
                      <w:bCs/>
                      <w:szCs w:val="21"/>
                    </w:rPr>
                    <w:t>是否满足要求</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791" w:type="dxa"/>
                  <w:vAlign w:val="center"/>
                </w:tcPr>
                <w:p>
                  <w:pPr>
                    <w:jc w:val="center"/>
                    <w:rPr>
                      <w:szCs w:val="21"/>
                    </w:rPr>
                  </w:pPr>
                  <w:r>
                    <w:rPr>
                      <w:szCs w:val="21"/>
                    </w:rPr>
                    <w:t>1</w:t>
                  </w:r>
                </w:p>
              </w:tc>
              <w:tc>
                <w:tcPr>
                  <w:tcW w:w="4873" w:type="dxa"/>
                  <w:vAlign w:val="center"/>
                </w:tcPr>
                <w:p>
                  <w:pPr>
                    <w:adjustRightInd w:val="0"/>
                    <w:snapToGrid w:val="0"/>
                    <w:jc w:val="center"/>
                    <w:rPr>
                      <w:szCs w:val="21"/>
                    </w:rPr>
                  </w:pPr>
                  <w:r>
                    <w:rPr>
                      <w:szCs w:val="21"/>
                    </w:rPr>
                    <w:t>《产业结构调整指导目录（20</w:t>
                  </w:r>
                  <w:r>
                    <w:rPr>
                      <w:rFonts w:hint="eastAsia"/>
                      <w:szCs w:val="21"/>
                    </w:rPr>
                    <w:t>21</w:t>
                  </w:r>
                  <w:r>
                    <w:rPr>
                      <w:szCs w:val="21"/>
                    </w:rPr>
                    <w:t>年本）》</w:t>
                  </w:r>
                </w:p>
              </w:tc>
              <w:tc>
                <w:tcPr>
                  <w:tcW w:w="2392" w:type="dxa"/>
                  <w:vAlign w:val="center"/>
                </w:tcPr>
                <w:p>
                  <w:pPr>
                    <w:adjustRightInd w:val="0"/>
                    <w:snapToGrid w:val="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1" w:type="dxa"/>
                  <w:vAlign w:val="center"/>
                </w:tcPr>
                <w:p>
                  <w:pPr>
                    <w:jc w:val="center"/>
                    <w:rPr>
                      <w:szCs w:val="21"/>
                    </w:rPr>
                  </w:pPr>
                  <w:r>
                    <w:rPr>
                      <w:szCs w:val="21"/>
                    </w:rPr>
                    <w:t>2</w:t>
                  </w:r>
                </w:p>
              </w:tc>
              <w:tc>
                <w:tcPr>
                  <w:tcW w:w="4873" w:type="dxa"/>
                  <w:vAlign w:val="center"/>
                </w:tcPr>
                <w:p>
                  <w:pPr>
                    <w:adjustRightInd w:val="0"/>
                    <w:snapToGrid w:val="0"/>
                    <w:jc w:val="center"/>
                    <w:rPr>
                      <w:szCs w:val="21"/>
                    </w:rPr>
                  </w:pPr>
                  <w:r>
                    <w:rPr>
                      <w:szCs w:val="21"/>
                    </w:rPr>
                    <w:t>《江苏省产业结构调整限制、淘汰和禁止目录（2018年本）》</w:t>
                  </w:r>
                </w:p>
              </w:tc>
              <w:tc>
                <w:tcPr>
                  <w:tcW w:w="2392" w:type="dxa"/>
                  <w:vAlign w:val="center"/>
                </w:tcPr>
                <w:p>
                  <w:pPr>
                    <w:adjustRightInd w:val="0"/>
                    <w:snapToGrid w:val="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1" w:type="dxa"/>
                  <w:vAlign w:val="center"/>
                </w:tcPr>
                <w:p>
                  <w:pPr>
                    <w:jc w:val="center"/>
                    <w:rPr>
                      <w:szCs w:val="21"/>
                    </w:rPr>
                  </w:pPr>
                  <w:r>
                    <w:rPr>
                      <w:szCs w:val="21"/>
                    </w:rPr>
                    <w:t>3</w:t>
                  </w:r>
                </w:p>
              </w:tc>
              <w:tc>
                <w:tcPr>
                  <w:tcW w:w="4873" w:type="dxa"/>
                  <w:vAlign w:val="center"/>
                </w:tcPr>
                <w:p>
                  <w:pPr>
                    <w:adjustRightInd w:val="0"/>
                    <w:snapToGrid w:val="0"/>
                    <w:jc w:val="center"/>
                    <w:rPr>
                      <w:szCs w:val="21"/>
                    </w:rPr>
                  </w:pPr>
                  <w:r>
                    <w:rPr>
                      <w:szCs w:val="21"/>
                    </w:rPr>
                    <w:t>《江苏省工业和信息产业结构调整指导目录（2012 年本）》、《关于修改江苏省工业和信息产业结构调整指导目录（2012年本）部分条目的通知》</w:t>
                  </w:r>
                </w:p>
              </w:tc>
              <w:tc>
                <w:tcPr>
                  <w:tcW w:w="2392" w:type="dxa"/>
                  <w:vAlign w:val="center"/>
                </w:tcPr>
                <w:p>
                  <w:pPr>
                    <w:adjustRightInd w:val="0"/>
                    <w:snapToGrid w:val="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1" w:type="dxa"/>
                  <w:vAlign w:val="center"/>
                </w:tcPr>
                <w:p>
                  <w:pPr>
                    <w:jc w:val="center"/>
                    <w:rPr>
                      <w:szCs w:val="21"/>
                    </w:rPr>
                  </w:pPr>
                  <w:r>
                    <w:rPr>
                      <w:szCs w:val="21"/>
                    </w:rPr>
                    <w:t>4</w:t>
                  </w:r>
                </w:p>
              </w:tc>
              <w:tc>
                <w:tcPr>
                  <w:tcW w:w="4873" w:type="dxa"/>
                  <w:vAlign w:val="center"/>
                </w:tcPr>
                <w:p>
                  <w:pPr>
                    <w:adjustRightInd w:val="0"/>
                    <w:snapToGrid w:val="0"/>
                    <w:jc w:val="center"/>
                    <w:rPr>
                      <w:szCs w:val="21"/>
                    </w:rPr>
                  </w:pPr>
                  <w:r>
                    <w:rPr>
                      <w:szCs w:val="21"/>
                    </w:rPr>
                    <w:t>《江苏省工业和信息产业结构调整限制淘汰目录和能耗限额》（2015年本）</w:t>
                  </w:r>
                </w:p>
              </w:tc>
              <w:tc>
                <w:tcPr>
                  <w:tcW w:w="2392" w:type="dxa"/>
                  <w:vAlign w:val="center"/>
                </w:tcPr>
                <w:p>
                  <w:pPr>
                    <w:adjustRightInd w:val="0"/>
                    <w:snapToGrid w:val="0"/>
                    <w:jc w:val="center"/>
                    <w:rPr>
                      <w:szCs w:val="21"/>
                    </w:rPr>
                  </w:pPr>
                  <w:r>
                    <w:rPr>
                      <w:szCs w:val="21"/>
                    </w:rPr>
                    <w:t>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791" w:type="dxa"/>
                  <w:vAlign w:val="center"/>
                </w:tcPr>
                <w:p>
                  <w:pPr>
                    <w:jc w:val="center"/>
                    <w:rPr>
                      <w:szCs w:val="21"/>
                    </w:rPr>
                  </w:pPr>
                  <w:r>
                    <w:rPr>
                      <w:szCs w:val="21"/>
                    </w:rPr>
                    <w:t>5</w:t>
                  </w:r>
                </w:p>
              </w:tc>
              <w:tc>
                <w:tcPr>
                  <w:tcW w:w="4873" w:type="dxa"/>
                  <w:vAlign w:val="center"/>
                </w:tcPr>
                <w:p>
                  <w:pPr>
                    <w:adjustRightInd w:val="0"/>
                    <w:snapToGrid w:val="0"/>
                    <w:jc w:val="center"/>
                    <w:rPr>
                      <w:szCs w:val="21"/>
                    </w:rPr>
                  </w:pPr>
                  <w:r>
                    <w:rPr>
                      <w:szCs w:val="21"/>
                    </w:rPr>
                    <w:t>备案证号</w:t>
                  </w:r>
                </w:p>
              </w:tc>
              <w:tc>
                <w:tcPr>
                  <w:tcW w:w="2392" w:type="dxa"/>
                  <w:vAlign w:val="center"/>
                </w:tcPr>
                <w:p>
                  <w:pPr>
                    <w:adjustRightInd w:val="0"/>
                    <w:snapToGrid w:val="0"/>
                    <w:jc w:val="center"/>
                    <w:rPr>
                      <w:szCs w:val="21"/>
                    </w:rPr>
                  </w:pPr>
                  <w:r>
                    <w:rPr>
                      <w:rFonts w:hAnsi="宋体"/>
                      <w:szCs w:val="21"/>
                    </w:rPr>
                    <w:t>武行审备〔</w:t>
                  </w:r>
                  <w:r>
                    <w:rPr>
                      <w:szCs w:val="21"/>
                    </w:rPr>
                    <w:t>2022</w:t>
                  </w:r>
                  <w:r>
                    <w:rPr>
                      <w:rFonts w:hAnsi="宋体"/>
                      <w:szCs w:val="21"/>
                    </w:rPr>
                    <w:t>〕</w:t>
                  </w:r>
                  <w:r>
                    <w:rPr>
                      <w:szCs w:val="21"/>
                    </w:rPr>
                    <w:t>114</w:t>
                  </w:r>
                  <w:r>
                    <w:rPr>
                      <w:rFonts w:hAnsi="宋体"/>
                      <w:szCs w:val="21"/>
                    </w:rPr>
                    <w:t>号</w:t>
                  </w:r>
                </w:p>
              </w:tc>
            </w:tr>
          </w:tbl>
          <w:p>
            <w:pPr>
              <w:autoSpaceDE w:val="0"/>
              <w:autoSpaceDN w:val="0"/>
              <w:adjustRightInd w:val="0"/>
              <w:snapToGrid w:val="0"/>
              <w:spacing w:line="360" w:lineRule="auto"/>
              <w:rPr>
                <w:b/>
                <w:bCs/>
                <w:sz w:val="24"/>
              </w:rPr>
            </w:pPr>
            <w:r>
              <w:rPr>
                <w:rFonts w:hint="eastAsia"/>
                <w:b/>
                <w:bCs/>
                <w:sz w:val="24"/>
              </w:rPr>
              <w:t>3、与</w:t>
            </w:r>
            <w:r>
              <w:rPr>
                <w:rFonts w:ascii="宋体" w:hAnsi="宋体" w:cs="宋体"/>
                <w:b/>
                <w:bCs/>
                <w:sz w:val="24"/>
              </w:rPr>
              <w:t>太湖流域环境政策</w:t>
            </w:r>
            <w:r>
              <w:rPr>
                <w:rFonts w:hint="eastAsia" w:ascii="宋体" w:hAnsi="宋体" w:cs="宋体"/>
                <w:b/>
                <w:bCs/>
                <w:sz w:val="24"/>
              </w:rPr>
              <w:t>相符性分析</w:t>
            </w:r>
          </w:p>
          <w:p>
            <w:pPr>
              <w:widowControl/>
              <w:adjustRightInd w:val="0"/>
              <w:snapToGrid w:val="0"/>
              <w:spacing w:line="360" w:lineRule="auto"/>
              <w:ind w:firstLine="482" w:firstLineChars="200"/>
              <w:rPr>
                <w:b/>
                <w:sz w:val="24"/>
              </w:rPr>
            </w:pPr>
            <w:r>
              <w:rPr>
                <w:rFonts w:hint="eastAsia"/>
                <w:b/>
                <w:sz w:val="24"/>
              </w:rPr>
              <w:t>（1）与《太湖流域管理条例</w:t>
            </w:r>
            <w:r>
              <w:rPr>
                <w:b/>
                <w:sz w:val="24"/>
              </w:rPr>
              <w:t>》(国务院令第604号)相符性分析</w:t>
            </w:r>
          </w:p>
          <w:p>
            <w:pPr>
              <w:pStyle w:val="9"/>
              <w:spacing w:after="0"/>
              <w:ind w:left="0" w:leftChars="0" w:right="0" w:rightChars="0"/>
              <w:jc w:val="center"/>
              <w:rPr>
                <w:rFonts w:ascii="Times New Roman" w:hAnsi="Times New Roman"/>
                <w:b/>
                <w:bCs/>
                <w:sz w:val="24"/>
                <w:szCs w:val="24"/>
              </w:rPr>
            </w:pPr>
          </w:p>
          <w:p>
            <w:pPr>
              <w:pStyle w:val="9"/>
              <w:spacing w:after="0"/>
              <w:ind w:left="0" w:leftChars="0" w:right="0" w:rightChars="0"/>
              <w:jc w:val="center"/>
              <w:rPr>
                <w:rFonts w:ascii="Times New Roman" w:hAnsi="Times New Roman"/>
                <w:b/>
                <w:bCs/>
                <w:sz w:val="24"/>
                <w:szCs w:val="24"/>
              </w:rPr>
            </w:pPr>
          </w:p>
          <w:p>
            <w:pPr>
              <w:pStyle w:val="9"/>
              <w:spacing w:after="0"/>
              <w:ind w:left="0" w:leftChars="0" w:right="0" w:rightChars="0"/>
              <w:jc w:val="center"/>
              <w:rPr>
                <w:rFonts w:ascii="Times New Roman" w:hAnsi="Times New Roman"/>
                <w:b/>
                <w:bCs/>
                <w:sz w:val="24"/>
                <w:szCs w:val="24"/>
              </w:rPr>
            </w:pPr>
          </w:p>
          <w:p>
            <w:pPr>
              <w:pStyle w:val="9"/>
              <w:spacing w:after="0"/>
              <w:ind w:left="0" w:leftChars="0" w:right="0" w:rightChars="0"/>
              <w:jc w:val="center"/>
              <w:rPr>
                <w:rFonts w:ascii="Times New Roman" w:hAnsi="Times New Roman"/>
                <w:b/>
                <w:bCs/>
                <w:sz w:val="24"/>
                <w:szCs w:val="24"/>
              </w:rPr>
            </w:pPr>
            <w:r>
              <w:rPr>
                <w:rFonts w:hint="eastAsia" w:ascii="Times New Roman" w:hAnsi="Times New Roman"/>
                <w:b/>
                <w:bCs/>
                <w:sz w:val="24"/>
                <w:szCs w:val="24"/>
              </w:rPr>
              <w:t>表1-5 与《太湖流域管理条例》的相符性分析</w:t>
            </w:r>
          </w:p>
          <w:tbl>
            <w:tblPr>
              <w:tblStyle w:val="23"/>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35"/>
              <w:gridCol w:w="15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59" w:type="pct"/>
                  <w:vAlign w:val="center"/>
                </w:tcPr>
                <w:p>
                  <w:pPr>
                    <w:jc w:val="center"/>
                    <w:rPr>
                      <w:b/>
                    </w:rPr>
                  </w:pPr>
                  <w:r>
                    <w:rPr>
                      <w:rFonts w:hint="eastAsia"/>
                      <w:b/>
                    </w:rPr>
                    <w:t>要求</w:t>
                  </w:r>
                </w:p>
              </w:tc>
              <w:tc>
                <w:tcPr>
                  <w:tcW w:w="941" w:type="pct"/>
                  <w:vAlign w:val="center"/>
                </w:tcPr>
                <w:p>
                  <w:pPr>
                    <w:jc w:val="center"/>
                    <w:rPr>
                      <w:b/>
                    </w:rPr>
                  </w:pPr>
                  <w:r>
                    <w:rPr>
                      <w:rFonts w:hint="eastAsia"/>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59" w:type="pct"/>
                  <w:tcBorders>
                    <w:bottom w:val="single" w:color="auto" w:sz="2" w:space="0"/>
                  </w:tcBorders>
                  <w:vAlign w:val="center"/>
                </w:tcPr>
                <w:p>
                  <w:pPr>
                    <w:ind w:firstLine="420" w:firstLineChars="200"/>
                  </w:pPr>
                  <w:r>
                    <w:rPr>
                      <w:rFonts w:hint="eastAsia"/>
                    </w:rPr>
                    <w:t>第二十八条：禁止在太湖流域设置不符合国家产业政策和水环境综合治理要求的造纸、制革、酒精、淀粉、冶金、酿造、印染、电镀等排放水污染物的生产项目”；</w:t>
                  </w:r>
                </w:p>
              </w:tc>
              <w:tc>
                <w:tcPr>
                  <w:tcW w:w="941" w:type="pct"/>
                  <w:tcBorders>
                    <w:bottom w:val="single" w:color="auto" w:sz="2" w:space="0"/>
                  </w:tcBorders>
                  <w:vAlign w:val="center"/>
                </w:tcPr>
                <w:p>
                  <w:pPr>
                    <w:ind w:firstLine="420" w:firstLineChars="200"/>
                  </w:pPr>
                  <w:r>
                    <w:rPr>
                      <w:rFonts w:hint="eastAsia"/>
                    </w:rPr>
                    <w:t>本项目为</w:t>
                  </w:r>
                  <w:r>
                    <w:rPr>
                      <w:rFonts w:eastAsiaTheme="minorEastAsia"/>
                      <w:szCs w:val="21"/>
                    </w:rPr>
                    <w:t>C3484机械零部件加工</w:t>
                  </w:r>
                  <w:r>
                    <w:rPr>
                      <w:rFonts w:hint="eastAsia"/>
                    </w:rPr>
                    <w:t>，不属于禁止类项目。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543" w:hRule="atLeast"/>
                <w:jc w:val="center"/>
              </w:trPr>
              <w:tc>
                <w:tcPr>
                  <w:tcW w:w="4059" w:type="pct"/>
                  <w:tcBorders>
                    <w:top w:val="single" w:color="auto" w:sz="2" w:space="0"/>
                    <w:bottom w:val="single" w:color="auto" w:sz="2" w:space="0"/>
                  </w:tcBorders>
                  <w:vAlign w:val="center"/>
                </w:tcPr>
                <w:p>
                  <w:pPr>
                    <w:ind w:firstLine="420" w:firstLineChars="200"/>
                  </w:pPr>
                  <w:r>
                    <w:rPr>
                      <w:rFonts w:hint="eastAsia"/>
                    </w:rPr>
                    <w:t>第二十九条：新孟河、望虞河以外的其他主要入太湖河道，自河口1万米上溯至5万米河道岸线内及其岸线两侧各1000米范围内，禁止下列行为：</w:t>
                  </w:r>
                </w:p>
                <w:p>
                  <w:pPr>
                    <w:ind w:firstLine="420" w:firstLineChars="200"/>
                  </w:pPr>
                  <w:r>
                    <w:rPr>
                      <w:rFonts w:hint="eastAsia"/>
                    </w:rPr>
                    <w:t>（一）新建、扩建化工、医药生产项目；</w:t>
                  </w:r>
                </w:p>
                <w:p>
                  <w:pPr>
                    <w:ind w:firstLine="420" w:firstLineChars="200"/>
                  </w:pPr>
                  <w:r>
                    <w:rPr>
                      <w:rFonts w:hint="eastAsia"/>
                    </w:rPr>
                    <w:t>（二）新建、扩建污水集中处理设施排污口以外的排污口；</w:t>
                  </w:r>
                </w:p>
                <w:p>
                  <w:pPr>
                    <w:ind w:firstLine="420" w:firstLineChars="200"/>
                  </w:pPr>
                  <w:r>
                    <w:rPr>
                      <w:rFonts w:hint="eastAsia"/>
                    </w:rPr>
                    <w:t>（三）扩大水产养殖规模。</w:t>
                  </w:r>
                </w:p>
              </w:tc>
              <w:tc>
                <w:tcPr>
                  <w:tcW w:w="941" w:type="pct"/>
                  <w:tcBorders>
                    <w:top w:val="single" w:color="auto" w:sz="2" w:space="0"/>
                    <w:bottom w:val="single" w:color="auto" w:sz="2" w:space="0"/>
                  </w:tcBorders>
                  <w:vAlign w:val="center"/>
                </w:tcPr>
                <w:p>
                  <w:pPr>
                    <w:ind w:firstLine="420" w:firstLineChars="200"/>
                  </w:pPr>
                  <w:r>
                    <w:rPr>
                      <w:rFonts w:hint="eastAsia"/>
                    </w:rPr>
                    <w:t>本项目周边不涉及入太湖河道。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29" w:hRule="atLeast"/>
                <w:jc w:val="center"/>
              </w:trPr>
              <w:tc>
                <w:tcPr>
                  <w:tcW w:w="4059" w:type="pct"/>
                  <w:tcBorders>
                    <w:top w:val="single" w:color="auto" w:sz="2" w:space="0"/>
                  </w:tcBorders>
                  <w:vAlign w:val="center"/>
                </w:tcPr>
                <w:p>
                  <w:pPr>
                    <w:ind w:firstLine="420" w:firstLineChars="200"/>
                  </w:pPr>
                  <w:r>
                    <w:rPr>
                      <w:rFonts w:hint="eastAsia"/>
                    </w:rPr>
                    <w:t>第三十条：太湖岸线内和岸线周边5000米范围内，淀山湖岸线内和岸线周边2000米范围内，太浦河、新孟河、望虞河岸线内和岸线两侧各1000米范围内，其他主要入太湖河道自河口上溯至1万米河道岸线内及其岸线两侧各1000米范围内，禁止下列行为：（一）设置剧毒物质、危险化学品的贮存、输送设施和废物回收场、垃圾场；（二）设置水上餐饮经营设施；（三）新建、扩建高尔夫球场；（四）新建、扩建畜禽养殖场；（五）新建、扩建向水体排放污染物的建设项目；（六）本条例第二十九条规定的行为。已经设置前款第一项、第二项规定设施的，当地县级人民政府应当责令拆除或者关闭”的项目。</w:t>
                  </w:r>
                </w:p>
              </w:tc>
              <w:tc>
                <w:tcPr>
                  <w:tcW w:w="941" w:type="pct"/>
                  <w:tcBorders>
                    <w:top w:val="single" w:color="auto" w:sz="2" w:space="0"/>
                  </w:tcBorders>
                  <w:vAlign w:val="center"/>
                </w:tcPr>
                <w:p>
                  <w:pPr>
                    <w:ind w:firstLine="420" w:firstLineChars="200"/>
                  </w:pPr>
                  <w:r>
                    <w:rPr>
                      <w:rFonts w:hint="eastAsia"/>
                    </w:rPr>
                    <w:t>本项目不属于上述区域内。</w:t>
                  </w:r>
                </w:p>
              </w:tc>
            </w:tr>
          </w:tbl>
          <w:p>
            <w:pPr>
              <w:autoSpaceDE w:val="0"/>
              <w:autoSpaceDN w:val="0"/>
              <w:adjustRightInd w:val="0"/>
              <w:snapToGrid w:val="0"/>
              <w:spacing w:line="360" w:lineRule="auto"/>
              <w:ind w:firstLine="480" w:firstLineChars="200"/>
              <w:jc w:val="left"/>
              <w:rPr>
                <w:sz w:val="24"/>
              </w:rPr>
            </w:pPr>
            <w:r>
              <w:rPr>
                <w:rFonts w:hint="eastAsia"/>
                <w:sz w:val="24"/>
              </w:rPr>
              <w:t>综上，本项目与《太湖流域管理条例</w:t>
            </w:r>
            <w:r>
              <w:rPr>
                <w:sz w:val="24"/>
              </w:rPr>
              <w:t>》(国务院令第604号)</w:t>
            </w:r>
            <w:r>
              <w:rPr>
                <w:rFonts w:hint="eastAsia"/>
                <w:sz w:val="24"/>
              </w:rPr>
              <w:t>的要求相符。</w:t>
            </w:r>
          </w:p>
          <w:p>
            <w:pPr>
              <w:autoSpaceDE w:val="0"/>
              <w:autoSpaceDN w:val="0"/>
              <w:adjustRightInd w:val="0"/>
              <w:snapToGrid w:val="0"/>
              <w:spacing w:line="360" w:lineRule="auto"/>
              <w:ind w:firstLine="482" w:firstLineChars="200"/>
              <w:jc w:val="left"/>
              <w:rPr>
                <w:b/>
                <w:sz w:val="24"/>
              </w:rPr>
            </w:pPr>
            <w:r>
              <w:rPr>
                <w:rFonts w:hint="eastAsia"/>
                <w:b/>
                <w:sz w:val="24"/>
              </w:rPr>
              <w:t>（2）与《江苏省太湖水污染防治条例》（2018年本）相符性分析</w:t>
            </w:r>
          </w:p>
          <w:p>
            <w:pPr>
              <w:pStyle w:val="9"/>
              <w:spacing w:after="0"/>
              <w:ind w:left="0" w:leftChars="0" w:right="0" w:rightChars="0"/>
              <w:jc w:val="center"/>
              <w:rPr>
                <w:rFonts w:ascii="Times New Roman" w:hAnsi="Times New Roman"/>
                <w:b/>
                <w:bCs/>
                <w:sz w:val="24"/>
                <w:szCs w:val="24"/>
              </w:rPr>
            </w:pPr>
            <w:r>
              <w:rPr>
                <w:rFonts w:hint="eastAsia" w:ascii="Times New Roman" w:hAnsi="Times New Roman"/>
                <w:b/>
                <w:bCs/>
                <w:sz w:val="24"/>
                <w:szCs w:val="24"/>
              </w:rPr>
              <w:t>表1-6 与《江苏省太湖水污染防治条例》的相符性分析</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35"/>
              <w:gridCol w:w="15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059" w:type="pct"/>
                  <w:vAlign w:val="center"/>
                </w:tcPr>
                <w:p>
                  <w:pPr>
                    <w:jc w:val="center"/>
                    <w:rPr>
                      <w:b/>
                    </w:rPr>
                  </w:pPr>
                  <w:r>
                    <w:rPr>
                      <w:rFonts w:hint="eastAsia"/>
                      <w:b/>
                    </w:rPr>
                    <w:t>要求</w:t>
                  </w:r>
                </w:p>
              </w:tc>
              <w:tc>
                <w:tcPr>
                  <w:tcW w:w="941" w:type="pct"/>
                  <w:vAlign w:val="center"/>
                </w:tcPr>
                <w:p>
                  <w:pPr>
                    <w:jc w:val="center"/>
                    <w:rPr>
                      <w:b/>
                    </w:rPr>
                  </w:pPr>
                  <w:r>
                    <w:rPr>
                      <w:rFonts w:hint="eastAsia"/>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4059" w:type="pct"/>
                  <w:vAlign w:val="center"/>
                </w:tcPr>
                <w:p>
                  <w:pPr>
                    <w:ind w:firstLine="420" w:firstLineChars="200"/>
                  </w:pPr>
                  <w:r>
                    <w:rPr>
                      <w:rFonts w:hint="eastAsia"/>
                    </w:rPr>
                    <w:t>根据《江苏省太湖水污染防治条例》（2018年修订）：第四十三条：太湖流域一、二、三级保护区禁止下列行为：</w:t>
                  </w:r>
                </w:p>
                <w:p>
                  <w:pPr>
                    <w:ind w:firstLine="420" w:firstLineChars="200"/>
                  </w:pPr>
                  <w:r>
                    <w:rPr>
                      <w:rFonts w:hint="eastAsia"/>
                    </w:rPr>
                    <w:t>（一）新建、改建、扩建化学制浆造纸、制革、酿造、染料、印染、电镀以及其他排放含磷、氮等污染物的企业和项目，城镇污水集中处理等环境基础设施项目和第四十六条规定的情形除外；</w:t>
                  </w:r>
                </w:p>
                <w:p>
                  <w:pPr>
                    <w:ind w:firstLine="420" w:firstLineChars="200"/>
                  </w:pPr>
                  <w:r>
                    <w:rPr>
                      <w:rFonts w:hint="eastAsia"/>
                    </w:rPr>
                    <w:t>（二）销售、使用含磷洗涤用品；</w:t>
                  </w:r>
                </w:p>
                <w:p>
                  <w:pPr>
                    <w:ind w:firstLine="420" w:firstLineChars="200"/>
                  </w:pPr>
                  <w:r>
                    <w:rPr>
                      <w:rFonts w:hint="eastAsia"/>
                    </w:rPr>
                    <w:t>（三）向水体排放或者倾倒油类、酸液、碱液、剧毒废渣废液、含放射性废渣废液、含病原体污水、工业废渣以及其他废弃物；</w:t>
                  </w:r>
                </w:p>
                <w:p>
                  <w:pPr>
                    <w:ind w:firstLine="420" w:firstLineChars="200"/>
                  </w:pPr>
                  <w:r>
                    <w:rPr>
                      <w:rFonts w:hint="eastAsia"/>
                    </w:rPr>
                    <w:t>（四）在水体清洗装贮过油类或者有毒有害污染物的车辆、船舶和容器等；</w:t>
                  </w:r>
                </w:p>
                <w:p>
                  <w:pPr>
                    <w:ind w:firstLine="420" w:firstLineChars="200"/>
                  </w:pPr>
                  <w:r>
                    <w:rPr>
                      <w:rFonts w:hint="eastAsia"/>
                    </w:rPr>
                    <w:t>（五）使用农药等有毒物毒杀水生生物；</w:t>
                  </w:r>
                </w:p>
                <w:p>
                  <w:pPr>
                    <w:ind w:firstLine="420" w:firstLineChars="200"/>
                  </w:pPr>
                  <w:r>
                    <w:rPr>
                      <w:rFonts w:hint="eastAsia"/>
                    </w:rPr>
                    <w:t>（六）向水体直接排放人畜粪便、倾倒垃圾；</w:t>
                  </w:r>
                </w:p>
                <w:p>
                  <w:pPr>
                    <w:ind w:firstLine="420" w:firstLineChars="200"/>
                  </w:pPr>
                  <w:r>
                    <w:rPr>
                      <w:rFonts w:hint="eastAsia"/>
                    </w:rPr>
                    <w:t>（七）围湖造地；</w:t>
                  </w:r>
                </w:p>
                <w:p>
                  <w:pPr>
                    <w:ind w:firstLine="420" w:firstLineChars="200"/>
                  </w:pPr>
                  <w:r>
                    <w:rPr>
                      <w:rFonts w:hint="eastAsia"/>
                    </w:rPr>
                    <w:t>（八）违法开山采石，或者进行破坏林木、植被、水生生物的活动；</w:t>
                  </w:r>
                </w:p>
                <w:p>
                  <w:pPr>
                    <w:ind w:firstLine="420" w:firstLineChars="200"/>
                  </w:pPr>
                  <w:r>
                    <w:rPr>
                      <w:rFonts w:hint="eastAsia"/>
                    </w:rPr>
                    <w:t>（九）法律、法规禁止的其他行为。</w:t>
                  </w:r>
                </w:p>
              </w:tc>
              <w:tc>
                <w:tcPr>
                  <w:tcW w:w="941" w:type="pct"/>
                  <w:vAlign w:val="center"/>
                </w:tcPr>
                <w:p>
                  <w:pPr>
                    <w:ind w:firstLine="420" w:firstLineChars="200"/>
                  </w:pPr>
                  <w:r>
                    <w:rPr>
                      <w:rFonts w:hint="eastAsia"/>
                    </w:rPr>
                    <w:t>本项目为</w:t>
                  </w:r>
                  <w:r>
                    <w:rPr>
                      <w:rFonts w:eastAsiaTheme="minorEastAsia"/>
                      <w:szCs w:val="21"/>
                    </w:rPr>
                    <w:t>C3484机械零部件加工</w:t>
                  </w:r>
                  <w:r>
                    <w:rPr>
                      <w:rFonts w:hint="eastAsia"/>
                    </w:rPr>
                    <w:t>，生产过程中无含磷、氮生产废水排放，不属于禁止类项目。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65" w:hRule="atLeast"/>
              </w:trPr>
              <w:tc>
                <w:tcPr>
                  <w:tcW w:w="4059" w:type="pct"/>
                  <w:vAlign w:val="center"/>
                </w:tcPr>
                <w:p>
                  <w:pPr>
                    <w:ind w:firstLine="420" w:firstLineChars="200"/>
                  </w:pPr>
                  <w:r>
                    <w:rPr>
                      <w:rFonts w:hint="eastAsia"/>
                    </w:rPr>
                    <w:t>第四十六条：太湖流域二、三级保护区内，在工业集聚区新建、改建、扩建排放含磷、氮等污染物的战略性新兴产业项目和改建印染项目，以及排放含磷、氮等污染物的现有企业在不增加产能的前提下实施提升环保标准的技术改造项目，应当符合国家产业政策和水环境综合治理要求，在实现国家和省减排目标的基础上，实施区域磷、氮等重点水污染物年排放总量减量替代。其中，战略性新兴产业新建、扩建项目新增的磷、氮等重点水污染物排放总量应当从本区域通过产业置换、淘汰、关闭等方式获得的指标中取得，且按照不低于该项目新增年排放总量的1.1倍实施减量替代；战略性新兴产业改建项目应当实现项目磷、氮等重点水污染物年排放总量减少，印染改建项目应当按照不低于该项目磷、氮等重点水污染物年排放总量指标的二倍实行减量替代；提升环保标准的技术改造项目的磷、氮等重点水污染物年排放总量减少幅度应当不低于该项目原年排放总量的百分之二十。前述减少的磷、氮等重点水污染物年排放总量指标不得用于其他项目。具体减量替代办法由省人民政府根据经济社会发展水平和区域水环境质量改善情况制定。</w:t>
                  </w:r>
                </w:p>
              </w:tc>
              <w:tc>
                <w:tcPr>
                  <w:tcW w:w="941" w:type="pct"/>
                  <w:vAlign w:val="center"/>
                </w:tcPr>
                <w:p>
                  <w:pPr>
                    <w:ind w:firstLine="420" w:firstLineChars="200"/>
                  </w:pPr>
                  <w:r>
                    <w:rPr>
                      <w:szCs w:val="21"/>
                    </w:rPr>
                    <w:t>本项目位于</w:t>
                  </w:r>
                  <w:r>
                    <w:rPr>
                      <w:rFonts w:hint="eastAsia"/>
                      <w:szCs w:val="21"/>
                    </w:rPr>
                    <w:t>江苏省常州市武进区湖塘镇三勤社区何家组，属于太湖流域三级保护区，</w:t>
                  </w:r>
                  <w:r>
                    <w:rPr>
                      <w:rFonts w:hint="eastAsia"/>
                    </w:rPr>
                    <w:t>生产过程中无含磷、氮生产废水排放，</w:t>
                  </w:r>
                  <w:r>
                    <w:rPr>
                      <w:rFonts w:hint="eastAsia"/>
                      <w:szCs w:val="21"/>
                    </w:rPr>
                    <w:t>食堂废水经隔油池处理后与</w:t>
                  </w:r>
                  <w:r>
                    <w:rPr>
                      <w:szCs w:val="21"/>
                    </w:rPr>
                    <w:t>生活污水</w:t>
                  </w:r>
                  <w:r>
                    <w:rPr>
                      <w:rFonts w:hint="eastAsia"/>
                    </w:rPr>
                    <w:t>接管至武南污水处理厂。</w:t>
                  </w:r>
                </w:p>
              </w:tc>
            </w:tr>
          </w:tbl>
          <w:p>
            <w:pPr>
              <w:spacing w:line="360" w:lineRule="auto"/>
              <w:ind w:firstLine="480" w:firstLineChars="200"/>
              <w:rPr>
                <w:sz w:val="24"/>
              </w:rPr>
            </w:pPr>
            <w:r>
              <w:rPr>
                <w:rFonts w:hint="eastAsia"/>
                <w:sz w:val="24"/>
              </w:rPr>
              <w:t>综上，本项目与《江苏省太湖水污染防治条例》（2018年本）的要求相符。</w:t>
            </w:r>
          </w:p>
          <w:p>
            <w:pPr>
              <w:autoSpaceDE w:val="0"/>
              <w:autoSpaceDN w:val="0"/>
              <w:adjustRightInd w:val="0"/>
              <w:snapToGrid w:val="0"/>
              <w:spacing w:line="360" w:lineRule="auto"/>
              <w:jc w:val="left"/>
              <w:rPr>
                <w:b/>
                <w:bCs/>
                <w:sz w:val="24"/>
              </w:rPr>
            </w:pPr>
            <w:r>
              <w:rPr>
                <w:rFonts w:hint="eastAsia"/>
                <w:b/>
                <w:sz w:val="24"/>
              </w:rPr>
              <w:t>4、</w:t>
            </w:r>
            <w:r>
              <w:rPr>
                <w:rFonts w:hint="eastAsia"/>
                <w:b/>
                <w:bCs/>
                <w:sz w:val="24"/>
              </w:rPr>
              <w:t>与其他环境保护管理要求的相符性分析</w:t>
            </w:r>
          </w:p>
          <w:p>
            <w:pPr>
              <w:autoSpaceDE w:val="0"/>
              <w:autoSpaceDN w:val="0"/>
              <w:adjustRightInd w:val="0"/>
              <w:snapToGrid w:val="0"/>
              <w:spacing w:line="360" w:lineRule="auto"/>
              <w:ind w:firstLine="482" w:firstLineChars="200"/>
              <w:rPr>
                <w:b/>
                <w:bCs/>
                <w:sz w:val="24"/>
              </w:rPr>
            </w:pPr>
            <w:r>
              <w:rPr>
                <w:b/>
                <w:bCs/>
                <w:sz w:val="24"/>
              </w:rPr>
              <w:t>（1）与《关于加强高耗能、高排放建设项目生态环境源头防控的指导意见》（环环评【2021】45号）相符性分析</w:t>
            </w:r>
          </w:p>
          <w:p>
            <w:pPr>
              <w:autoSpaceDE w:val="0"/>
              <w:autoSpaceDN w:val="0"/>
              <w:adjustRightInd w:val="0"/>
              <w:snapToGrid w:val="0"/>
              <w:spacing w:line="360" w:lineRule="auto"/>
              <w:ind w:firstLine="480" w:firstLineChars="200"/>
              <w:rPr>
                <w:sz w:val="24"/>
              </w:rPr>
            </w:pPr>
            <w:r>
              <w:rPr>
                <w:sz w:val="24"/>
              </w:rPr>
              <w:t>二、严格“两高”项目环评审批</w:t>
            </w:r>
          </w:p>
          <w:p>
            <w:pPr>
              <w:autoSpaceDE w:val="0"/>
              <w:autoSpaceDN w:val="0"/>
              <w:adjustRightInd w:val="0"/>
              <w:snapToGrid w:val="0"/>
              <w:spacing w:line="360" w:lineRule="auto"/>
              <w:ind w:firstLine="480" w:firstLineChars="200"/>
              <w:rPr>
                <w:sz w:val="24"/>
              </w:rPr>
            </w:pPr>
            <w:r>
              <w:rPr>
                <w:sz w:val="24"/>
              </w:rPr>
              <w:t>（三）严把建设项目环境准入关。新建、改建、扩建“两高”项目须符合生态环境保护法律法规和相关法定规划，满足重点污染物排放总量控制、碳排放达峰目标、生态环境准入清单、相关规划环评和相应行业建设项目环境准入条件、环评文件审批原则要求。石化、现代煤化工项目应纳入国家产业规划。新建、扩建石化、化工、焦化、有色金属冶炼、平板玻璃项目应布设在依法合规设立并经规划环评的产业园区。各级生态环境部门和行政审批部门要严格把关，对于不符合相关法律法规的，依法不予审批。</w:t>
            </w:r>
          </w:p>
          <w:p>
            <w:pPr>
              <w:autoSpaceDE w:val="0"/>
              <w:autoSpaceDN w:val="0"/>
              <w:adjustRightInd w:val="0"/>
              <w:snapToGrid w:val="0"/>
              <w:spacing w:line="360" w:lineRule="auto"/>
              <w:ind w:firstLine="480" w:firstLineChars="200"/>
              <w:rPr>
                <w:sz w:val="24"/>
              </w:rPr>
            </w:pPr>
            <w:r>
              <w:rPr>
                <w:sz w:val="24"/>
              </w:rPr>
              <w:t>本项目主要从事</w:t>
            </w:r>
            <w:r>
              <w:rPr>
                <w:rFonts w:hint="eastAsia"/>
                <w:sz w:val="24"/>
              </w:rPr>
              <w:t>机械</w:t>
            </w:r>
            <w:r>
              <w:rPr>
                <w:sz w:val="24"/>
              </w:rPr>
              <w:t>零部件制造</w:t>
            </w:r>
            <w:r>
              <w:rPr>
                <w:rFonts w:hint="eastAsia"/>
                <w:sz w:val="24"/>
              </w:rPr>
              <w:t>，不属于“两高”项目</w:t>
            </w:r>
            <w:r>
              <w:rPr>
                <w:sz w:val="24"/>
              </w:rPr>
              <w:t>，不属于上述管控行业，与《关于加强高耗能、高排放建设项目生态环境源头防控的指导意见》相符。</w:t>
            </w:r>
          </w:p>
          <w:p>
            <w:pPr>
              <w:autoSpaceDE w:val="0"/>
              <w:autoSpaceDN w:val="0"/>
              <w:adjustRightInd w:val="0"/>
              <w:snapToGrid w:val="0"/>
              <w:spacing w:line="360" w:lineRule="auto"/>
              <w:ind w:firstLine="482" w:firstLineChars="200"/>
              <w:rPr>
                <w:b/>
                <w:bCs/>
                <w:sz w:val="24"/>
              </w:rPr>
            </w:pPr>
            <w:r>
              <w:rPr>
                <w:b/>
                <w:bCs/>
                <w:sz w:val="24"/>
              </w:rPr>
              <w:t>（2）根据《市生态环境局关于建设项目的审批指导意见（试行）》（常州市生态环境局，2021年4月7日）分析</w:t>
            </w:r>
          </w:p>
          <w:p>
            <w:pPr>
              <w:autoSpaceDE w:val="0"/>
              <w:autoSpaceDN w:val="0"/>
              <w:adjustRightInd w:val="0"/>
              <w:snapToGrid w:val="0"/>
              <w:spacing w:line="360" w:lineRule="auto"/>
              <w:ind w:firstLine="480" w:firstLineChars="200"/>
              <w:rPr>
                <w:bCs/>
                <w:sz w:val="24"/>
              </w:rPr>
            </w:pPr>
            <w:r>
              <w:rPr>
                <w:rFonts w:hint="eastAsia"/>
                <w:bCs/>
                <w:sz w:val="24"/>
              </w:rPr>
              <w:t>本项目位于江苏省常州市武进区湖塘镇三勤社区何家组，大气国控站点常州市武进生态环境局位于本项目西北侧4.8km，星韵学校位于本项目西北侧12km，故本项目不在大气国控站点三公里范围内。</w:t>
            </w:r>
          </w:p>
          <w:p>
            <w:pPr>
              <w:autoSpaceDE w:val="0"/>
              <w:autoSpaceDN w:val="0"/>
              <w:snapToGrid w:val="0"/>
              <w:spacing w:line="360" w:lineRule="auto"/>
              <w:ind w:firstLine="482" w:firstLineChars="200"/>
              <w:jc w:val="left"/>
              <w:rPr>
                <w:b/>
                <w:bCs/>
                <w:sz w:val="24"/>
              </w:rPr>
            </w:pPr>
            <w:r>
              <w:rPr>
                <w:b/>
                <w:bCs/>
                <w:sz w:val="24"/>
              </w:rPr>
              <w:t>（</w:t>
            </w:r>
            <w:r>
              <w:rPr>
                <w:rFonts w:hint="eastAsia"/>
                <w:b/>
                <w:bCs/>
                <w:sz w:val="24"/>
              </w:rPr>
              <w:t>3</w:t>
            </w:r>
            <w:r>
              <w:rPr>
                <w:b/>
                <w:bCs/>
                <w:sz w:val="24"/>
              </w:rPr>
              <w:t>）与《长江经济带发展负面清单指南-江苏省实施细则（试行）》（苏长江办发〔2019〕136号）相符性分析：</w:t>
            </w:r>
          </w:p>
          <w:p>
            <w:pPr>
              <w:pStyle w:val="9"/>
              <w:spacing w:after="0"/>
              <w:ind w:left="0" w:leftChars="0" w:right="0" w:rightChars="0"/>
              <w:jc w:val="center"/>
              <w:rPr>
                <w:rFonts w:ascii="Times New Roman" w:hAnsi="Times New Roman"/>
                <w:b/>
                <w:bCs/>
                <w:sz w:val="24"/>
              </w:rPr>
            </w:pPr>
          </w:p>
          <w:p>
            <w:pPr>
              <w:pStyle w:val="9"/>
              <w:spacing w:after="0"/>
              <w:ind w:left="0" w:leftChars="0" w:right="0" w:rightChars="0"/>
              <w:jc w:val="center"/>
              <w:rPr>
                <w:rFonts w:ascii="Times New Roman" w:hAnsi="Times New Roman"/>
                <w:b/>
                <w:bCs/>
                <w:sz w:val="24"/>
              </w:rPr>
            </w:pPr>
          </w:p>
          <w:p>
            <w:pPr>
              <w:pStyle w:val="9"/>
              <w:spacing w:after="0"/>
              <w:ind w:left="0" w:leftChars="0" w:right="0" w:rightChars="0"/>
              <w:jc w:val="center"/>
              <w:rPr>
                <w:rFonts w:ascii="Times New Roman" w:hAnsi="Times New Roman"/>
                <w:b/>
                <w:bCs/>
                <w:sz w:val="24"/>
              </w:rPr>
            </w:pPr>
          </w:p>
          <w:p>
            <w:pPr>
              <w:pStyle w:val="9"/>
              <w:spacing w:after="0"/>
              <w:ind w:left="0" w:leftChars="0" w:right="0" w:rightChars="0"/>
              <w:jc w:val="center"/>
              <w:rPr>
                <w:rFonts w:ascii="Times New Roman" w:hAnsi="Times New Roman"/>
                <w:b/>
                <w:bCs/>
                <w:sz w:val="24"/>
              </w:rPr>
            </w:pPr>
            <w:r>
              <w:rPr>
                <w:rFonts w:ascii="Times New Roman" w:hAnsi="Times New Roman"/>
                <w:b/>
                <w:bCs/>
                <w:sz w:val="24"/>
              </w:rPr>
              <w:t>表1-7  苏长江</w:t>
            </w:r>
            <w:r>
              <w:rPr>
                <w:rFonts w:ascii="Times New Roman"/>
                <w:b/>
                <w:bCs/>
                <w:sz w:val="24"/>
              </w:rPr>
              <w:t>办发〔</w:t>
            </w:r>
            <w:r>
              <w:rPr>
                <w:rFonts w:ascii="Times New Roman" w:hAnsi="Times New Roman"/>
                <w:b/>
                <w:bCs/>
                <w:sz w:val="24"/>
              </w:rPr>
              <w:t>2019</w:t>
            </w:r>
            <w:r>
              <w:rPr>
                <w:rFonts w:ascii="Times New Roman"/>
                <w:b/>
                <w:bCs/>
                <w:sz w:val="24"/>
              </w:rPr>
              <w:t>〕</w:t>
            </w:r>
            <w:r>
              <w:rPr>
                <w:rFonts w:ascii="Times New Roman" w:hAnsi="Times New Roman"/>
                <w:b/>
                <w:bCs/>
                <w:sz w:val="24"/>
              </w:rPr>
              <w:t>136</w:t>
            </w:r>
            <w:r>
              <w:rPr>
                <w:rFonts w:ascii="Times New Roman"/>
                <w:b/>
                <w:bCs/>
                <w:sz w:val="24"/>
              </w:rPr>
              <w:t>号相符性分析</w:t>
            </w:r>
          </w:p>
          <w:tbl>
            <w:tblPr>
              <w:tblStyle w:val="22"/>
              <w:tblW w:w="810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984"/>
              <w:gridCol w:w="212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90" w:type="pct"/>
                  <w:vAlign w:val="center"/>
                </w:tcPr>
                <w:p>
                  <w:pPr>
                    <w:jc w:val="center"/>
                    <w:rPr>
                      <w:b/>
                    </w:rPr>
                  </w:pPr>
                  <w:r>
                    <w:rPr>
                      <w:b/>
                    </w:rPr>
                    <w:t>要求</w:t>
                  </w:r>
                </w:p>
              </w:tc>
              <w:tc>
                <w:tcPr>
                  <w:tcW w:w="1309" w:type="pct"/>
                  <w:vAlign w:val="center"/>
                </w:tcPr>
                <w:p>
                  <w:pPr>
                    <w:jc w:val="center"/>
                    <w:rPr>
                      <w:b/>
                    </w:rPr>
                  </w:pPr>
                  <w:r>
                    <w:rPr>
                      <w:b/>
                    </w:rPr>
                    <w:t>相符性分析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3690" w:type="pct"/>
                  <w:vAlign w:val="center"/>
                </w:tcPr>
                <w:p>
                  <w:pPr>
                    <w:ind w:firstLine="420" w:firstLineChars="200"/>
                  </w:pPr>
                  <w:r>
                    <w:t>1）禁止建设不符合全国和省级港口布局规划以及港口总体现划的码头项目，禁止建设不符合《长江干线过江通道布局规划》的过长江通道项目。</w:t>
                  </w:r>
                </w:p>
              </w:tc>
              <w:tc>
                <w:tcPr>
                  <w:tcW w:w="1309" w:type="pct"/>
                  <w:vAlign w:val="center"/>
                </w:tcPr>
                <w:p>
                  <w:pPr>
                    <w:ind w:firstLine="420" w:firstLineChars="200"/>
                    <w:jc w:val="left"/>
                  </w:pPr>
                  <w:r>
                    <w:t>本项目为机械零部件加工，不属于码头和通道项目。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3690" w:type="pct"/>
                  <w:vAlign w:val="center"/>
                </w:tcPr>
                <w:p>
                  <w:pPr>
                    <w:ind w:firstLine="420" w:firstLineChars="200"/>
                  </w:pPr>
                  <w:r>
                    <w:t>2）禁止在自然保护区核心区、缓冲区的岸线和河段范围内投资建设旅游和生产经营项目。禁止在风景名胜区核心景区的岸线和河段范围内投资建设与风景名胜资源保护无关的项目。</w:t>
                  </w:r>
                </w:p>
              </w:tc>
              <w:tc>
                <w:tcPr>
                  <w:tcW w:w="1309" w:type="pct"/>
                  <w:vMerge w:val="restart"/>
                  <w:vAlign w:val="center"/>
                </w:tcPr>
                <w:p>
                  <w:pPr>
                    <w:ind w:firstLine="420" w:firstLineChars="200"/>
                    <w:jc w:val="left"/>
                  </w:pPr>
                  <w:r>
                    <w:rPr>
                      <w:szCs w:val="21"/>
                    </w:rPr>
                    <w:t>本项目不属于</w:t>
                  </w:r>
                  <w:r>
                    <w:t>上述区域范围内。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jc w:val="center"/>
              </w:trPr>
              <w:tc>
                <w:tcPr>
                  <w:tcW w:w="3690" w:type="pct"/>
                  <w:vAlign w:val="center"/>
                </w:tcPr>
                <w:p>
                  <w:pPr>
                    <w:ind w:firstLine="420" w:firstLineChars="200"/>
                  </w:pPr>
                  <w:r>
                    <w:t>3）禁止在饮用水水源一级保护区的岸线和河段范围内新建、改建、扩建与供水设施和保护水源无关的项目，以及网箱养殖、旅游等可能污染饮用水水体的投资建设项目。禁止在饮用水水源二级保护区的岸线和河段范围内新建、改建、扩建排放污染物的投资建设项目。</w:t>
                  </w:r>
                </w:p>
              </w:tc>
              <w:tc>
                <w:tcPr>
                  <w:tcW w:w="1309" w:type="pct"/>
                  <w:vMerge w:val="continue"/>
                  <w:vAlign w:val="center"/>
                </w:tcPr>
                <w:p>
                  <w:pPr>
                    <w:jc w:val="left"/>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 w:hRule="atLeast"/>
                <w:jc w:val="center"/>
              </w:trPr>
              <w:tc>
                <w:tcPr>
                  <w:tcW w:w="3690" w:type="pct"/>
                  <w:vAlign w:val="center"/>
                </w:tcPr>
                <w:p>
                  <w:pPr>
                    <w:ind w:firstLine="420" w:firstLineChars="200"/>
                  </w:pPr>
                  <w:r>
                    <w:t>4）禁止在水产种质资源保护区的岸线和河段范围内新建排污口，以及围湖造田、围海造地或围填海等投资建设项目。禁止在国家湿地公园的岸线和河段范围内挖沙、采矿，以及任何不符合主体功能定位的投资建设项目。</w:t>
                  </w:r>
                </w:p>
              </w:tc>
              <w:tc>
                <w:tcPr>
                  <w:tcW w:w="1309" w:type="pct"/>
                  <w:vMerge w:val="continue"/>
                  <w:vAlign w:val="center"/>
                </w:tcPr>
                <w:p>
                  <w:pPr>
                    <w:ind w:firstLine="420" w:firstLineChars="200"/>
                    <w:jc w:val="left"/>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3690" w:type="pct"/>
                  <w:vAlign w:val="center"/>
                </w:tcPr>
                <w:p>
                  <w:pPr>
                    <w:ind w:firstLine="420" w:firstLineChars="200"/>
                  </w:pPr>
                  <w:r>
                    <w:t>5）投资建设除保障防洪安全、河势稳定、供水安全以及保护生态环境、已建重要枢纽工程以外的项目，禁止在岸线保留区内投资建设除保障防洪安全、河势稳定、供水安全、航道稳定以及保护生态环境以外的项目。禁止在《全国重要江河湖泊水功能区划》划定的河段保护区、保留区内投资建设不利于水资源及自然生态保护的项目。</w:t>
                  </w:r>
                </w:p>
              </w:tc>
              <w:tc>
                <w:tcPr>
                  <w:tcW w:w="1309" w:type="pct"/>
                  <w:vAlign w:val="center"/>
                </w:tcPr>
                <w:p>
                  <w:pPr>
                    <w:ind w:firstLine="420" w:firstLineChars="200"/>
                    <w:jc w:val="left"/>
                  </w:pPr>
                  <w:r>
                    <w:t>本项目不属于划定的岸线保护区、河段保护区、保留区内。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90" w:type="pct"/>
                  <w:vAlign w:val="center"/>
                </w:tcPr>
                <w:p>
                  <w:pPr>
                    <w:ind w:firstLine="420" w:firstLineChars="200"/>
                  </w:pPr>
                  <w:r>
                    <w:t>6）禁止在生态保护红线和永久基本农田范围内投资建设除国家重大战略资源勘查项目、生态保护修复和环境治理项目、重大基础设施项目、军事国防项目以及农牧民基本生产生活等必要的民生项目以外的项目。</w:t>
                  </w:r>
                </w:p>
              </w:tc>
              <w:tc>
                <w:tcPr>
                  <w:tcW w:w="1309" w:type="pct"/>
                  <w:vAlign w:val="center"/>
                </w:tcPr>
                <w:p>
                  <w:pPr>
                    <w:ind w:firstLine="420" w:firstLineChars="200"/>
                    <w:jc w:val="left"/>
                  </w:pPr>
                  <w:r>
                    <w:t>本项目不在生态保护红线和永久基本农田范围内。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90" w:type="pct"/>
                  <w:vAlign w:val="center"/>
                </w:tcPr>
                <w:p>
                  <w:pPr>
                    <w:ind w:firstLine="420" w:firstLineChars="200"/>
                  </w:pPr>
                  <w:r>
                    <w:t>7）禁止在长江干支流1公里范围内新建、扩建化工园区和化工项目。禁止在合规园区外新建、扩建钢铁、石化、化工、焦化、建材、有色等高污染项目。</w:t>
                  </w:r>
                </w:p>
              </w:tc>
              <w:tc>
                <w:tcPr>
                  <w:tcW w:w="1309" w:type="pct"/>
                  <w:vAlign w:val="center"/>
                </w:tcPr>
                <w:p>
                  <w:pPr>
                    <w:ind w:firstLine="420" w:firstLineChars="200"/>
                    <w:jc w:val="left"/>
                  </w:pPr>
                  <w:r>
                    <w:t>本项目不在长江干流和主要支流岸线1公里范围内。</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90" w:type="pct"/>
                  <w:vAlign w:val="center"/>
                </w:tcPr>
                <w:p>
                  <w:pPr>
                    <w:ind w:firstLine="420" w:firstLineChars="200"/>
                  </w:pPr>
                  <w:r>
                    <w:t>8）禁止新建、扩建不符合国家石化、现代煤化工等产业布局规划的项目。</w:t>
                  </w:r>
                </w:p>
              </w:tc>
              <w:tc>
                <w:tcPr>
                  <w:tcW w:w="1309" w:type="pct"/>
                  <w:vMerge w:val="restart"/>
                  <w:vAlign w:val="center"/>
                </w:tcPr>
                <w:p>
                  <w:pPr>
                    <w:ind w:firstLine="420" w:firstLineChars="200"/>
                    <w:jc w:val="left"/>
                  </w:pPr>
                  <w:r>
                    <w:t>本项目为机械零部件加工，不属于落后产能和严重过剩产能行业项目。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90" w:type="pct"/>
                  <w:vAlign w:val="center"/>
                </w:tcPr>
                <w:p>
                  <w:pPr>
                    <w:ind w:firstLine="420" w:firstLineChars="200"/>
                  </w:pPr>
                  <w:r>
                    <w:t>9）禁止新建、扩建法律法规和相关政策明令禁止的落后产能项目。</w:t>
                  </w:r>
                </w:p>
              </w:tc>
              <w:tc>
                <w:tcPr>
                  <w:tcW w:w="1309" w:type="pct"/>
                  <w:vMerge w:val="continue"/>
                  <w:vAlign w:val="center"/>
                </w:tcPr>
                <w:p>
                  <w:pPr>
                    <w:ind w:firstLine="420" w:firstLineChars="200"/>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690" w:type="pct"/>
                  <w:vAlign w:val="center"/>
                </w:tcPr>
                <w:p>
                  <w:pPr>
                    <w:ind w:firstLine="420" w:firstLineChars="200"/>
                  </w:pPr>
                  <w:r>
                    <w:t>10）禁止新建、扩建不符合国家产能置换要求的严重过剩产能行业的项目。</w:t>
                  </w:r>
                </w:p>
              </w:tc>
              <w:tc>
                <w:tcPr>
                  <w:tcW w:w="1309" w:type="pct"/>
                  <w:vMerge w:val="continue"/>
                  <w:vAlign w:val="center"/>
                </w:tcPr>
                <w:p>
                  <w:pPr>
                    <w:ind w:firstLine="420" w:firstLineChars="200"/>
                  </w:pPr>
                </w:p>
              </w:tc>
            </w:tr>
          </w:tbl>
          <w:p>
            <w:pPr>
              <w:autoSpaceDE w:val="0"/>
              <w:autoSpaceDN w:val="0"/>
              <w:snapToGrid w:val="0"/>
              <w:spacing w:line="360" w:lineRule="auto"/>
              <w:ind w:firstLine="482" w:firstLineChars="200"/>
              <w:jc w:val="left"/>
              <w:rPr>
                <w:b/>
                <w:sz w:val="24"/>
              </w:rPr>
            </w:pPr>
            <w:r>
              <w:rPr>
                <w:rFonts w:hint="eastAsia"/>
                <w:b/>
                <w:bCs/>
                <w:sz w:val="24"/>
              </w:rPr>
              <w:t>（4）</w:t>
            </w:r>
            <w:r>
              <w:rPr>
                <w:b/>
                <w:bCs/>
                <w:sz w:val="24"/>
              </w:rPr>
              <w:t>与</w:t>
            </w:r>
            <w:r>
              <w:rPr>
                <w:b/>
                <w:sz w:val="24"/>
                <w:lang w:val="zh-CN"/>
              </w:rPr>
              <w:t>《省生态环境厅关于进一步做好建设项目环评审批工作的通知》（苏环办[2019]36号）相符性分析</w:t>
            </w:r>
          </w:p>
          <w:p>
            <w:pPr>
              <w:autoSpaceDE w:val="0"/>
              <w:autoSpaceDN w:val="0"/>
              <w:adjustRightInd w:val="0"/>
              <w:snapToGrid w:val="0"/>
              <w:ind w:firstLine="361" w:firstLineChars="150"/>
              <w:jc w:val="center"/>
              <w:rPr>
                <w:b/>
                <w:bCs/>
                <w:sz w:val="24"/>
              </w:rPr>
            </w:pPr>
          </w:p>
          <w:p>
            <w:pPr>
              <w:autoSpaceDE w:val="0"/>
              <w:autoSpaceDN w:val="0"/>
              <w:adjustRightInd w:val="0"/>
              <w:snapToGrid w:val="0"/>
              <w:ind w:firstLine="361" w:firstLineChars="150"/>
              <w:jc w:val="center"/>
              <w:rPr>
                <w:b/>
                <w:bCs/>
                <w:sz w:val="24"/>
              </w:rPr>
            </w:pPr>
          </w:p>
          <w:p>
            <w:pPr>
              <w:autoSpaceDE w:val="0"/>
              <w:autoSpaceDN w:val="0"/>
              <w:adjustRightInd w:val="0"/>
              <w:snapToGrid w:val="0"/>
              <w:ind w:firstLine="361" w:firstLineChars="150"/>
              <w:jc w:val="center"/>
              <w:rPr>
                <w:b/>
                <w:bCs/>
                <w:sz w:val="24"/>
              </w:rPr>
            </w:pPr>
          </w:p>
          <w:p>
            <w:pPr>
              <w:autoSpaceDE w:val="0"/>
              <w:autoSpaceDN w:val="0"/>
              <w:adjustRightInd w:val="0"/>
              <w:snapToGrid w:val="0"/>
              <w:ind w:firstLine="361" w:firstLineChars="150"/>
              <w:jc w:val="center"/>
              <w:rPr>
                <w:b/>
                <w:bCs/>
                <w:sz w:val="24"/>
              </w:rPr>
            </w:pPr>
          </w:p>
          <w:p>
            <w:pPr>
              <w:autoSpaceDE w:val="0"/>
              <w:autoSpaceDN w:val="0"/>
              <w:adjustRightInd w:val="0"/>
              <w:snapToGrid w:val="0"/>
              <w:ind w:firstLine="361" w:firstLineChars="150"/>
              <w:jc w:val="center"/>
              <w:rPr>
                <w:b/>
                <w:bCs/>
                <w:sz w:val="24"/>
              </w:rPr>
            </w:pPr>
          </w:p>
          <w:p>
            <w:pPr>
              <w:autoSpaceDE w:val="0"/>
              <w:autoSpaceDN w:val="0"/>
              <w:adjustRightInd w:val="0"/>
              <w:snapToGrid w:val="0"/>
              <w:ind w:firstLine="361" w:firstLineChars="150"/>
              <w:jc w:val="center"/>
              <w:rPr>
                <w:b/>
                <w:bCs/>
                <w:sz w:val="24"/>
              </w:rPr>
            </w:pPr>
          </w:p>
          <w:p>
            <w:pPr>
              <w:autoSpaceDE w:val="0"/>
              <w:autoSpaceDN w:val="0"/>
              <w:adjustRightInd w:val="0"/>
              <w:snapToGrid w:val="0"/>
              <w:ind w:firstLine="361" w:firstLineChars="150"/>
              <w:jc w:val="center"/>
              <w:rPr>
                <w:b/>
                <w:bCs/>
                <w:sz w:val="24"/>
              </w:rPr>
            </w:pPr>
          </w:p>
          <w:p>
            <w:pPr>
              <w:autoSpaceDE w:val="0"/>
              <w:autoSpaceDN w:val="0"/>
              <w:adjustRightInd w:val="0"/>
              <w:snapToGrid w:val="0"/>
              <w:ind w:firstLine="361" w:firstLineChars="150"/>
              <w:jc w:val="center"/>
              <w:rPr>
                <w:b/>
                <w:bCs/>
                <w:sz w:val="24"/>
              </w:rPr>
            </w:pPr>
          </w:p>
          <w:p>
            <w:pPr>
              <w:autoSpaceDE w:val="0"/>
              <w:autoSpaceDN w:val="0"/>
              <w:adjustRightInd w:val="0"/>
              <w:snapToGrid w:val="0"/>
              <w:ind w:firstLine="361" w:firstLineChars="150"/>
              <w:jc w:val="center"/>
              <w:rPr>
                <w:b/>
                <w:bCs/>
                <w:sz w:val="24"/>
                <w:lang w:val="zh-CN"/>
              </w:rPr>
            </w:pPr>
            <w:r>
              <w:rPr>
                <w:b/>
                <w:bCs/>
                <w:sz w:val="24"/>
                <w:lang w:val="zh-CN"/>
              </w:rPr>
              <w:t>表</w:t>
            </w:r>
            <w:r>
              <w:rPr>
                <w:b/>
                <w:bCs/>
                <w:sz w:val="24"/>
              </w:rPr>
              <w:t>1-</w:t>
            </w:r>
            <w:r>
              <w:rPr>
                <w:rFonts w:hint="eastAsia"/>
                <w:b/>
                <w:bCs/>
                <w:sz w:val="24"/>
              </w:rPr>
              <w:t>8</w:t>
            </w:r>
            <w:r>
              <w:rPr>
                <w:b/>
                <w:bCs/>
                <w:sz w:val="24"/>
                <w:lang w:val="zh-CN"/>
              </w:rPr>
              <w:t xml:space="preserve"> 与苏环办[2019]36号文对照分析</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85"/>
              <w:gridCol w:w="3743"/>
              <w:gridCol w:w="2332"/>
              <w:gridCol w:w="83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835" w:type="pct"/>
                  <w:vAlign w:val="center"/>
                </w:tcPr>
                <w:p>
                  <w:pPr>
                    <w:autoSpaceDE w:val="0"/>
                    <w:autoSpaceDN w:val="0"/>
                    <w:adjustRightInd w:val="0"/>
                    <w:snapToGrid w:val="0"/>
                    <w:jc w:val="center"/>
                    <w:rPr>
                      <w:b/>
                      <w:bCs/>
                      <w:szCs w:val="21"/>
                    </w:rPr>
                  </w:pPr>
                  <w:r>
                    <w:rPr>
                      <w:b/>
                      <w:bCs/>
                      <w:szCs w:val="21"/>
                    </w:rPr>
                    <w:t>类别</w:t>
                  </w:r>
                </w:p>
              </w:tc>
              <w:tc>
                <w:tcPr>
                  <w:tcW w:w="2257" w:type="pct"/>
                  <w:vAlign w:val="center"/>
                </w:tcPr>
                <w:p>
                  <w:pPr>
                    <w:autoSpaceDE w:val="0"/>
                    <w:autoSpaceDN w:val="0"/>
                    <w:adjustRightInd w:val="0"/>
                    <w:snapToGrid w:val="0"/>
                    <w:jc w:val="center"/>
                    <w:rPr>
                      <w:b/>
                      <w:bCs/>
                      <w:szCs w:val="21"/>
                    </w:rPr>
                  </w:pPr>
                  <w:r>
                    <w:rPr>
                      <w:b/>
                      <w:bCs/>
                      <w:szCs w:val="21"/>
                    </w:rPr>
                    <w:t>文件要求（建设项目环评审批要点）</w:t>
                  </w:r>
                </w:p>
              </w:tc>
              <w:tc>
                <w:tcPr>
                  <w:tcW w:w="1406" w:type="pct"/>
                  <w:vAlign w:val="center"/>
                </w:tcPr>
                <w:p>
                  <w:pPr>
                    <w:autoSpaceDE w:val="0"/>
                    <w:autoSpaceDN w:val="0"/>
                    <w:adjustRightInd w:val="0"/>
                    <w:snapToGrid w:val="0"/>
                    <w:jc w:val="center"/>
                    <w:rPr>
                      <w:b/>
                      <w:bCs/>
                      <w:szCs w:val="21"/>
                    </w:rPr>
                  </w:pPr>
                  <w:r>
                    <w:rPr>
                      <w:b/>
                      <w:bCs/>
                      <w:szCs w:val="21"/>
                    </w:rPr>
                    <w:t>本项目</w:t>
                  </w:r>
                </w:p>
              </w:tc>
              <w:tc>
                <w:tcPr>
                  <w:tcW w:w="502" w:type="pct"/>
                  <w:vAlign w:val="center"/>
                </w:tcPr>
                <w:p>
                  <w:pPr>
                    <w:autoSpaceDE w:val="0"/>
                    <w:autoSpaceDN w:val="0"/>
                    <w:adjustRightInd w:val="0"/>
                    <w:snapToGrid w:val="0"/>
                    <w:jc w:val="center"/>
                    <w:rPr>
                      <w:b/>
                      <w:bCs/>
                      <w:szCs w:val="21"/>
                    </w:rPr>
                  </w:pPr>
                  <w:r>
                    <w:rPr>
                      <w:b/>
                      <w:bCs/>
                      <w:szCs w:val="21"/>
                    </w:rPr>
                    <w:t>是否相符</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9" w:hRule="atLeast"/>
                <w:jc w:val="center"/>
              </w:trPr>
              <w:tc>
                <w:tcPr>
                  <w:tcW w:w="835" w:type="pct"/>
                  <w:vAlign w:val="center"/>
                </w:tcPr>
                <w:p>
                  <w:pPr>
                    <w:autoSpaceDE w:val="0"/>
                    <w:autoSpaceDN w:val="0"/>
                    <w:adjustRightInd w:val="0"/>
                    <w:snapToGrid w:val="0"/>
                    <w:jc w:val="center"/>
                    <w:rPr>
                      <w:szCs w:val="21"/>
                    </w:rPr>
                  </w:pPr>
                  <w:r>
                    <w:rPr>
                      <w:szCs w:val="21"/>
                    </w:rPr>
                    <w:t>《建设项目环境保护管理条例》</w:t>
                  </w:r>
                </w:p>
              </w:tc>
              <w:tc>
                <w:tcPr>
                  <w:tcW w:w="2257" w:type="pct"/>
                  <w:vAlign w:val="center"/>
                </w:tcPr>
                <w:p>
                  <w:pPr>
                    <w:autoSpaceDE w:val="0"/>
                    <w:autoSpaceDN w:val="0"/>
                    <w:adjustRightInd w:val="0"/>
                    <w:snapToGrid w:val="0"/>
                    <w:ind w:firstLine="420" w:firstLineChars="200"/>
                    <w:jc w:val="left"/>
                    <w:rPr>
                      <w:szCs w:val="21"/>
                    </w:rPr>
                  </w:pPr>
                  <w:r>
                    <w:rPr>
                      <w:szCs w:val="21"/>
                    </w:rPr>
                    <w:t>有下列情形之一的，不予批准：（1）建设项目类型及其选址、布局、规模等不符合环境保护法律法规和相关法定规划；（2）所在区域环境质量未达到国家或者地方环境质量标准，且建设项目拟采取的措施不能满足区域环境质量改善目标管理要求；（3）建设项目采取的污染防治措施无法确保污染物排放达到国家和地方排放标准，或者未采取必要措施预防和控制生态破坏；（4）改建、扩建和技术改造项目，未针对项目原有环境污染和生态破坏提出有效防止措施；（5）建设项目的环境影响报告书、环境影响报告表的基础资料数据明显不实，内容存在重大缺陷、遗漏，或者环境影响评价结论不明确、不合理。</w:t>
                  </w:r>
                </w:p>
              </w:tc>
              <w:tc>
                <w:tcPr>
                  <w:tcW w:w="1406" w:type="pct"/>
                  <w:vAlign w:val="center"/>
                </w:tcPr>
                <w:p>
                  <w:pPr>
                    <w:autoSpaceDE w:val="0"/>
                    <w:autoSpaceDN w:val="0"/>
                    <w:adjustRightInd w:val="0"/>
                    <w:snapToGrid w:val="0"/>
                    <w:ind w:firstLine="420" w:firstLineChars="200"/>
                    <w:jc w:val="left"/>
                    <w:rPr>
                      <w:szCs w:val="21"/>
                    </w:rPr>
                  </w:pPr>
                  <w:r>
                    <w:rPr>
                      <w:rFonts w:hint="eastAsia" w:ascii="宋体" w:hAnsi="宋体" w:cs="宋体"/>
                      <w:szCs w:val="21"/>
                    </w:rPr>
                    <w:t>①</w:t>
                  </w:r>
                  <w:r>
                    <w:rPr>
                      <w:szCs w:val="21"/>
                    </w:rPr>
                    <w:t>本项目所在地调整后的规划符合环境保护法律法规和相关法定规划要求；</w:t>
                  </w:r>
                  <w:r>
                    <w:rPr>
                      <w:rFonts w:hint="eastAsia" w:ascii="宋体" w:hAnsi="宋体" w:cs="宋体"/>
                      <w:szCs w:val="21"/>
                    </w:rPr>
                    <w:t>②</w:t>
                  </w:r>
                  <w:r>
                    <w:rPr>
                      <w:szCs w:val="21"/>
                    </w:rPr>
                    <w:t>项目所在区域环境控制质量不达标，本项目采取的措施有效可行，确保污染物稳定达标，区域已经制定限期达标规划，项目建设满足区域环境质量改善目标管理要求；</w:t>
                  </w:r>
                  <w:r>
                    <w:rPr>
                      <w:rFonts w:hint="eastAsia" w:ascii="宋体" w:hAnsi="宋体" w:cs="宋体"/>
                      <w:szCs w:val="21"/>
                    </w:rPr>
                    <w:t>③</w:t>
                  </w:r>
                  <w:r>
                    <w:rPr>
                      <w:szCs w:val="21"/>
                    </w:rPr>
                    <w:t>项目污染物经处理后可稳定达到国家和地方排放标准；</w:t>
                  </w:r>
                  <w:r>
                    <w:rPr>
                      <w:rFonts w:hint="eastAsia" w:ascii="宋体" w:hAnsi="宋体" w:cs="宋体"/>
                      <w:szCs w:val="21"/>
                    </w:rPr>
                    <w:t>④</w:t>
                  </w:r>
                  <w:r>
                    <w:rPr>
                      <w:szCs w:val="21"/>
                    </w:rPr>
                    <w:t>本项目基础数据真实有效，评价结论合理可信，本项目不存在不予批准的情形</w:t>
                  </w:r>
                  <w:r>
                    <w:rPr>
                      <w:rFonts w:hint="eastAsia"/>
                      <w:szCs w:val="21"/>
                    </w:rPr>
                    <w:t>。</w:t>
                  </w:r>
                </w:p>
              </w:tc>
              <w:tc>
                <w:tcPr>
                  <w:tcW w:w="502" w:type="pct"/>
                  <w:vAlign w:val="center"/>
                </w:tcPr>
                <w:p>
                  <w:pPr>
                    <w:autoSpaceDE w:val="0"/>
                    <w:autoSpaceDN w:val="0"/>
                    <w:adjustRightInd w:val="0"/>
                    <w:snapToGrid w:val="0"/>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35" w:type="pct"/>
                  <w:vAlign w:val="center"/>
                </w:tcPr>
                <w:p>
                  <w:pPr>
                    <w:autoSpaceDE w:val="0"/>
                    <w:autoSpaceDN w:val="0"/>
                    <w:adjustRightInd w:val="0"/>
                    <w:snapToGrid w:val="0"/>
                    <w:jc w:val="center"/>
                    <w:rPr>
                      <w:szCs w:val="21"/>
                    </w:rPr>
                  </w:pPr>
                  <w:r>
                    <w:rPr>
                      <w:szCs w:val="21"/>
                    </w:rPr>
                    <w:t>《农用地土壤环境管理办法（试行）》</w:t>
                  </w:r>
                </w:p>
              </w:tc>
              <w:tc>
                <w:tcPr>
                  <w:tcW w:w="2257" w:type="pct"/>
                  <w:vAlign w:val="center"/>
                </w:tcPr>
                <w:p>
                  <w:pPr>
                    <w:autoSpaceDE w:val="0"/>
                    <w:autoSpaceDN w:val="0"/>
                    <w:adjustRightInd w:val="0"/>
                    <w:snapToGrid w:val="0"/>
                    <w:ind w:firstLine="420" w:firstLineChars="200"/>
                    <w:jc w:val="left"/>
                    <w:rPr>
                      <w:szCs w:val="21"/>
                    </w:rPr>
                  </w:pPr>
                  <w:r>
                    <w:rPr>
                      <w:szCs w:val="21"/>
                    </w:rPr>
                    <w:t>严格控制在优先保护类耕地集中区域新建有色金属冶炼、石油加工、化工、焦化、电镀、制革等行业企业，有关环境保护主管部门依法不予审批可能造成耕地土壤污染的建设项目环境影响报告书或者报告表。</w:t>
                  </w:r>
                </w:p>
              </w:tc>
              <w:tc>
                <w:tcPr>
                  <w:tcW w:w="1406" w:type="pct"/>
                  <w:vAlign w:val="center"/>
                </w:tcPr>
                <w:p>
                  <w:pPr>
                    <w:autoSpaceDE w:val="0"/>
                    <w:autoSpaceDN w:val="0"/>
                    <w:adjustRightInd w:val="0"/>
                    <w:snapToGrid w:val="0"/>
                    <w:ind w:firstLine="420" w:firstLineChars="200"/>
                    <w:jc w:val="left"/>
                    <w:rPr>
                      <w:szCs w:val="21"/>
                    </w:rPr>
                  </w:pPr>
                  <w:r>
                    <w:rPr>
                      <w:szCs w:val="21"/>
                    </w:rPr>
                    <w:t>本项目位于</w:t>
                  </w:r>
                  <w:r>
                    <w:rPr>
                      <w:rFonts w:hint="eastAsia"/>
                      <w:szCs w:val="21"/>
                    </w:rPr>
                    <w:t>江苏省常州市武进区湖塘镇三勤社区何家组</w:t>
                  </w:r>
                  <w:r>
                    <w:rPr>
                      <w:szCs w:val="21"/>
                    </w:rPr>
                    <w:t>，用地性质为工业用地</w:t>
                  </w:r>
                  <w:r>
                    <w:rPr>
                      <w:rFonts w:hint="eastAsia"/>
                      <w:szCs w:val="21"/>
                    </w:rPr>
                    <w:t>。</w:t>
                  </w:r>
                </w:p>
              </w:tc>
              <w:tc>
                <w:tcPr>
                  <w:tcW w:w="502" w:type="pct"/>
                  <w:vAlign w:val="center"/>
                </w:tcPr>
                <w:p>
                  <w:pPr>
                    <w:autoSpaceDE w:val="0"/>
                    <w:autoSpaceDN w:val="0"/>
                    <w:adjustRightInd w:val="0"/>
                    <w:snapToGrid w:val="0"/>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35" w:type="pct"/>
                  <w:vAlign w:val="center"/>
                </w:tcPr>
                <w:p>
                  <w:pPr>
                    <w:autoSpaceDE w:val="0"/>
                    <w:autoSpaceDN w:val="0"/>
                    <w:adjustRightInd w:val="0"/>
                    <w:snapToGrid w:val="0"/>
                    <w:jc w:val="center"/>
                    <w:rPr>
                      <w:szCs w:val="21"/>
                    </w:rPr>
                  </w:pPr>
                  <w:r>
                    <w:rPr>
                      <w:rFonts w:hint="eastAsia"/>
                      <w:szCs w:val="21"/>
                    </w:rPr>
                    <w:t>《关于印发&lt;建设项目主要污染物排放总量指标审核及管理暂行办法&gt;的通知》（环发〔2014〕197号）</w:t>
                  </w:r>
                </w:p>
              </w:tc>
              <w:tc>
                <w:tcPr>
                  <w:tcW w:w="2257" w:type="pct"/>
                  <w:vAlign w:val="center"/>
                </w:tcPr>
                <w:p>
                  <w:pPr>
                    <w:autoSpaceDE w:val="0"/>
                    <w:autoSpaceDN w:val="0"/>
                    <w:adjustRightInd w:val="0"/>
                    <w:snapToGrid w:val="0"/>
                    <w:ind w:firstLine="420" w:firstLineChars="200"/>
                    <w:jc w:val="left"/>
                    <w:rPr>
                      <w:szCs w:val="21"/>
                    </w:rPr>
                  </w:pPr>
                  <w:r>
                    <w:rPr>
                      <w:szCs w:val="21"/>
                    </w:rPr>
                    <w:t>严格落实污染物排放总量控制制度，把主要污染物排放总量指标作为建设项目环境影响评价审批的前置条件。排放主要污染物的建设项目，在环境影响评价文件审批前，须取得主要污染物排放总量指标。</w:t>
                  </w:r>
                </w:p>
              </w:tc>
              <w:tc>
                <w:tcPr>
                  <w:tcW w:w="1406" w:type="pct"/>
                  <w:vAlign w:val="center"/>
                </w:tcPr>
                <w:p>
                  <w:pPr>
                    <w:autoSpaceDE w:val="0"/>
                    <w:autoSpaceDN w:val="0"/>
                    <w:adjustRightInd w:val="0"/>
                    <w:snapToGrid w:val="0"/>
                    <w:ind w:firstLine="420" w:firstLineChars="200"/>
                    <w:jc w:val="left"/>
                    <w:rPr>
                      <w:szCs w:val="21"/>
                    </w:rPr>
                  </w:pPr>
                  <w:r>
                    <w:rPr>
                      <w:szCs w:val="21"/>
                    </w:rPr>
                    <w:t>本项目拟在环境影响评价文件审批前，取得主要污染物排放总量指标</w:t>
                  </w:r>
                  <w:r>
                    <w:rPr>
                      <w:rFonts w:hint="eastAsia"/>
                      <w:szCs w:val="21"/>
                    </w:rPr>
                    <w:t>。</w:t>
                  </w:r>
                </w:p>
              </w:tc>
              <w:tc>
                <w:tcPr>
                  <w:tcW w:w="502" w:type="pct"/>
                  <w:vAlign w:val="center"/>
                </w:tcPr>
                <w:p>
                  <w:pPr>
                    <w:autoSpaceDE w:val="0"/>
                    <w:autoSpaceDN w:val="0"/>
                    <w:adjustRightInd w:val="0"/>
                    <w:snapToGrid w:val="0"/>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35" w:type="pct"/>
                  <w:vAlign w:val="center"/>
                </w:tcPr>
                <w:p>
                  <w:pPr>
                    <w:autoSpaceDE w:val="0"/>
                    <w:autoSpaceDN w:val="0"/>
                    <w:snapToGrid w:val="0"/>
                    <w:jc w:val="center"/>
                    <w:rPr>
                      <w:szCs w:val="21"/>
                    </w:rPr>
                  </w:pPr>
                  <w:r>
                    <w:rPr>
                      <w:rFonts w:hint="eastAsia"/>
                      <w:szCs w:val="21"/>
                    </w:rPr>
                    <w:t>《关于以改善环境质量为核心加强环境影响评价管理的通知》（环环评〔2016〕150号）</w:t>
                  </w:r>
                </w:p>
              </w:tc>
              <w:tc>
                <w:tcPr>
                  <w:tcW w:w="2257" w:type="pct"/>
                  <w:vAlign w:val="center"/>
                </w:tcPr>
                <w:p>
                  <w:pPr>
                    <w:autoSpaceDE w:val="0"/>
                    <w:autoSpaceDN w:val="0"/>
                    <w:snapToGrid w:val="0"/>
                    <w:ind w:firstLine="420" w:firstLineChars="200"/>
                    <w:jc w:val="left"/>
                    <w:rPr>
                      <w:szCs w:val="21"/>
                    </w:rPr>
                  </w:pPr>
                  <w:r>
                    <w:rPr>
                      <w:rFonts w:hint="eastAsia"/>
                      <w:szCs w:val="21"/>
                    </w:rPr>
                    <w:t>（1）规划环评要作为规划所包含项目环评的重要依据，对于不符合规划环评结论及审查意见的项目环评，依法不予审批。（2）对于现有同类型项目环境污染或生态破坏严重、环境违法违规现象多发，致使环境容量接近或超过承载能力的地区，在现有问题整改到位前，依法暂停审批该地区同类行业的项目环评文件。（3）对环境质量现状超标的地区，项目拟采取的措施不能满足区域环境质量改善目标管理要求的，依法不予审批其环评文件。对未达到环境质量目标考核要求的地区，除民生项目与节能减排项目外，依法暂停审批该地区新增排放相应重点污染物的项目环评文件。除受自然条件限制、确实无法避让的铁路、公路、航道、防洪、管道、干渠、通讯、输变电等重要基础设施项目外，在生态保护红线范围内，严控各类开发建设活动，依法不予审批新建工业项目和矿产开发项目的环评文件。</w:t>
                  </w:r>
                </w:p>
              </w:tc>
              <w:tc>
                <w:tcPr>
                  <w:tcW w:w="1406" w:type="pct"/>
                  <w:vAlign w:val="center"/>
                </w:tcPr>
                <w:p>
                  <w:pPr>
                    <w:autoSpaceDE w:val="0"/>
                    <w:autoSpaceDN w:val="0"/>
                    <w:snapToGrid w:val="0"/>
                    <w:ind w:firstLine="420" w:firstLineChars="200"/>
                    <w:jc w:val="left"/>
                    <w:rPr>
                      <w:szCs w:val="21"/>
                    </w:rPr>
                  </w:pPr>
                  <w:r>
                    <w:rPr>
                      <w:rFonts w:hint="eastAsia"/>
                      <w:szCs w:val="21"/>
                    </w:rPr>
                    <w:t>（1）本项目建设内容符合所在区域定位，且不在生态保护红线范围内；</w:t>
                  </w:r>
                </w:p>
                <w:p>
                  <w:pPr>
                    <w:autoSpaceDE w:val="0"/>
                    <w:autoSpaceDN w:val="0"/>
                    <w:snapToGrid w:val="0"/>
                    <w:ind w:firstLine="420" w:firstLineChars="200"/>
                    <w:jc w:val="left"/>
                    <w:rPr>
                      <w:szCs w:val="21"/>
                    </w:rPr>
                  </w:pPr>
                  <w:r>
                    <w:rPr>
                      <w:rFonts w:hint="eastAsia"/>
                      <w:szCs w:val="21"/>
                    </w:rPr>
                    <w:t>（2）项目所在地为不达标区，本项目各废气因子排放量较小，对周围保护目标影响均较小，均未超过各因子的环境质量标准。因此，项目排放的大气污染物对周围空气环境影响较小。</w:t>
                  </w:r>
                </w:p>
              </w:tc>
              <w:tc>
                <w:tcPr>
                  <w:tcW w:w="502" w:type="pct"/>
                  <w:vAlign w:val="center"/>
                </w:tcPr>
                <w:p>
                  <w:pPr>
                    <w:autoSpaceDE w:val="0"/>
                    <w:autoSpaceDN w:val="0"/>
                    <w:adjustRightInd w:val="0"/>
                    <w:snapToGrid w:val="0"/>
                    <w:jc w:val="center"/>
                    <w:rPr>
                      <w:szCs w:val="21"/>
                    </w:rPr>
                  </w:pPr>
                  <w:r>
                    <w:rPr>
                      <w:rFonts w:hint="eastAsia"/>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53" w:hRule="atLeast"/>
                <w:jc w:val="center"/>
              </w:trPr>
              <w:tc>
                <w:tcPr>
                  <w:tcW w:w="835" w:type="pct"/>
                  <w:vAlign w:val="center"/>
                </w:tcPr>
                <w:p>
                  <w:pPr>
                    <w:autoSpaceDE w:val="0"/>
                    <w:autoSpaceDN w:val="0"/>
                    <w:snapToGrid w:val="0"/>
                    <w:jc w:val="center"/>
                    <w:rPr>
                      <w:szCs w:val="21"/>
                    </w:rPr>
                  </w:pPr>
                  <w:r>
                    <w:rPr>
                      <w:rFonts w:hint="eastAsia"/>
                      <w:szCs w:val="21"/>
                    </w:rPr>
                    <w:t>《关于全面加强生态环境保护坚决打好污染防治攻坚战的实施意见》（苏发〔2018〕24号）</w:t>
                  </w:r>
                </w:p>
              </w:tc>
              <w:tc>
                <w:tcPr>
                  <w:tcW w:w="2257" w:type="pct"/>
                  <w:vAlign w:val="center"/>
                </w:tcPr>
                <w:p>
                  <w:pPr>
                    <w:autoSpaceDE w:val="0"/>
                    <w:autoSpaceDN w:val="0"/>
                    <w:snapToGrid w:val="0"/>
                    <w:ind w:firstLine="420" w:firstLineChars="200"/>
                    <w:jc w:val="left"/>
                    <w:rPr>
                      <w:szCs w:val="21"/>
                    </w:rPr>
                  </w:pPr>
                  <w:r>
                    <w:rPr>
                      <w:rFonts w:hint="eastAsia"/>
                      <w:szCs w:val="21"/>
                    </w:rPr>
                    <w:t>严禁在长江干流及主要支流岸线1公里范围内新建布局化工园区和化工企业。严格化工项目环评审批，提高准入门槛，新建化工项目原则上投资额不得低于10亿元，不得新建、改建、扩建三类中间体项目。</w:t>
                  </w:r>
                </w:p>
              </w:tc>
              <w:tc>
                <w:tcPr>
                  <w:tcW w:w="1406" w:type="pct"/>
                  <w:vAlign w:val="center"/>
                </w:tcPr>
                <w:p>
                  <w:pPr>
                    <w:autoSpaceDE w:val="0"/>
                    <w:autoSpaceDN w:val="0"/>
                    <w:snapToGrid w:val="0"/>
                    <w:ind w:firstLine="420" w:firstLineChars="200"/>
                    <w:jc w:val="left"/>
                    <w:rPr>
                      <w:szCs w:val="21"/>
                    </w:rPr>
                  </w:pPr>
                  <w:r>
                    <w:rPr>
                      <w:rFonts w:hint="eastAsia"/>
                      <w:szCs w:val="21"/>
                    </w:rPr>
                    <w:t>本项目不属于化工企业。</w:t>
                  </w:r>
                </w:p>
              </w:tc>
              <w:tc>
                <w:tcPr>
                  <w:tcW w:w="502" w:type="pct"/>
                  <w:vAlign w:val="center"/>
                </w:tcPr>
                <w:p>
                  <w:pPr>
                    <w:autoSpaceDE w:val="0"/>
                    <w:autoSpaceDN w:val="0"/>
                    <w:snapToGrid w:val="0"/>
                    <w:jc w:val="left"/>
                    <w:rPr>
                      <w:szCs w:val="21"/>
                    </w:rPr>
                  </w:pPr>
                  <w:r>
                    <w:rPr>
                      <w:rFonts w:hint="eastAsia"/>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835" w:type="pct"/>
                  <w:vAlign w:val="center"/>
                </w:tcPr>
                <w:p>
                  <w:pPr>
                    <w:autoSpaceDE w:val="0"/>
                    <w:autoSpaceDN w:val="0"/>
                    <w:adjustRightInd w:val="0"/>
                    <w:snapToGrid w:val="0"/>
                    <w:jc w:val="center"/>
                    <w:rPr>
                      <w:szCs w:val="21"/>
                    </w:rPr>
                  </w:pPr>
                  <w:r>
                    <w:rPr>
                      <w:szCs w:val="21"/>
                    </w:rPr>
                    <w:t>《省政府关于印发江苏省国家级生态保护红线规划的通知》</w:t>
                  </w:r>
                </w:p>
              </w:tc>
              <w:tc>
                <w:tcPr>
                  <w:tcW w:w="2257" w:type="pct"/>
                  <w:vAlign w:val="center"/>
                </w:tcPr>
                <w:p>
                  <w:pPr>
                    <w:autoSpaceDE w:val="0"/>
                    <w:autoSpaceDN w:val="0"/>
                    <w:adjustRightInd w:val="0"/>
                    <w:snapToGrid w:val="0"/>
                    <w:ind w:firstLine="420" w:firstLineChars="200"/>
                    <w:jc w:val="left"/>
                    <w:rPr>
                      <w:szCs w:val="21"/>
                    </w:rPr>
                  </w:pPr>
                  <w:r>
                    <w:rPr>
                      <w:szCs w:val="21"/>
                    </w:rPr>
                    <w:t>生态保护红线原则上按禁止开发区域的要求进行管理，严禁不符合主体功能定位的各类开发活动，严禁任意改变用途。</w:t>
                  </w:r>
                </w:p>
              </w:tc>
              <w:tc>
                <w:tcPr>
                  <w:tcW w:w="1406" w:type="pct"/>
                  <w:vAlign w:val="center"/>
                </w:tcPr>
                <w:p>
                  <w:pPr>
                    <w:autoSpaceDE w:val="0"/>
                    <w:autoSpaceDN w:val="0"/>
                    <w:adjustRightInd w:val="0"/>
                    <w:snapToGrid w:val="0"/>
                    <w:ind w:firstLine="420" w:firstLineChars="200"/>
                    <w:jc w:val="left"/>
                    <w:rPr>
                      <w:szCs w:val="21"/>
                    </w:rPr>
                  </w:pPr>
                  <w:r>
                    <w:rPr>
                      <w:szCs w:val="21"/>
                    </w:rPr>
                    <w:t>本项目不在生态保护红线内</w:t>
                  </w:r>
                  <w:r>
                    <w:rPr>
                      <w:rFonts w:hint="eastAsia"/>
                      <w:szCs w:val="21"/>
                    </w:rPr>
                    <w:t>。</w:t>
                  </w:r>
                </w:p>
              </w:tc>
              <w:tc>
                <w:tcPr>
                  <w:tcW w:w="502" w:type="pct"/>
                  <w:vAlign w:val="center"/>
                </w:tcPr>
                <w:p>
                  <w:pPr>
                    <w:autoSpaceDE w:val="0"/>
                    <w:autoSpaceDN w:val="0"/>
                    <w:adjustRightInd w:val="0"/>
                    <w:snapToGrid w:val="0"/>
                    <w:jc w:val="center"/>
                    <w:rPr>
                      <w:szCs w:val="21"/>
                    </w:rPr>
                  </w:pPr>
                  <w:r>
                    <w:rPr>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8" w:hRule="atLeast"/>
                <w:jc w:val="center"/>
              </w:trPr>
              <w:tc>
                <w:tcPr>
                  <w:tcW w:w="835" w:type="pct"/>
                  <w:vAlign w:val="center"/>
                </w:tcPr>
                <w:p>
                  <w:pPr>
                    <w:autoSpaceDE w:val="0"/>
                    <w:autoSpaceDN w:val="0"/>
                    <w:snapToGrid w:val="0"/>
                    <w:jc w:val="center"/>
                    <w:rPr>
                      <w:szCs w:val="21"/>
                    </w:rPr>
                  </w:pPr>
                  <w:r>
                    <w:rPr>
                      <w:rFonts w:hint="eastAsia"/>
                      <w:szCs w:val="21"/>
                    </w:rPr>
                    <w:t>《省政府办公厅关于加强危险废物污染防治工作的意见》（苏政办发〔2018〕91号）</w:t>
                  </w:r>
                </w:p>
              </w:tc>
              <w:tc>
                <w:tcPr>
                  <w:tcW w:w="2257" w:type="pct"/>
                  <w:vAlign w:val="center"/>
                </w:tcPr>
                <w:p>
                  <w:pPr>
                    <w:autoSpaceDE w:val="0"/>
                    <w:autoSpaceDN w:val="0"/>
                    <w:snapToGrid w:val="0"/>
                    <w:ind w:firstLine="420" w:firstLineChars="200"/>
                    <w:jc w:val="left"/>
                    <w:rPr>
                      <w:szCs w:val="21"/>
                    </w:rPr>
                  </w:pPr>
                  <w:r>
                    <w:rPr>
                      <w:rFonts w:hint="eastAsia"/>
                      <w:szCs w:val="21"/>
                    </w:rPr>
                    <w:t>禁止审批无法落实危险废物利用、处置途径的项目，从严审批危险废物产生量大、本地无配套利用处置能力、且需设区市统筹解决的项目。</w:t>
                  </w:r>
                </w:p>
              </w:tc>
              <w:tc>
                <w:tcPr>
                  <w:tcW w:w="1406" w:type="pct"/>
                  <w:vAlign w:val="center"/>
                </w:tcPr>
                <w:p>
                  <w:pPr>
                    <w:autoSpaceDE w:val="0"/>
                    <w:autoSpaceDN w:val="0"/>
                    <w:snapToGrid w:val="0"/>
                    <w:ind w:firstLine="420" w:firstLineChars="200"/>
                    <w:jc w:val="left"/>
                    <w:rPr>
                      <w:szCs w:val="21"/>
                    </w:rPr>
                  </w:pPr>
                  <w:r>
                    <w:rPr>
                      <w:rFonts w:hint="eastAsia"/>
                      <w:szCs w:val="21"/>
                    </w:rPr>
                    <w:t>本项目危险废物合理合法利用、处置。固废处置率100%。</w:t>
                  </w:r>
                </w:p>
              </w:tc>
              <w:tc>
                <w:tcPr>
                  <w:tcW w:w="502" w:type="pct"/>
                  <w:vAlign w:val="center"/>
                </w:tcPr>
                <w:p>
                  <w:pPr>
                    <w:autoSpaceDE w:val="0"/>
                    <w:autoSpaceDN w:val="0"/>
                    <w:snapToGrid w:val="0"/>
                    <w:jc w:val="left"/>
                    <w:rPr>
                      <w:szCs w:val="21"/>
                    </w:rPr>
                  </w:pPr>
                  <w:r>
                    <w:rPr>
                      <w:rFonts w:hint="eastAsia"/>
                      <w:szCs w:val="21"/>
                    </w:rPr>
                    <w:t>符合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35" w:type="pct"/>
                  <w:vAlign w:val="center"/>
                </w:tcPr>
                <w:p>
                  <w:pPr>
                    <w:autoSpaceDE w:val="0"/>
                    <w:autoSpaceDN w:val="0"/>
                    <w:snapToGrid w:val="0"/>
                    <w:jc w:val="left"/>
                    <w:rPr>
                      <w:szCs w:val="21"/>
                    </w:rPr>
                  </w:pPr>
                  <w:r>
                    <w:rPr>
                      <w:szCs w:val="21"/>
                    </w:rPr>
                    <w:t>推动长江经济带发展领导小组办公室关于印发《长江经济带发展负面清单指南（试行，2022年版）》的通知（长江办〔2022〕7号）</w:t>
                  </w:r>
                </w:p>
              </w:tc>
              <w:tc>
                <w:tcPr>
                  <w:tcW w:w="2257" w:type="pct"/>
                  <w:vAlign w:val="center"/>
                </w:tcPr>
                <w:p>
                  <w:pPr>
                    <w:autoSpaceDE w:val="0"/>
                    <w:autoSpaceDN w:val="0"/>
                    <w:snapToGrid w:val="0"/>
                    <w:jc w:val="left"/>
                    <w:rPr>
                      <w:szCs w:val="21"/>
                    </w:rPr>
                  </w:pPr>
                  <w:r>
                    <w:rPr>
                      <w:szCs w:val="21"/>
                    </w:rPr>
                    <w:t>1.禁止建设不符合全国和省级港口布局规划以及港口总体规划的码头项目，禁止建设不符合《长江干线过江通道布局规划》的过长江通道项目。2.禁止在自然保护区核心区、缓冲区的岸线和河段范围内投资建设旅游和生产经营项目。禁止在风景名胜区核心景区的岸线和河段范围内投资建设与风景名胜资源保护无关的项目。3.禁止在饮用水水源一级保护区的岸线和河段范围内新建、改建、扩建与供水设施和保护水源无关的项目，以及网箱养殖、畜禽养殖、旅游等可能污染饮用水水体的投资建设项目。禁止在饮用水水源二级保护区的岸线和河段范围内新建、改建、扩建排放污染物的投资建设项目。4.禁止在水产种质资源保护区的岸线和河段范围内新建围湖造田、国海造地或围填海等投资建设项目。禁止在国家湿地公园的岸线和河段范围内挖沙、采矿，以及任何不符合主体功能定位的投资建设项目。5.禁止违法利用、占用长江流城河湖岸线。禁止在《长江岸线保护和开发利用总体规划》划定的岸线保护区和保留区内投资建设除事关公共安全及公众利益的防洪护岸、河道治理、供水、生态环境保护、航道整治、国家重要基础设施以外的项目。禁止在《全国重要江河湖油水功能区划》划定的河段及湖泊保护区、保留区内投资建设不利于水资源及自然生态保护的项目。6．禁止未经许可在长江千支流及湖泊新设、改设或扩大排污口。7．禁止在“一江一口两湖七河”和332个水生生物保护区开展生产性捕捞。8.禁止在长江于支流、重要湖泊岸线一公里范围内新建、扩建化工园区和化工项目。禁止在长江干流岸线三公里范围内和重要支流岸线一公里范围内新建、改建、扩建尾矿库、冶炼渣库和磷石膏库，以提升安全、生态环境保护水平为目的的改建除外。9.禁止在合规园区外新建、扩建钢铁、石化、化工、焦化、建材、有色、制浆造纸等高污染项目。10.禁止新建、扩建不符合国家石化、现代煤化工等产业布局规划的项目。11.禁止新建、扩建法律法规和相关政策明令禁止的落后产能项目。禁止新建、扩建不符合国家产能置换要求的严重过剩产能行业的项目。禁止新建、扩建不符合要求的高耗能高排放项目。12，法律法规及相关政策文件有更加严格规定的从其规定。</w:t>
                  </w:r>
                </w:p>
              </w:tc>
              <w:tc>
                <w:tcPr>
                  <w:tcW w:w="1406" w:type="pct"/>
                  <w:vAlign w:val="center"/>
                </w:tcPr>
                <w:p>
                  <w:pPr>
                    <w:autoSpaceDE w:val="0"/>
                    <w:autoSpaceDN w:val="0"/>
                    <w:snapToGrid w:val="0"/>
                    <w:jc w:val="left"/>
                    <w:rPr>
                      <w:szCs w:val="21"/>
                    </w:rPr>
                  </w:pPr>
                  <w:r>
                    <w:rPr>
                      <w:rFonts w:hint="eastAsia"/>
                      <w:szCs w:val="21"/>
                    </w:rPr>
                    <w:t>本</w:t>
                  </w:r>
                  <w:r>
                    <w:rPr>
                      <w:szCs w:val="21"/>
                    </w:rPr>
                    <w:t>项目不属于禁止建设项目</w:t>
                  </w:r>
                </w:p>
              </w:tc>
              <w:tc>
                <w:tcPr>
                  <w:tcW w:w="502" w:type="pct"/>
                  <w:vAlign w:val="center"/>
                </w:tcPr>
                <w:p>
                  <w:pPr>
                    <w:autoSpaceDE w:val="0"/>
                    <w:autoSpaceDN w:val="0"/>
                    <w:adjustRightInd w:val="0"/>
                    <w:snapToGrid w:val="0"/>
                    <w:jc w:val="center"/>
                    <w:rPr>
                      <w:szCs w:val="21"/>
                    </w:rPr>
                  </w:pPr>
                  <w:r>
                    <w:rPr>
                      <w:szCs w:val="21"/>
                    </w:rPr>
                    <w:t>符合</w:t>
                  </w:r>
                </w:p>
              </w:tc>
            </w:tr>
          </w:tbl>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tc>
      </w:tr>
    </w:tbl>
    <w:p>
      <w:pPr>
        <w:spacing w:line="360" w:lineRule="auto"/>
        <w:outlineLvl w:val="0"/>
        <w:rPr>
          <w:rFonts w:eastAsia="黑体"/>
          <w:sz w:val="30"/>
        </w:rPr>
        <w:sectPr>
          <w:pgSz w:w="11906" w:h="16838"/>
          <w:pgMar w:top="1701" w:right="1531" w:bottom="1701" w:left="1531" w:header="851" w:footer="1077" w:gutter="0"/>
          <w:pgNumType w:start="1"/>
          <w:cols w:space="720" w:num="1"/>
          <w:docGrid w:linePitch="312" w:charSpace="0"/>
        </w:sectPr>
      </w:pPr>
    </w:p>
    <w:p>
      <w:pPr>
        <w:pStyle w:val="19"/>
        <w:spacing w:before="0" w:beforeAutospacing="0" w:after="0" w:afterAutospacing="0"/>
        <w:jc w:val="center"/>
        <w:outlineLvl w:val="0"/>
        <w:rPr>
          <w:rFonts w:ascii="黑体" w:hAnsi="黑体" w:eastAsia="黑体"/>
          <w:snapToGrid w:val="0"/>
          <w:sz w:val="30"/>
          <w:szCs w:val="30"/>
        </w:rPr>
      </w:pPr>
      <w:bookmarkStart w:id="6" w:name="_Toc104298940"/>
      <w:bookmarkStart w:id="7" w:name="_Toc104299247"/>
      <w:r>
        <w:rPr>
          <w:rFonts w:hint="eastAsia" w:ascii="黑体" w:hAnsi="黑体" w:eastAsia="黑体"/>
          <w:snapToGrid w:val="0"/>
          <w:sz w:val="30"/>
          <w:szCs w:val="30"/>
        </w:rPr>
        <w:t>二、建设项目工程分析</w:t>
      </w:r>
      <w:bookmarkEnd w:id="6"/>
      <w:bookmarkEnd w:id="7"/>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
        <w:gridCol w:w="8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786" w:hRule="atLeast"/>
          <w:jc w:val="center"/>
        </w:trPr>
        <w:tc>
          <w:tcPr>
            <w:tcW w:w="392" w:type="dxa"/>
            <w:vAlign w:val="center"/>
          </w:tcPr>
          <w:p>
            <w:pPr>
              <w:pStyle w:val="19"/>
              <w:adjustRightInd w:val="0"/>
              <w:snapToGrid w:val="0"/>
              <w:spacing w:before="0" w:beforeAutospacing="0" w:after="0" w:afterAutospacing="0"/>
              <w:jc w:val="center"/>
              <w:rPr>
                <w:rFonts w:cs="宋体"/>
                <w:sz w:val="21"/>
                <w:szCs w:val="21"/>
              </w:rPr>
            </w:pPr>
            <w:r>
              <w:rPr>
                <w:rFonts w:hint="eastAsia" w:cs="宋体"/>
                <w:sz w:val="21"/>
                <w:szCs w:val="21"/>
              </w:rPr>
              <w:t>建设内容</w:t>
            </w:r>
          </w:p>
        </w:tc>
        <w:tc>
          <w:tcPr>
            <w:tcW w:w="8668" w:type="dxa"/>
          </w:tcPr>
          <w:p>
            <w:pPr>
              <w:snapToGrid w:val="0"/>
              <w:spacing w:line="360" w:lineRule="auto"/>
              <w:rPr>
                <w:b/>
                <w:sz w:val="24"/>
              </w:rPr>
            </w:pPr>
            <w:r>
              <w:rPr>
                <w:b/>
                <w:sz w:val="24"/>
              </w:rPr>
              <w:t>1、项目</w:t>
            </w:r>
            <w:r>
              <w:rPr>
                <w:rFonts w:hint="eastAsia"/>
                <w:b/>
                <w:sz w:val="24"/>
              </w:rPr>
              <w:t>由来</w:t>
            </w:r>
          </w:p>
          <w:p>
            <w:pPr>
              <w:adjustRightInd w:val="0"/>
              <w:snapToGrid w:val="0"/>
              <w:spacing w:line="360" w:lineRule="auto"/>
              <w:ind w:firstLine="480" w:firstLineChars="200"/>
              <w:rPr>
                <w:sz w:val="24"/>
              </w:rPr>
            </w:pPr>
            <w:r>
              <w:rPr>
                <w:rFonts w:hint="eastAsia"/>
                <w:sz w:val="24"/>
              </w:rPr>
              <w:t>常州市润伦机械有限公司成立于2020年04月22日，经营范围：</w:t>
            </w:r>
            <w:r>
              <w:rPr>
                <w:sz w:val="24"/>
              </w:rPr>
              <w:t>一般项目：机械零件、零部件加工；机械零件、零部件销售；通用零部件制造；通用设备制造（不含特种设备制造）；专用设备制造（不含许可类专业设备制造）（除依法须经批准的项目外，凭营业执照依法自主开展经营活动）</w:t>
            </w:r>
          </w:p>
          <w:p>
            <w:pPr>
              <w:snapToGrid w:val="0"/>
              <w:spacing w:line="360" w:lineRule="auto"/>
              <w:ind w:firstLine="480" w:firstLineChars="200"/>
              <w:rPr>
                <w:sz w:val="24"/>
              </w:rPr>
            </w:pPr>
            <w:r>
              <w:rPr>
                <w:rFonts w:hint="eastAsia"/>
                <w:sz w:val="24"/>
              </w:rPr>
              <w:t>根据企业前期市场调查，为满足市场需求，常州市润伦机械有限公司拟投资350万元，于常州市武进区湖塘镇三勤社区何家组，租赁常州市武进新谊色织有限公司1056平方米厂房，</w:t>
            </w:r>
            <w:r>
              <w:rPr>
                <w:sz w:val="24"/>
              </w:rPr>
              <w:t>购置</w:t>
            </w:r>
            <w:r>
              <w:rPr>
                <w:rFonts w:hint="eastAsia"/>
                <w:bCs/>
                <w:sz w:val="24"/>
                <w:szCs w:val="22"/>
              </w:rPr>
              <w:t>车床、钻床等设备97台（套）</w:t>
            </w:r>
            <w:r>
              <w:rPr>
                <w:sz w:val="24"/>
              </w:rPr>
              <w:t>，</w:t>
            </w:r>
            <w:r>
              <w:rPr>
                <w:rFonts w:hint="eastAsia"/>
                <w:sz w:val="24"/>
              </w:rPr>
              <w:t>新建年产2000万只连接器项目，项目建成后可形成年产2000万只连接器的生产规模，</w:t>
            </w:r>
            <w:r>
              <w:rPr>
                <w:rFonts w:hint="eastAsia" w:hAnsi="宋体"/>
                <w:sz w:val="24"/>
              </w:rPr>
              <w:t>企业目前处于项目前期准备阶段，预计于2022年7月正式投产。</w:t>
            </w:r>
          </w:p>
          <w:p>
            <w:pPr>
              <w:snapToGrid w:val="0"/>
              <w:spacing w:line="360" w:lineRule="auto"/>
              <w:ind w:firstLine="480" w:firstLineChars="200"/>
              <w:rPr>
                <w:sz w:val="24"/>
              </w:rPr>
            </w:pPr>
            <w:r>
              <w:rPr>
                <w:sz w:val="24"/>
              </w:rPr>
              <w:t>该项目于202</w:t>
            </w:r>
            <w:r>
              <w:rPr>
                <w:rFonts w:hint="eastAsia"/>
                <w:sz w:val="24"/>
              </w:rPr>
              <w:t>2</w:t>
            </w:r>
            <w:r>
              <w:rPr>
                <w:sz w:val="24"/>
              </w:rPr>
              <w:t>年</w:t>
            </w:r>
            <w:r>
              <w:rPr>
                <w:rFonts w:hint="eastAsia"/>
                <w:sz w:val="24"/>
              </w:rPr>
              <w:t>4</w:t>
            </w:r>
            <w:r>
              <w:rPr>
                <w:sz w:val="24"/>
              </w:rPr>
              <w:t>月</w:t>
            </w:r>
            <w:r>
              <w:rPr>
                <w:rFonts w:hint="eastAsia"/>
                <w:sz w:val="24"/>
              </w:rPr>
              <w:t>20</w:t>
            </w:r>
            <w:r>
              <w:rPr>
                <w:sz w:val="24"/>
              </w:rPr>
              <w:t>日取得了</w:t>
            </w:r>
            <w:r>
              <w:rPr>
                <w:rFonts w:hint="eastAsia"/>
                <w:sz w:val="24"/>
              </w:rPr>
              <w:t>常州市武进区行政审批局</w:t>
            </w:r>
            <w:r>
              <w:rPr>
                <w:sz w:val="24"/>
              </w:rPr>
              <w:t>的项目备案证明，</w:t>
            </w:r>
            <w:r>
              <w:rPr>
                <w:rFonts w:hAnsi="宋体"/>
                <w:sz w:val="24"/>
              </w:rPr>
              <w:t>备案证号：</w:t>
            </w:r>
            <w:r>
              <w:rPr>
                <w:rFonts w:hint="eastAsia" w:hAnsi="宋体"/>
                <w:sz w:val="24"/>
              </w:rPr>
              <w:t>武行审备〔2022〕114号</w:t>
            </w:r>
            <w:r>
              <w:rPr>
                <w:rFonts w:hAnsi="宋体"/>
                <w:sz w:val="24"/>
              </w:rPr>
              <w:t>，项目代码：</w:t>
            </w:r>
            <w:r>
              <w:rPr>
                <w:sz w:val="24"/>
              </w:rPr>
              <w:t>2204-320412-89-03-840287</w:t>
            </w:r>
            <w:r>
              <w:rPr>
                <w:rFonts w:hAnsi="宋体"/>
                <w:sz w:val="24"/>
              </w:rPr>
              <w:t>，见附件</w:t>
            </w:r>
            <w:r>
              <w:rPr>
                <w:sz w:val="24"/>
              </w:rPr>
              <w:t>2</w:t>
            </w:r>
            <w:r>
              <w:rPr>
                <w:rFonts w:hAnsi="宋体"/>
                <w:sz w:val="24"/>
              </w:rPr>
              <w:t>。</w:t>
            </w:r>
          </w:p>
          <w:p>
            <w:pPr>
              <w:widowControl/>
              <w:adjustRightInd w:val="0"/>
              <w:snapToGrid w:val="0"/>
              <w:spacing w:line="360" w:lineRule="auto"/>
              <w:ind w:firstLine="480" w:firstLineChars="200"/>
              <w:rPr>
                <w:sz w:val="24"/>
              </w:rPr>
            </w:pPr>
            <w:r>
              <w:rPr>
                <w:sz w:val="24"/>
              </w:rPr>
              <w:t>根据《中华人民共和国环境保护法》（2014年修订）、《中华人民共和国环境影响评价法》（2018年修订）和《建设项目环境影响评价分类管理名录》（20</w:t>
            </w:r>
            <w:r>
              <w:rPr>
                <w:rFonts w:hint="eastAsia"/>
                <w:sz w:val="24"/>
              </w:rPr>
              <w:t>21</w:t>
            </w:r>
            <w:r>
              <w:rPr>
                <w:sz w:val="24"/>
              </w:rPr>
              <w:t>年）的有关规定，本项目应进行环境影响评价。根据《建设项目环境影响评价分类管理名录》（</w:t>
            </w:r>
            <w:r>
              <w:rPr>
                <w:rFonts w:hint="eastAsia"/>
                <w:sz w:val="24"/>
              </w:rPr>
              <w:t>2021年</w:t>
            </w:r>
            <w:r>
              <w:rPr>
                <w:sz w:val="24"/>
              </w:rPr>
              <w:t>）相关规定，本项目</w:t>
            </w:r>
            <w:r>
              <w:rPr>
                <w:rFonts w:hint="eastAsia"/>
                <w:sz w:val="24"/>
              </w:rPr>
              <w:t>归于“三十一、通用设备制造业”大类中的“69 通用零部件制造348”中的“其他（仅分割、焊接、组装的除外；年用非溶剂型低VOCs含量涂料10吨以下的除外）”类别，</w:t>
            </w:r>
            <w:r>
              <w:rPr>
                <w:sz w:val="24"/>
              </w:rPr>
              <w:t>应编制环境影响评价报告表。为此，</w:t>
            </w:r>
            <w:r>
              <w:rPr>
                <w:rFonts w:hint="eastAsia"/>
                <w:sz w:val="24"/>
              </w:rPr>
              <w:t>常州市润伦机械有限公司</w:t>
            </w:r>
            <w:r>
              <w:rPr>
                <w:sz w:val="24"/>
              </w:rPr>
              <w:t>委托</w:t>
            </w:r>
            <w:r>
              <w:rPr>
                <w:rFonts w:hint="eastAsia"/>
                <w:sz w:val="24"/>
              </w:rPr>
              <w:t>江苏晶昱宝环境科技</w:t>
            </w:r>
            <w:r>
              <w:rPr>
                <w:sz w:val="24"/>
              </w:rPr>
              <w:t>有限公司承担该项目环境影响评价</w:t>
            </w:r>
            <w:r>
              <w:rPr>
                <w:rFonts w:hint="eastAsia"/>
                <w:sz w:val="24"/>
              </w:rPr>
              <w:t>报告表的编制</w:t>
            </w:r>
            <w:r>
              <w:rPr>
                <w:sz w:val="24"/>
              </w:rPr>
              <w:t>工作，作为环保审批部门的审批依据。</w:t>
            </w:r>
          </w:p>
          <w:p>
            <w:pPr>
              <w:adjustRightInd w:val="0"/>
              <w:snapToGrid w:val="0"/>
              <w:spacing w:line="360" w:lineRule="auto"/>
              <w:rPr>
                <w:b/>
                <w:sz w:val="24"/>
              </w:rPr>
            </w:pPr>
            <w:r>
              <w:rPr>
                <w:rFonts w:hint="eastAsia"/>
                <w:b/>
                <w:sz w:val="24"/>
              </w:rPr>
              <w:t>2</w:t>
            </w:r>
            <w:r>
              <w:rPr>
                <w:b/>
                <w:sz w:val="24"/>
              </w:rPr>
              <w:t>、</w:t>
            </w:r>
            <w:r>
              <w:rPr>
                <w:rFonts w:hint="eastAsia"/>
                <w:b/>
                <w:sz w:val="24"/>
              </w:rPr>
              <w:t>主体工程</w:t>
            </w:r>
          </w:p>
          <w:p>
            <w:pPr>
              <w:jc w:val="center"/>
              <w:rPr>
                <w:b/>
                <w:bCs/>
                <w:sz w:val="24"/>
              </w:rPr>
            </w:pPr>
            <w:r>
              <w:rPr>
                <w:rFonts w:hint="eastAsia"/>
                <w:b/>
                <w:bCs/>
                <w:sz w:val="24"/>
              </w:rPr>
              <w:t>表2-1  主体工程一览表</w:t>
            </w:r>
          </w:p>
          <w:tbl>
            <w:tblPr>
              <w:tblStyle w:val="22"/>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0" w:type="dxa"/>
                <w:bottom w:w="0" w:type="dxa"/>
                <w:right w:w="0" w:type="dxa"/>
              </w:tblCellMar>
            </w:tblPr>
            <w:tblGrid>
              <w:gridCol w:w="1258"/>
              <w:gridCol w:w="1658"/>
              <w:gridCol w:w="1816"/>
              <w:gridCol w:w="788"/>
              <w:gridCol w:w="2903"/>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47" w:type="pct"/>
                  <w:tcBorders>
                    <w:top w:val="single" w:color="000000" w:sz="12" w:space="0"/>
                  </w:tcBorders>
                  <w:vAlign w:val="center"/>
                </w:tcPr>
                <w:p>
                  <w:pPr>
                    <w:widowControl/>
                    <w:jc w:val="center"/>
                    <w:textAlignment w:val="center"/>
                    <w:rPr>
                      <w:b/>
                      <w:bCs/>
                      <w:szCs w:val="21"/>
                    </w:rPr>
                  </w:pPr>
                  <w:r>
                    <w:rPr>
                      <w:b/>
                      <w:kern w:val="0"/>
                      <w:szCs w:val="21"/>
                    </w:rPr>
                    <w:t>名称</w:t>
                  </w:r>
                </w:p>
              </w:tc>
              <w:tc>
                <w:tcPr>
                  <w:tcW w:w="984" w:type="pct"/>
                  <w:tcBorders>
                    <w:top w:val="single" w:color="000000" w:sz="12" w:space="0"/>
                  </w:tcBorders>
                  <w:vAlign w:val="center"/>
                </w:tcPr>
                <w:p>
                  <w:pPr>
                    <w:widowControl/>
                    <w:jc w:val="center"/>
                    <w:textAlignment w:val="center"/>
                    <w:rPr>
                      <w:b/>
                      <w:bCs/>
                      <w:szCs w:val="21"/>
                    </w:rPr>
                  </w:pPr>
                  <w:r>
                    <w:rPr>
                      <w:b/>
                      <w:kern w:val="0"/>
                      <w:szCs w:val="21"/>
                    </w:rPr>
                    <w:t>基底面积</w:t>
                  </w:r>
                  <w:r>
                    <w:rPr>
                      <w:rFonts w:hint="eastAsia"/>
                      <w:b/>
                      <w:kern w:val="0"/>
                      <w:szCs w:val="21"/>
                    </w:rPr>
                    <w:t>/m</w:t>
                  </w:r>
                  <w:r>
                    <w:rPr>
                      <w:b/>
                      <w:kern w:val="0"/>
                      <w:szCs w:val="21"/>
                      <w:vertAlign w:val="superscript"/>
                    </w:rPr>
                    <w:t>2</w:t>
                  </w:r>
                </w:p>
              </w:tc>
              <w:tc>
                <w:tcPr>
                  <w:tcW w:w="1078" w:type="pct"/>
                  <w:tcBorders>
                    <w:top w:val="single" w:color="000000" w:sz="12" w:space="0"/>
                  </w:tcBorders>
                  <w:vAlign w:val="center"/>
                </w:tcPr>
                <w:p>
                  <w:pPr>
                    <w:widowControl/>
                    <w:jc w:val="center"/>
                    <w:textAlignment w:val="center"/>
                    <w:rPr>
                      <w:b/>
                      <w:bCs/>
                      <w:szCs w:val="21"/>
                    </w:rPr>
                  </w:pPr>
                  <w:r>
                    <w:rPr>
                      <w:b/>
                      <w:kern w:val="0"/>
                      <w:szCs w:val="21"/>
                    </w:rPr>
                    <w:t>建筑面积</w:t>
                  </w:r>
                  <w:r>
                    <w:rPr>
                      <w:rFonts w:hint="eastAsia"/>
                      <w:b/>
                      <w:kern w:val="0"/>
                      <w:szCs w:val="21"/>
                    </w:rPr>
                    <w:t>/m</w:t>
                  </w:r>
                  <w:r>
                    <w:rPr>
                      <w:b/>
                      <w:kern w:val="0"/>
                      <w:szCs w:val="21"/>
                      <w:vertAlign w:val="superscript"/>
                    </w:rPr>
                    <w:t>2</w:t>
                  </w:r>
                </w:p>
              </w:tc>
              <w:tc>
                <w:tcPr>
                  <w:tcW w:w="468" w:type="pct"/>
                  <w:tcBorders>
                    <w:top w:val="single" w:color="000000" w:sz="12" w:space="0"/>
                  </w:tcBorders>
                  <w:vAlign w:val="center"/>
                </w:tcPr>
                <w:p>
                  <w:pPr>
                    <w:widowControl/>
                    <w:jc w:val="center"/>
                    <w:textAlignment w:val="center"/>
                    <w:rPr>
                      <w:b/>
                      <w:kern w:val="0"/>
                      <w:szCs w:val="21"/>
                    </w:rPr>
                  </w:pPr>
                  <w:r>
                    <w:rPr>
                      <w:rFonts w:hint="eastAsia"/>
                      <w:b/>
                      <w:kern w:val="0"/>
                      <w:szCs w:val="21"/>
                    </w:rPr>
                    <w:t>层数</w:t>
                  </w:r>
                </w:p>
              </w:tc>
              <w:tc>
                <w:tcPr>
                  <w:tcW w:w="1723" w:type="pct"/>
                  <w:tcBorders>
                    <w:top w:val="single" w:color="000000" w:sz="12" w:space="0"/>
                  </w:tcBorders>
                  <w:vAlign w:val="center"/>
                </w:tcPr>
                <w:p>
                  <w:pPr>
                    <w:widowControl/>
                    <w:jc w:val="center"/>
                    <w:textAlignment w:val="center"/>
                    <w:rPr>
                      <w:rFonts w:ascii="宋体" w:hAnsi="宋体" w:cs="宋体"/>
                      <w:sz w:val="22"/>
                      <w:szCs w:val="22"/>
                    </w:rPr>
                  </w:pPr>
                  <w:r>
                    <w:rPr>
                      <w:rFonts w:hint="eastAsia"/>
                      <w:b/>
                      <w:kern w:val="0"/>
                      <w:szCs w:val="21"/>
                    </w:rPr>
                    <w:t>备注</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747" w:type="pct"/>
                  <w:tcBorders>
                    <w:bottom w:val="single" w:color="auto" w:sz="12" w:space="0"/>
                  </w:tcBorders>
                  <w:vAlign w:val="center"/>
                </w:tcPr>
                <w:p>
                  <w:pPr>
                    <w:pStyle w:val="49"/>
                    <w:spacing w:before="8" w:line="255" w:lineRule="exact"/>
                    <w:ind w:left="133" w:right="120"/>
                    <w:jc w:val="center"/>
                    <w:rPr>
                      <w:rFonts w:ascii="Times New Roman" w:hAnsi="Times New Roman"/>
                      <w:sz w:val="21"/>
                      <w:szCs w:val="21"/>
                    </w:rPr>
                  </w:pPr>
                  <w:r>
                    <w:rPr>
                      <w:rFonts w:hint="eastAsia" w:ascii="Times New Roman" w:hAnsi="Times New Roman"/>
                      <w:sz w:val="21"/>
                      <w:szCs w:val="21"/>
                    </w:rPr>
                    <w:t>生产车间</w:t>
                  </w:r>
                </w:p>
              </w:tc>
              <w:tc>
                <w:tcPr>
                  <w:tcW w:w="984" w:type="pct"/>
                  <w:tcBorders>
                    <w:bottom w:val="single" w:color="auto" w:sz="12" w:space="0"/>
                  </w:tcBorders>
                  <w:vAlign w:val="center"/>
                </w:tcPr>
                <w:p>
                  <w:pPr>
                    <w:pStyle w:val="49"/>
                    <w:spacing w:before="15"/>
                    <w:ind w:left="83" w:right="68"/>
                    <w:jc w:val="center"/>
                    <w:rPr>
                      <w:rFonts w:ascii="Times New Roman" w:hAnsi="Times New Roman"/>
                      <w:sz w:val="21"/>
                      <w:szCs w:val="21"/>
                    </w:rPr>
                  </w:pPr>
                  <w:r>
                    <w:rPr>
                      <w:rFonts w:hint="eastAsia" w:ascii="Times New Roman" w:hAnsi="Times New Roman"/>
                      <w:sz w:val="21"/>
                      <w:szCs w:val="21"/>
                    </w:rPr>
                    <w:t>352</w:t>
                  </w:r>
                </w:p>
              </w:tc>
              <w:tc>
                <w:tcPr>
                  <w:tcW w:w="1078" w:type="pct"/>
                  <w:tcBorders>
                    <w:bottom w:val="single" w:color="auto" w:sz="12" w:space="0"/>
                  </w:tcBorders>
                  <w:vAlign w:val="center"/>
                </w:tcPr>
                <w:p>
                  <w:pPr>
                    <w:pStyle w:val="49"/>
                    <w:spacing w:before="15"/>
                    <w:ind w:left="83" w:right="68"/>
                    <w:jc w:val="center"/>
                    <w:rPr>
                      <w:rFonts w:ascii="Times New Roman" w:hAnsi="Times New Roman"/>
                      <w:sz w:val="21"/>
                      <w:szCs w:val="21"/>
                    </w:rPr>
                  </w:pPr>
                  <w:r>
                    <w:rPr>
                      <w:rFonts w:hint="eastAsia" w:ascii="Times New Roman" w:hAnsi="Times New Roman"/>
                      <w:sz w:val="21"/>
                      <w:szCs w:val="21"/>
                    </w:rPr>
                    <w:t>1056</w:t>
                  </w:r>
                </w:p>
              </w:tc>
              <w:tc>
                <w:tcPr>
                  <w:tcW w:w="468" w:type="pct"/>
                  <w:tcBorders>
                    <w:bottom w:val="single" w:color="auto" w:sz="12" w:space="0"/>
                  </w:tcBorders>
                  <w:vAlign w:val="center"/>
                </w:tcPr>
                <w:p>
                  <w:pPr>
                    <w:spacing w:before="8" w:line="255" w:lineRule="exact"/>
                    <w:ind w:left="207" w:right="183"/>
                    <w:jc w:val="center"/>
                    <w:rPr>
                      <w:szCs w:val="21"/>
                    </w:rPr>
                  </w:pPr>
                  <w:r>
                    <w:rPr>
                      <w:rFonts w:hint="eastAsia"/>
                      <w:szCs w:val="21"/>
                    </w:rPr>
                    <w:t>3</w:t>
                  </w:r>
                </w:p>
              </w:tc>
              <w:tc>
                <w:tcPr>
                  <w:tcW w:w="1723" w:type="pct"/>
                  <w:tcBorders>
                    <w:bottom w:val="single" w:color="auto" w:sz="12" w:space="0"/>
                  </w:tcBorders>
                  <w:vAlign w:val="center"/>
                </w:tcPr>
                <w:p>
                  <w:pPr>
                    <w:spacing w:before="8" w:line="255" w:lineRule="exact"/>
                    <w:ind w:left="207" w:right="183"/>
                    <w:jc w:val="center"/>
                    <w:rPr>
                      <w:szCs w:val="21"/>
                    </w:rPr>
                  </w:pPr>
                  <w:r>
                    <w:rPr>
                      <w:rFonts w:hint="eastAsia"/>
                      <w:szCs w:val="21"/>
                    </w:rPr>
                    <w:t>1、2层为生产办公区</w:t>
                  </w:r>
                </w:p>
              </w:tc>
            </w:tr>
          </w:tbl>
          <w:p>
            <w:pPr>
              <w:adjustRightInd w:val="0"/>
              <w:snapToGrid w:val="0"/>
              <w:spacing w:beforeLines="20" w:line="360" w:lineRule="auto"/>
              <w:rPr>
                <w:b/>
                <w:sz w:val="24"/>
              </w:rPr>
            </w:pPr>
            <w:r>
              <w:rPr>
                <w:rFonts w:hint="eastAsia"/>
                <w:b/>
                <w:sz w:val="24"/>
              </w:rPr>
              <w:t>3</w:t>
            </w:r>
            <w:r>
              <w:rPr>
                <w:b/>
                <w:sz w:val="24"/>
              </w:rPr>
              <w:t>、公</w:t>
            </w:r>
            <w:r>
              <w:rPr>
                <w:rFonts w:hint="eastAsia"/>
                <w:b/>
                <w:sz w:val="24"/>
              </w:rPr>
              <w:t>用、辅助、环保、储运及依托工程概况</w:t>
            </w:r>
          </w:p>
          <w:p>
            <w:pPr>
              <w:adjustRightInd w:val="0"/>
              <w:snapToGrid w:val="0"/>
              <w:jc w:val="center"/>
              <w:rPr>
                <w:b/>
                <w:bCs/>
                <w:sz w:val="24"/>
              </w:rPr>
            </w:pPr>
          </w:p>
          <w:p>
            <w:pPr>
              <w:pStyle w:val="2"/>
            </w:pPr>
          </w:p>
          <w:p>
            <w:pPr>
              <w:adjustRightInd w:val="0"/>
              <w:snapToGrid w:val="0"/>
              <w:jc w:val="center"/>
              <w:rPr>
                <w:b/>
                <w:bCs/>
                <w:sz w:val="24"/>
              </w:rPr>
            </w:pPr>
            <w:r>
              <w:rPr>
                <w:b/>
                <w:bCs/>
                <w:sz w:val="24"/>
              </w:rPr>
              <w:t>表</w:t>
            </w:r>
            <w:r>
              <w:rPr>
                <w:rFonts w:hint="eastAsia"/>
                <w:b/>
                <w:bCs/>
                <w:sz w:val="24"/>
              </w:rPr>
              <w:t>2</w:t>
            </w:r>
            <w:r>
              <w:rPr>
                <w:b/>
                <w:bCs/>
                <w:sz w:val="24"/>
              </w:rPr>
              <w:t>-</w:t>
            </w:r>
            <w:r>
              <w:rPr>
                <w:rFonts w:hint="eastAsia"/>
                <w:b/>
                <w:bCs/>
                <w:sz w:val="24"/>
              </w:rPr>
              <w:t>2</w:t>
            </w:r>
            <w:r>
              <w:rPr>
                <w:b/>
                <w:bCs/>
                <w:sz w:val="24"/>
              </w:rPr>
              <w:t xml:space="preserve"> </w:t>
            </w:r>
            <w:r>
              <w:rPr>
                <w:rFonts w:hint="eastAsia"/>
                <w:b/>
                <w:bCs/>
                <w:sz w:val="24"/>
              </w:rPr>
              <w:t xml:space="preserve"> </w:t>
            </w:r>
            <w:r>
              <w:rPr>
                <w:b/>
                <w:sz w:val="24"/>
              </w:rPr>
              <w:t>公</w:t>
            </w:r>
            <w:r>
              <w:rPr>
                <w:rFonts w:hint="eastAsia"/>
                <w:b/>
                <w:sz w:val="24"/>
              </w:rPr>
              <w:t>用、辅助、环保、储运及依托工程概况</w:t>
            </w:r>
          </w:p>
          <w:tbl>
            <w:tblPr>
              <w:tblStyle w:val="2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35"/>
              <w:gridCol w:w="1087"/>
              <w:gridCol w:w="1076"/>
              <w:gridCol w:w="1134"/>
              <w:gridCol w:w="805"/>
              <w:gridCol w:w="2455"/>
              <w:gridCol w:w="13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0" w:type="auto"/>
                  <w:tcBorders>
                    <w:top w:val="single" w:color="auto" w:sz="12" w:space="0"/>
                    <w:left w:val="nil"/>
                    <w:bottom w:val="single" w:color="auto" w:sz="2" w:space="0"/>
                    <w:right w:val="single" w:color="auto" w:sz="4" w:space="0"/>
                  </w:tcBorders>
                  <w:vAlign w:val="center"/>
                </w:tcPr>
                <w:p>
                  <w:pPr>
                    <w:widowControl/>
                    <w:adjustRightInd w:val="0"/>
                    <w:snapToGrid w:val="0"/>
                    <w:jc w:val="center"/>
                    <w:rPr>
                      <w:b/>
                      <w:bCs/>
                      <w:szCs w:val="21"/>
                    </w:rPr>
                  </w:pPr>
                  <w:r>
                    <w:rPr>
                      <w:b/>
                      <w:bCs/>
                    </w:rPr>
                    <w:t>类别</w:t>
                  </w:r>
                </w:p>
              </w:tc>
              <w:tc>
                <w:tcPr>
                  <w:tcW w:w="0" w:type="auto"/>
                  <w:tcBorders>
                    <w:top w:val="single" w:color="auto" w:sz="12" w:space="0"/>
                    <w:left w:val="single" w:color="auto" w:sz="4" w:space="0"/>
                    <w:bottom w:val="single" w:color="auto" w:sz="2" w:space="0"/>
                    <w:right w:val="single" w:color="auto" w:sz="4" w:space="0"/>
                  </w:tcBorders>
                  <w:vAlign w:val="center"/>
                </w:tcPr>
                <w:p>
                  <w:pPr>
                    <w:widowControl/>
                    <w:adjustRightInd w:val="0"/>
                    <w:snapToGrid w:val="0"/>
                    <w:jc w:val="center"/>
                    <w:rPr>
                      <w:b/>
                      <w:bCs/>
                      <w:szCs w:val="21"/>
                    </w:rPr>
                  </w:pPr>
                  <w:r>
                    <w:rPr>
                      <w:b/>
                      <w:bCs/>
                    </w:rPr>
                    <w:t>建设名称</w:t>
                  </w:r>
                </w:p>
              </w:tc>
              <w:tc>
                <w:tcPr>
                  <w:tcW w:w="2210" w:type="dxa"/>
                  <w:gridSpan w:val="2"/>
                  <w:tcBorders>
                    <w:top w:val="single" w:color="auto" w:sz="12" w:space="0"/>
                    <w:left w:val="single" w:color="auto" w:sz="4" w:space="0"/>
                    <w:bottom w:val="single" w:color="auto" w:sz="2" w:space="0"/>
                    <w:right w:val="nil"/>
                  </w:tcBorders>
                  <w:vAlign w:val="center"/>
                </w:tcPr>
                <w:p>
                  <w:pPr>
                    <w:widowControl/>
                    <w:adjustRightInd w:val="0"/>
                    <w:snapToGrid w:val="0"/>
                    <w:jc w:val="center"/>
                    <w:rPr>
                      <w:b/>
                      <w:bCs/>
                      <w:szCs w:val="21"/>
                    </w:rPr>
                  </w:pPr>
                  <w:r>
                    <w:rPr>
                      <w:rFonts w:hint="eastAsia"/>
                      <w:b/>
                      <w:bCs/>
                    </w:rPr>
                    <w:t>设计能力</w:t>
                  </w:r>
                </w:p>
              </w:tc>
              <w:tc>
                <w:tcPr>
                  <w:tcW w:w="3260" w:type="dxa"/>
                  <w:gridSpan w:val="2"/>
                  <w:tcBorders>
                    <w:top w:val="single" w:color="auto" w:sz="12" w:space="0"/>
                    <w:left w:val="single" w:color="auto" w:sz="4" w:space="0"/>
                    <w:bottom w:val="single" w:color="auto" w:sz="2" w:space="0"/>
                    <w:right w:val="nil"/>
                  </w:tcBorders>
                  <w:vAlign w:val="center"/>
                </w:tcPr>
                <w:p>
                  <w:pPr>
                    <w:widowControl/>
                    <w:adjustRightInd w:val="0"/>
                    <w:snapToGrid w:val="0"/>
                    <w:jc w:val="center"/>
                    <w:rPr>
                      <w:b/>
                      <w:bCs/>
                    </w:rPr>
                  </w:pPr>
                  <w:r>
                    <w:rPr>
                      <w:rFonts w:hint="eastAsia"/>
                      <w:b/>
                      <w:bCs/>
                    </w:rPr>
                    <w:t>备注</w:t>
                  </w:r>
                </w:p>
              </w:tc>
              <w:tc>
                <w:tcPr>
                  <w:tcW w:w="1331" w:type="dxa"/>
                  <w:tcBorders>
                    <w:top w:val="single" w:color="auto" w:sz="12" w:space="0"/>
                    <w:left w:val="single" w:color="auto" w:sz="4" w:space="0"/>
                    <w:bottom w:val="single" w:color="auto" w:sz="2" w:space="0"/>
                    <w:right w:val="nil"/>
                  </w:tcBorders>
                  <w:vAlign w:val="center"/>
                </w:tcPr>
                <w:p>
                  <w:pPr>
                    <w:widowControl/>
                    <w:adjustRightInd w:val="0"/>
                    <w:snapToGrid w:val="0"/>
                    <w:jc w:val="center"/>
                    <w:rPr>
                      <w:b/>
                      <w:bCs/>
                    </w:rPr>
                  </w:pPr>
                  <w:r>
                    <w:rPr>
                      <w:rFonts w:hint="eastAsia"/>
                      <w:b/>
                      <w:bCs/>
                    </w:rPr>
                    <w:t>依托可行性</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restart"/>
                  <w:tcBorders>
                    <w:top w:val="single" w:color="auto" w:sz="2" w:space="0"/>
                    <w:left w:val="nil"/>
                    <w:right w:val="single" w:color="auto" w:sz="4" w:space="0"/>
                  </w:tcBorders>
                  <w:vAlign w:val="center"/>
                </w:tcPr>
                <w:p>
                  <w:pPr>
                    <w:widowControl/>
                    <w:adjustRightInd w:val="0"/>
                    <w:snapToGrid w:val="0"/>
                    <w:jc w:val="center"/>
                  </w:pPr>
                  <w:r>
                    <w:rPr>
                      <w:rFonts w:hint="eastAsia"/>
                    </w:rPr>
                    <w:t>公辅</w:t>
                  </w:r>
                </w:p>
                <w:p>
                  <w:pPr>
                    <w:widowControl/>
                    <w:adjustRightInd w:val="0"/>
                    <w:snapToGrid w:val="0"/>
                    <w:jc w:val="center"/>
                    <w:rPr>
                      <w:b/>
                      <w:bCs/>
                    </w:rPr>
                  </w:pPr>
                  <w:r>
                    <w:rPr>
                      <w:rFonts w:hint="eastAsia"/>
                    </w:rPr>
                    <w:t>工程</w:t>
                  </w:r>
                </w:p>
              </w:tc>
              <w:tc>
                <w:tcPr>
                  <w:tcW w:w="0" w:type="auto"/>
                  <w:vMerge w:val="restart"/>
                  <w:tcBorders>
                    <w:top w:val="single" w:color="auto" w:sz="2" w:space="0"/>
                    <w:left w:val="single" w:color="auto" w:sz="4" w:space="0"/>
                    <w:right w:val="single" w:color="auto" w:sz="4" w:space="0"/>
                  </w:tcBorders>
                  <w:vAlign w:val="center"/>
                </w:tcPr>
                <w:p>
                  <w:pPr>
                    <w:adjustRightInd w:val="0"/>
                    <w:snapToGrid w:val="0"/>
                    <w:jc w:val="center"/>
                  </w:pPr>
                  <w:r>
                    <w:t>供水</w:t>
                  </w:r>
                </w:p>
              </w:tc>
              <w:tc>
                <w:tcPr>
                  <w:tcW w:w="1076" w:type="dxa"/>
                  <w:tcBorders>
                    <w:top w:val="single" w:color="auto" w:sz="2" w:space="0"/>
                    <w:left w:val="single" w:color="auto" w:sz="4" w:space="0"/>
                    <w:bottom w:val="single" w:color="auto" w:sz="2" w:space="0"/>
                    <w:right w:val="single" w:color="auto" w:sz="2" w:space="0"/>
                  </w:tcBorders>
                  <w:vAlign w:val="center"/>
                </w:tcPr>
                <w:p>
                  <w:pPr>
                    <w:adjustRightInd w:val="0"/>
                    <w:snapToGrid w:val="0"/>
                    <w:jc w:val="center"/>
                  </w:pPr>
                  <w:r>
                    <w:rPr>
                      <w:rFonts w:hint="eastAsia"/>
                    </w:rPr>
                    <w:t>生活用水</w:t>
                  </w:r>
                </w:p>
              </w:tc>
              <w:tc>
                <w:tcPr>
                  <w:tcW w:w="1134" w:type="dxa"/>
                  <w:tcBorders>
                    <w:top w:val="single" w:color="auto" w:sz="2" w:space="0"/>
                    <w:left w:val="single" w:color="auto" w:sz="2" w:space="0"/>
                    <w:bottom w:val="single" w:color="auto" w:sz="2" w:space="0"/>
                    <w:right w:val="nil"/>
                  </w:tcBorders>
                  <w:vAlign w:val="center"/>
                </w:tcPr>
                <w:p>
                  <w:pPr>
                    <w:adjustRightInd w:val="0"/>
                    <w:snapToGrid w:val="0"/>
                    <w:jc w:val="center"/>
                    <w:rPr>
                      <w:szCs w:val="21"/>
                      <w:highlight w:val="yellow"/>
                    </w:rPr>
                  </w:pPr>
                  <w:r>
                    <w:rPr>
                      <w:rFonts w:hint="eastAsia"/>
                      <w:szCs w:val="21"/>
                    </w:rPr>
                    <w:t>600</w:t>
                  </w:r>
                  <w:r>
                    <w:rPr>
                      <w:szCs w:val="21"/>
                    </w:rPr>
                    <w:t>t/a</w:t>
                  </w:r>
                </w:p>
              </w:tc>
              <w:tc>
                <w:tcPr>
                  <w:tcW w:w="3260" w:type="dxa"/>
                  <w:gridSpan w:val="2"/>
                  <w:vMerge w:val="restart"/>
                  <w:tcBorders>
                    <w:top w:val="single" w:color="auto" w:sz="2" w:space="0"/>
                    <w:left w:val="single" w:color="auto" w:sz="4" w:space="0"/>
                    <w:right w:val="nil"/>
                  </w:tcBorders>
                  <w:vAlign w:val="center"/>
                </w:tcPr>
                <w:p>
                  <w:pPr>
                    <w:adjustRightInd w:val="0"/>
                    <w:snapToGrid w:val="0"/>
                    <w:jc w:val="center"/>
                  </w:pPr>
                  <w:r>
                    <w:rPr>
                      <w:rFonts w:hint="eastAsia"/>
                    </w:rPr>
                    <w:t>依托出租方现有的给水系统</w:t>
                  </w:r>
                </w:p>
              </w:tc>
              <w:tc>
                <w:tcPr>
                  <w:tcW w:w="1331" w:type="dxa"/>
                  <w:vMerge w:val="restart"/>
                  <w:tcBorders>
                    <w:top w:val="single" w:color="auto" w:sz="2" w:space="0"/>
                    <w:left w:val="single" w:color="auto" w:sz="4" w:space="0"/>
                    <w:right w:val="nil"/>
                  </w:tcBorders>
                  <w:vAlign w:val="center"/>
                </w:tcPr>
                <w:p>
                  <w:pPr>
                    <w:adjustRightInd w:val="0"/>
                    <w:snapToGrid w:val="0"/>
                    <w:jc w:val="center"/>
                  </w:pPr>
                  <w:r>
                    <w:rPr>
                      <w:rFonts w:hint="eastAsia"/>
                      <w:szCs w:val="21"/>
                    </w:rPr>
                    <w:t>依托可行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top w:val="single" w:color="auto" w:sz="2" w:space="0"/>
                    <w:left w:val="nil"/>
                    <w:right w:val="single" w:color="auto" w:sz="4" w:space="0"/>
                  </w:tcBorders>
                  <w:vAlign w:val="center"/>
                </w:tcPr>
                <w:p>
                  <w:pPr>
                    <w:widowControl/>
                    <w:adjustRightInd w:val="0"/>
                    <w:snapToGrid w:val="0"/>
                    <w:jc w:val="center"/>
                  </w:pPr>
                </w:p>
              </w:tc>
              <w:tc>
                <w:tcPr>
                  <w:tcW w:w="0" w:type="auto"/>
                  <w:vMerge w:val="continue"/>
                  <w:tcBorders>
                    <w:left w:val="single" w:color="auto" w:sz="4" w:space="0"/>
                    <w:right w:val="single" w:color="auto" w:sz="4" w:space="0"/>
                  </w:tcBorders>
                  <w:vAlign w:val="center"/>
                </w:tcPr>
                <w:p>
                  <w:pPr>
                    <w:adjustRightInd w:val="0"/>
                    <w:snapToGrid w:val="0"/>
                    <w:jc w:val="center"/>
                  </w:pPr>
                </w:p>
              </w:tc>
              <w:tc>
                <w:tcPr>
                  <w:tcW w:w="1076" w:type="dxa"/>
                  <w:tcBorders>
                    <w:top w:val="single" w:color="auto" w:sz="2" w:space="0"/>
                    <w:left w:val="single" w:color="auto" w:sz="4" w:space="0"/>
                    <w:bottom w:val="single" w:color="auto" w:sz="2" w:space="0"/>
                    <w:right w:val="single" w:color="auto" w:sz="2" w:space="0"/>
                  </w:tcBorders>
                  <w:vAlign w:val="center"/>
                </w:tcPr>
                <w:p>
                  <w:pPr>
                    <w:adjustRightInd w:val="0"/>
                    <w:snapToGrid w:val="0"/>
                    <w:jc w:val="center"/>
                  </w:pPr>
                  <w:r>
                    <w:rPr>
                      <w:rFonts w:hint="eastAsia"/>
                    </w:rPr>
                    <w:t>食堂用水</w:t>
                  </w:r>
                </w:p>
              </w:tc>
              <w:tc>
                <w:tcPr>
                  <w:tcW w:w="1134" w:type="dxa"/>
                  <w:tcBorders>
                    <w:top w:val="single" w:color="auto" w:sz="2" w:space="0"/>
                    <w:left w:val="single" w:color="auto" w:sz="2" w:space="0"/>
                    <w:bottom w:val="single" w:color="auto" w:sz="2" w:space="0"/>
                    <w:right w:val="nil"/>
                  </w:tcBorders>
                  <w:vAlign w:val="center"/>
                </w:tcPr>
                <w:p>
                  <w:pPr>
                    <w:adjustRightInd w:val="0"/>
                    <w:snapToGrid w:val="0"/>
                    <w:jc w:val="center"/>
                    <w:rPr>
                      <w:rFonts w:eastAsiaTheme="minorEastAsia"/>
                    </w:rPr>
                  </w:pPr>
                  <w:r>
                    <w:rPr>
                      <w:rFonts w:hint="eastAsia"/>
                      <w:szCs w:val="21"/>
                    </w:rPr>
                    <w:t>60t/a</w:t>
                  </w:r>
                </w:p>
              </w:tc>
              <w:tc>
                <w:tcPr>
                  <w:tcW w:w="3260" w:type="dxa"/>
                  <w:gridSpan w:val="2"/>
                  <w:vMerge w:val="continue"/>
                  <w:tcBorders>
                    <w:left w:val="single" w:color="auto" w:sz="4" w:space="0"/>
                    <w:right w:val="nil"/>
                  </w:tcBorders>
                  <w:vAlign w:val="center"/>
                </w:tcPr>
                <w:p>
                  <w:pPr>
                    <w:adjustRightInd w:val="0"/>
                    <w:snapToGrid w:val="0"/>
                    <w:jc w:val="center"/>
                  </w:pPr>
                </w:p>
              </w:tc>
              <w:tc>
                <w:tcPr>
                  <w:tcW w:w="1331" w:type="dxa"/>
                  <w:vMerge w:val="continue"/>
                  <w:tcBorders>
                    <w:left w:val="single" w:color="auto" w:sz="4" w:space="0"/>
                    <w:right w:val="nil"/>
                  </w:tcBorders>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top w:val="single" w:color="auto" w:sz="2" w:space="0"/>
                    <w:left w:val="nil"/>
                    <w:right w:val="single" w:color="auto" w:sz="4" w:space="0"/>
                  </w:tcBorders>
                  <w:vAlign w:val="center"/>
                </w:tcPr>
                <w:p>
                  <w:pPr>
                    <w:widowControl/>
                    <w:adjustRightInd w:val="0"/>
                    <w:snapToGrid w:val="0"/>
                    <w:jc w:val="center"/>
                  </w:pPr>
                </w:p>
              </w:tc>
              <w:tc>
                <w:tcPr>
                  <w:tcW w:w="0" w:type="auto"/>
                  <w:vMerge w:val="continue"/>
                  <w:tcBorders>
                    <w:left w:val="single" w:color="auto" w:sz="4" w:space="0"/>
                    <w:right w:val="single" w:color="auto" w:sz="4" w:space="0"/>
                  </w:tcBorders>
                  <w:vAlign w:val="center"/>
                </w:tcPr>
                <w:p>
                  <w:pPr>
                    <w:adjustRightInd w:val="0"/>
                    <w:snapToGrid w:val="0"/>
                    <w:jc w:val="center"/>
                  </w:pPr>
                </w:p>
              </w:tc>
              <w:tc>
                <w:tcPr>
                  <w:tcW w:w="1076" w:type="dxa"/>
                  <w:tcBorders>
                    <w:top w:val="single" w:color="auto" w:sz="2" w:space="0"/>
                    <w:left w:val="single" w:color="auto" w:sz="4" w:space="0"/>
                    <w:bottom w:val="single" w:color="auto" w:sz="2" w:space="0"/>
                    <w:right w:val="single" w:color="auto" w:sz="2" w:space="0"/>
                  </w:tcBorders>
                  <w:vAlign w:val="center"/>
                </w:tcPr>
                <w:p>
                  <w:pPr>
                    <w:adjustRightInd w:val="0"/>
                    <w:snapToGrid w:val="0"/>
                    <w:jc w:val="center"/>
                  </w:pPr>
                  <w:r>
                    <w:rPr>
                      <w:rFonts w:hint="eastAsia"/>
                    </w:rPr>
                    <w:t>生产用水</w:t>
                  </w:r>
                </w:p>
              </w:tc>
              <w:tc>
                <w:tcPr>
                  <w:tcW w:w="1134" w:type="dxa"/>
                  <w:tcBorders>
                    <w:top w:val="single" w:color="auto" w:sz="2" w:space="0"/>
                    <w:left w:val="single" w:color="auto" w:sz="2" w:space="0"/>
                    <w:bottom w:val="single" w:color="auto" w:sz="2" w:space="0"/>
                    <w:right w:val="nil"/>
                  </w:tcBorders>
                  <w:vAlign w:val="center"/>
                </w:tcPr>
                <w:p>
                  <w:pPr>
                    <w:adjustRightInd w:val="0"/>
                    <w:snapToGrid w:val="0"/>
                    <w:jc w:val="center"/>
                    <w:rPr>
                      <w:szCs w:val="21"/>
                    </w:rPr>
                  </w:pPr>
                  <w:r>
                    <w:rPr>
                      <w:rFonts w:hint="eastAsia"/>
                      <w:szCs w:val="21"/>
                      <w:lang w:val="en-US" w:eastAsia="zh-CN"/>
                    </w:rPr>
                    <w:t>6.678</w:t>
                  </w:r>
                  <w:r>
                    <w:rPr>
                      <w:rFonts w:hint="eastAsia"/>
                      <w:szCs w:val="21"/>
                    </w:rPr>
                    <w:t>t/a</w:t>
                  </w:r>
                </w:p>
              </w:tc>
              <w:tc>
                <w:tcPr>
                  <w:tcW w:w="3260" w:type="dxa"/>
                  <w:gridSpan w:val="2"/>
                  <w:vMerge w:val="continue"/>
                  <w:tcBorders>
                    <w:left w:val="single" w:color="auto" w:sz="4" w:space="0"/>
                    <w:right w:val="nil"/>
                  </w:tcBorders>
                  <w:vAlign w:val="center"/>
                </w:tcPr>
                <w:p>
                  <w:pPr>
                    <w:adjustRightInd w:val="0"/>
                    <w:snapToGrid w:val="0"/>
                    <w:jc w:val="center"/>
                  </w:pPr>
                </w:p>
              </w:tc>
              <w:tc>
                <w:tcPr>
                  <w:tcW w:w="1331" w:type="dxa"/>
                  <w:vMerge w:val="continue"/>
                  <w:tcBorders>
                    <w:left w:val="single" w:color="auto" w:sz="4" w:space="0"/>
                    <w:right w:val="nil"/>
                  </w:tcBorders>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0" w:type="auto"/>
                  <w:vMerge w:val="continue"/>
                  <w:tcBorders>
                    <w:left w:val="nil"/>
                    <w:right w:val="single" w:color="auto" w:sz="4" w:space="0"/>
                  </w:tcBorders>
                  <w:vAlign w:val="center"/>
                </w:tcPr>
                <w:p>
                  <w:pPr>
                    <w:widowControl/>
                    <w:adjustRightInd w:val="0"/>
                    <w:snapToGrid w:val="0"/>
                    <w:jc w:val="center"/>
                    <w:rPr>
                      <w:b/>
                      <w:bCs/>
                    </w:rPr>
                  </w:pPr>
                </w:p>
              </w:tc>
              <w:tc>
                <w:tcPr>
                  <w:tcW w:w="0" w:type="auto"/>
                  <w:vMerge w:val="restart"/>
                  <w:tcBorders>
                    <w:top w:val="single" w:color="auto" w:sz="2" w:space="0"/>
                    <w:left w:val="single" w:color="auto" w:sz="4" w:space="0"/>
                    <w:right w:val="single" w:color="auto" w:sz="4" w:space="0"/>
                  </w:tcBorders>
                  <w:vAlign w:val="center"/>
                </w:tcPr>
                <w:p>
                  <w:pPr>
                    <w:adjustRightInd w:val="0"/>
                    <w:snapToGrid w:val="0"/>
                    <w:jc w:val="center"/>
                  </w:pPr>
                  <w:r>
                    <w:t>排水</w:t>
                  </w:r>
                </w:p>
              </w:tc>
              <w:tc>
                <w:tcPr>
                  <w:tcW w:w="1076" w:type="dxa"/>
                  <w:tcBorders>
                    <w:top w:val="single" w:color="auto" w:sz="2" w:space="0"/>
                    <w:left w:val="single" w:color="auto" w:sz="4" w:space="0"/>
                    <w:right w:val="single" w:color="auto" w:sz="2" w:space="0"/>
                  </w:tcBorders>
                  <w:vAlign w:val="center"/>
                </w:tcPr>
                <w:p>
                  <w:pPr>
                    <w:adjustRightInd w:val="0"/>
                    <w:snapToGrid w:val="0"/>
                    <w:jc w:val="center"/>
                    <w:rPr>
                      <w:szCs w:val="21"/>
                    </w:rPr>
                  </w:pPr>
                  <w:r>
                    <w:rPr>
                      <w:rFonts w:hint="eastAsia"/>
                      <w:szCs w:val="21"/>
                    </w:rPr>
                    <w:t>生活污水</w:t>
                  </w:r>
                </w:p>
              </w:tc>
              <w:tc>
                <w:tcPr>
                  <w:tcW w:w="1134" w:type="dxa"/>
                  <w:tcBorders>
                    <w:top w:val="single" w:color="auto" w:sz="2" w:space="0"/>
                    <w:left w:val="single" w:color="auto" w:sz="2" w:space="0"/>
                    <w:right w:val="nil"/>
                  </w:tcBorders>
                  <w:vAlign w:val="center"/>
                </w:tcPr>
                <w:p>
                  <w:pPr>
                    <w:adjustRightInd w:val="0"/>
                    <w:snapToGrid w:val="0"/>
                    <w:jc w:val="center"/>
                  </w:pPr>
                  <w:r>
                    <w:rPr>
                      <w:rFonts w:hint="eastAsia"/>
                      <w:szCs w:val="21"/>
                    </w:rPr>
                    <w:t>480</w:t>
                  </w:r>
                  <w:r>
                    <w:rPr>
                      <w:szCs w:val="21"/>
                    </w:rPr>
                    <w:t>t/a</w:t>
                  </w:r>
                </w:p>
              </w:tc>
              <w:tc>
                <w:tcPr>
                  <w:tcW w:w="3260" w:type="dxa"/>
                  <w:gridSpan w:val="2"/>
                  <w:vMerge w:val="restart"/>
                  <w:tcBorders>
                    <w:top w:val="single" w:color="auto" w:sz="2" w:space="0"/>
                    <w:left w:val="single" w:color="auto" w:sz="4" w:space="0"/>
                    <w:right w:val="nil"/>
                  </w:tcBorders>
                  <w:vAlign w:val="center"/>
                </w:tcPr>
                <w:p>
                  <w:pPr>
                    <w:jc w:val="center"/>
                  </w:pPr>
                  <w:r>
                    <w:t>厂区实</w:t>
                  </w:r>
                  <w:r>
                    <w:rPr>
                      <w:rFonts w:ascii="宋体" w:hAnsi="宋体"/>
                    </w:rPr>
                    <w:t>行“雨污分流”</w:t>
                  </w:r>
                  <w:r>
                    <w:t>，</w:t>
                  </w:r>
                  <w:r>
                    <w:rPr>
                      <w:szCs w:val="21"/>
                    </w:rPr>
                    <w:t>食堂废水经隔油池处理后与生活污水接入武南污水处理厂，处理达标后排放</w:t>
                  </w:r>
                  <w:r>
                    <w:rPr>
                      <w:rFonts w:hint="eastAsia"/>
                    </w:rPr>
                    <w:t>，尾水排入武南河</w:t>
                  </w:r>
                </w:p>
              </w:tc>
              <w:tc>
                <w:tcPr>
                  <w:tcW w:w="1331" w:type="dxa"/>
                  <w:vMerge w:val="restart"/>
                  <w:tcBorders>
                    <w:top w:val="single" w:color="auto" w:sz="2" w:space="0"/>
                    <w:left w:val="single" w:color="auto" w:sz="4" w:space="0"/>
                    <w:right w:val="nil"/>
                  </w:tcBorders>
                  <w:vAlign w:val="center"/>
                </w:tcPr>
                <w:p>
                  <w:pPr>
                    <w:jc w:val="center"/>
                  </w:pPr>
                  <w:r>
                    <w:rPr>
                      <w:rFonts w:hint="eastAsia"/>
                      <w:szCs w:val="21"/>
                    </w:rPr>
                    <w:t>依托可行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left w:val="nil"/>
                    <w:right w:val="single" w:color="auto" w:sz="4" w:space="0"/>
                  </w:tcBorders>
                  <w:vAlign w:val="center"/>
                </w:tcPr>
                <w:p>
                  <w:pPr>
                    <w:widowControl/>
                    <w:adjustRightInd w:val="0"/>
                    <w:snapToGrid w:val="0"/>
                    <w:jc w:val="center"/>
                    <w:rPr>
                      <w:b/>
                      <w:bCs/>
                    </w:rPr>
                  </w:pPr>
                </w:p>
              </w:tc>
              <w:tc>
                <w:tcPr>
                  <w:tcW w:w="0" w:type="auto"/>
                  <w:vMerge w:val="continue"/>
                  <w:tcBorders>
                    <w:left w:val="single" w:color="auto" w:sz="4" w:space="0"/>
                    <w:right w:val="single" w:color="auto" w:sz="4" w:space="0"/>
                  </w:tcBorders>
                  <w:vAlign w:val="center"/>
                </w:tcPr>
                <w:p>
                  <w:pPr>
                    <w:adjustRightInd w:val="0"/>
                    <w:snapToGrid w:val="0"/>
                    <w:jc w:val="center"/>
                  </w:pPr>
                </w:p>
              </w:tc>
              <w:tc>
                <w:tcPr>
                  <w:tcW w:w="1076" w:type="dxa"/>
                  <w:tcBorders>
                    <w:top w:val="single" w:color="auto" w:sz="2" w:space="0"/>
                    <w:left w:val="single" w:color="auto" w:sz="4" w:space="0"/>
                    <w:right w:val="single" w:color="auto" w:sz="2" w:space="0"/>
                  </w:tcBorders>
                  <w:vAlign w:val="center"/>
                </w:tcPr>
                <w:p>
                  <w:pPr>
                    <w:adjustRightInd w:val="0"/>
                    <w:snapToGrid w:val="0"/>
                    <w:jc w:val="center"/>
                    <w:rPr>
                      <w:szCs w:val="21"/>
                    </w:rPr>
                  </w:pPr>
                  <w:r>
                    <w:rPr>
                      <w:rFonts w:hint="eastAsia"/>
                      <w:szCs w:val="21"/>
                    </w:rPr>
                    <w:t>食堂废水</w:t>
                  </w:r>
                </w:p>
              </w:tc>
              <w:tc>
                <w:tcPr>
                  <w:tcW w:w="1134" w:type="dxa"/>
                  <w:tcBorders>
                    <w:top w:val="single" w:color="auto" w:sz="2" w:space="0"/>
                    <w:left w:val="single" w:color="auto" w:sz="2" w:space="0"/>
                    <w:right w:val="nil"/>
                  </w:tcBorders>
                  <w:vAlign w:val="center"/>
                </w:tcPr>
                <w:p>
                  <w:pPr>
                    <w:adjustRightInd w:val="0"/>
                    <w:snapToGrid w:val="0"/>
                    <w:jc w:val="center"/>
                    <w:rPr>
                      <w:szCs w:val="21"/>
                    </w:rPr>
                  </w:pPr>
                  <w:r>
                    <w:rPr>
                      <w:rFonts w:hint="eastAsia"/>
                      <w:szCs w:val="21"/>
                    </w:rPr>
                    <w:t>48t/a</w:t>
                  </w:r>
                </w:p>
              </w:tc>
              <w:tc>
                <w:tcPr>
                  <w:tcW w:w="3260" w:type="dxa"/>
                  <w:gridSpan w:val="2"/>
                  <w:vMerge w:val="continue"/>
                  <w:tcBorders>
                    <w:left w:val="single" w:color="auto" w:sz="4" w:space="0"/>
                    <w:right w:val="nil"/>
                  </w:tcBorders>
                  <w:vAlign w:val="center"/>
                </w:tcPr>
                <w:p>
                  <w:pPr>
                    <w:jc w:val="center"/>
                  </w:pPr>
                </w:p>
              </w:tc>
              <w:tc>
                <w:tcPr>
                  <w:tcW w:w="1331" w:type="dxa"/>
                  <w:vMerge w:val="continue"/>
                  <w:tcBorders>
                    <w:left w:val="single" w:color="auto" w:sz="4" w:space="0"/>
                    <w:right w:val="nil"/>
                  </w:tcBorders>
                  <w:vAlign w:val="center"/>
                </w:tcPr>
                <w:p>
                  <w:pPr>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left w:val="nil"/>
                    <w:right w:val="single" w:color="auto" w:sz="4" w:space="0"/>
                  </w:tcBorders>
                  <w:vAlign w:val="center"/>
                </w:tcPr>
                <w:p>
                  <w:pPr>
                    <w:widowControl/>
                    <w:adjustRightInd w:val="0"/>
                    <w:snapToGrid w:val="0"/>
                    <w:jc w:val="center"/>
                    <w:rPr>
                      <w:b/>
                      <w:bCs/>
                    </w:rPr>
                  </w:pPr>
                </w:p>
              </w:tc>
              <w:tc>
                <w:tcPr>
                  <w:tcW w:w="0" w:type="auto"/>
                  <w:tcBorders>
                    <w:top w:val="single" w:color="auto" w:sz="2" w:space="0"/>
                    <w:left w:val="single" w:color="auto" w:sz="4" w:space="0"/>
                    <w:right w:val="single" w:color="auto" w:sz="4" w:space="0"/>
                  </w:tcBorders>
                  <w:vAlign w:val="center"/>
                </w:tcPr>
                <w:p>
                  <w:pPr>
                    <w:adjustRightInd w:val="0"/>
                    <w:snapToGrid w:val="0"/>
                    <w:jc w:val="center"/>
                  </w:pPr>
                  <w:r>
                    <w:t>供电</w:t>
                  </w:r>
                </w:p>
              </w:tc>
              <w:tc>
                <w:tcPr>
                  <w:tcW w:w="2210" w:type="dxa"/>
                  <w:gridSpan w:val="2"/>
                  <w:tcBorders>
                    <w:top w:val="single" w:color="auto" w:sz="2" w:space="0"/>
                    <w:left w:val="single" w:color="auto" w:sz="4" w:space="0"/>
                    <w:right w:val="nil"/>
                  </w:tcBorders>
                  <w:vAlign w:val="center"/>
                </w:tcPr>
                <w:p>
                  <w:pPr>
                    <w:adjustRightInd w:val="0"/>
                    <w:snapToGrid w:val="0"/>
                    <w:jc w:val="center"/>
                  </w:pPr>
                  <w:r>
                    <w:rPr>
                      <w:rFonts w:hint="eastAsia"/>
                    </w:rPr>
                    <w:t>20</w:t>
                  </w:r>
                  <w:r>
                    <w:t>万度/年</w:t>
                  </w:r>
                </w:p>
              </w:tc>
              <w:tc>
                <w:tcPr>
                  <w:tcW w:w="3260" w:type="dxa"/>
                  <w:gridSpan w:val="2"/>
                  <w:tcBorders>
                    <w:top w:val="single" w:color="auto" w:sz="2" w:space="0"/>
                    <w:left w:val="single" w:color="auto" w:sz="4" w:space="0"/>
                    <w:right w:val="nil"/>
                  </w:tcBorders>
                  <w:vAlign w:val="center"/>
                </w:tcPr>
                <w:p>
                  <w:pPr>
                    <w:adjustRightInd w:val="0"/>
                    <w:snapToGrid w:val="0"/>
                    <w:jc w:val="center"/>
                  </w:pPr>
                  <w:r>
                    <w:rPr>
                      <w:rFonts w:hint="eastAsia"/>
                    </w:rPr>
                    <w:t>依托出租方现有的供电系统</w:t>
                  </w:r>
                </w:p>
              </w:tc>
              <w:tc>
                <w:tcPr>
                  <w:tcW w:w="1331" w:type="dxa"/>
                  <w:tcBorders>
                    <w:top w:val="single" w:color="auto" w:sz="2" w:space="0"/>
                    <w:left w:val="single" w:color="auto" w:sz="4" w:space="0"/>
                    <w:right w:val="nil"/>
                  </w:tcBorders>
                  <w:vAlign w:val="center"/>
                </w:tcPr>
                <w:p>
                  <w:pPr>
                    <w:adjustRightInd w:val="0"/>
                    <w:snapToGrid w:val="0"/>
                    <w:jc w:val="center"/>
                  </w:pPr>
                  <w:r>
                    <w:rPr>
                      <w:rFonts w:hint="eastAsia"/>
                      <w:szCs w:val="21"/>
                    </w:rPr>
                    <w:t>依托可行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restart"/>
                  <w:tcBorders>
                    <w:left w:val="nil"/>
                    <w:right w:val="single" w:color="auto" w:sz="4" w:space="0"/>
                  </w:tcBorders>
                  <w:vAlign w:val="center"/>
                </w:tcPr>
                <w:p>
                  <w:pPr>
                    <w:widowControl/>
                    <w:adjustRightInd w:val="0"/>
                    <w:snapToGrid w:val="0"/>
                    <w:jc w:val="center"/>
                    <w:rPr>
                      <w:rFonts w:ascii="Calibri" w:hAnsi="Calibri"/>
                      <w:szCs w:val="21"/>
                    </w:rPr>
                  </w:pPr>
                  <w:r>
                    <w:rPr>
                      <w:rFonts w:hint="eastAsia" w:ascii="Calibri" w:hAnsi="Calibri"/>
                      <w:szCs w:val="21"/>
                    </w:rPr>
                    <w:t>储运</w:t>
                  </w:r>
                </w:p>
                <w:p>
                  <w:pPr>
                    <w:widowControl/>
                    <w:adjustRightInd w:val="0"/>
                    <w:snapToGrid w:val="0"/>
                    <w:jc w:val="center"/>
                    <w:rPr>
                      <w:rFonts w:ascii="Calibri" w:hAnsi="Calibri"/>
                      <w:szCs w:val="21"/>
                    </w:rPr>
                  </w:pPr>
                  <w:r>
                    <w:rPr>
                      <w:rFonts w:hint="eastAsia" w:ascii="Calibri" w:hAnsi="Calibri"/>
                      <w:szCs w:val="21"/>
                    </w:rPr>
                    <w:t>工程</w:t>
                  </w:r>
                </w:p>
              </w:tc>
              <w:tc>
                <w:tcPr>
                  <w:tcW w:w="0" w:type="auto"/>
                  <w:tcBorders>
                    <w:top w:val="single" w:color="auto" w:sz="2" w:space="0"/>
                    <w:left w:val="single" w:color="auto" w:sz="4" w:space="0"/>
                    <w:right w:val="single" w:color="auto" w:sz="4" w:space="0"/>
                  </w:tcBorders>
                  <w:vAlign w:val="center"/>
                </w:tcPr>
                <w:p>
                  <w:pPr>
                    <w:pStyle w:val="49"/>
                    <w:spacing w:before="6"/>
                    <w:ind w:left="133" w:right="120"/>
                    <w:jc w:val="center"/>
                  </w:pPr>
                  <w:r>
                    <w:rPr>
                      <w:rFonts w:ascii="Times New Roman" w:hAnsi="Times New Roman"/>
                      <w:sz w:val="21"/>
                      <w:szCs w:val="21"/>
                    </w:rPr>
                    <w:t>原料仓库</w:t>
                  </w:r>
                </w:p>
              </w:tc>
              <w:tc>
                <w:tcPr>
                  <w:tcW w:w="2210" w:type="dxa"/>
                  <w:gridSpan w:val="2"/>
                  <w:tcBorders>
                    <w:top w:val="single" w:color="auto" w:sz="2" w:space="0"/>
                    <w:left w:val="single" w:color="auto" w:sz="4" w:space="0"/>
                    <w:right w:val="nil"/>
                  </w:tcBorders>
                  <w:vAlign w:val="center"/>
                </w:tcPr>
                <w:p>
                  <w:pPr>
                    <w:adjustRightInd w:val="0"/>
                    <w:snapToGrid w:val="0"/>
                    <w:jc w:val="center"/>
                    <w:rPr>
                      <w:szCs w:val="21"/>
                    </w:rPr>
                  </w:pPr>
                  <w:r>
                    <w:rPr>
                      <w:rFonts w:hint="eastAsia"/>
                      <w:szCs w:val="21"/>
                    </w:rPr>
                    <w:t>20m</w:t>
                  </w:r>
                  <w:r>
                    <w:rPr>
                      <w:rFonts w:hint="eastAsia"/>
                      <w:szCs w:val="21"/>
                      <w:vertAlign w:val="superscript"/>
                    </w:rPr>
                    <w:t>2</w:t>
                  </w:r>
                </w:p>
              </w:tc>
              <w:tc>
                <w:tcPr>
                  <w:tcW w:w="3260" w:type="dxa"/>
                  <w:gridSpan w:val="2"/>
                  <w:tcBorders>
                    <w:top w:val="single" w:color="auto" w:sz="2" w:space="0"/>
                    <w:left w:val="single" w:color="auto" w:sz="4" w:space="0"/>
                    <w:right w:val="nil"/>
                  </w:tcBorders>
                  <w:vAlign w:val="center"/>
                </w:tcPr>
                <w:p>
                  <w:pPr>
                    <w:adjustRightInd w:val="0"/>
                    <w:snapToGrid w:val="0"/>
                    <w:jc w:val="center"/>
                  </w:pPr>
                  <w:r>
                    <w:rPr>
                      <w:szCs w:val="21"/>
                    </w:rPr>
                    <w:t>生产车间内，储存原辅料</w:t>
                  </w:r>
                </w:p>
              </w:tc>
              <w:tc>
                <w:tcPr>
                  <w:tcW w:w="1331" w:type="dxa"/>
                  <w:tcBorders>
                    <w:top w:val="single" w:color="auto" w:sz="2" w:space="0"/>
                    <w:left w:val="single" w:color="auto" w:sz="4" w:space="0"/>
                    <w:right w:val="nil"/>
                  </w:tcBorders>
                  <w:vAlign w:val="center"/>
                </w:tcPr>
                <w:p>
                  <w:pPr>
                    <w:snapToGrid w:val="0"/>
                    <w:jc w:val="center"/>
                    <w:rPr>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left w:val="nil"/>
                    <w:right w:val="single" w:color="auto" w:sz="4" w:space="0"/>
                  </w:tcBorders>
                  <w:vAlign w:val="center"/>
                </w:tcPr>
                <w:p>
                  <w:pPr>
                    <w:widowControl/>
                    <w:adjustRightInd w:val="0"/>
                    <w:snapToGrid w:val="0"/>
                    <w:jc w:val="center"/>
                    <w:rPr>
                      <w:b/>
                      <w:bCs/>
                    </w:rPr>
                  </w:pPr>
                </w:p>
              </w:tc>
              <w:tc>
                <w:tcPr>
                  <w:tcW w:w="0" w:type="auto"/>
                  <w:tcBorders>
                    <w:top w:val="single" w:color="auto" w:sz="2" w:space="0"/>
                    <w:left w:val="single" w:color="auto" w:sz="4" w:space="0"/>
                    <w:right w:val="single" w:color="auto" w:sz="4" w:space="0"/>
                  </w:tcBorders>
                  <w:vAlign w:val="center"/>
                </w:tcPr>
                <w:p>
                  <w:pPr>
                    <w:adjustRightInd w:val="0"/>
                    <w:snapToGrid w:val="0"/>
                    <w:jc w:val="center"/>
                  </w:pPr>
                  <w:r>
                    <w:rPr>
                      <w:szCs w:val="21"/>
                    </w:rPr>
                    <w:t>成品仓库</w:t>
                  </w:r>
                </w:p>
              </w:tc>
              <w:tc>
                <w:tcPr>
                  <w:tcW w:w="2210" w:type="dxa"/>
                  <w:gridSpan w:val="2"/>
                  <w:tcBorders>
                    <w:top w:val="single" w:color="auto" w:sz="2" w:space="0"/>
                    <w:left w:val="single" w:color="auto" w:sz="4" w:space="0"/>
                    <w:right w:val="nil"/>
                  </w:tcBorders>
                  <w:vAlign w:val="center"/>
                </w:tcPr>
                <w:p>
                  <w:pPr>
                    <w:adjustRightInd w:val="0"/>
                    <w:snapToGrid w:val="0"/>
                    <w:jc w:val="center"/>
                  </w:pPr>
                  <w:r>
                    <w:rPr>
                      <w:rFonts w:hint="eastAsia"/>
                      <w:szCs w:val="21"/>
                    </w:rPr>
                    <w:t>16m</w:t>
                  </w:r>
                  <w:r>
                    <w:rPr>
                      <w:rFonts w:hint="eastAsia"/>
                      <w:szCs w:val="21"/>
                      <w:vertAlign w:val="superscript"/>
                    </w:rPr>
                    <w:t>2</w:t>
                  </w:r>
                </w:p>
              </w:tc>
              <w:tc>
                <w:tcPr>
                  <w:tcW w:w="3260" w:type="dxa"/>
                  <w:gridSpan w:val="2"/>
                  <w:tcBorders>
                    <w:top w:val="single" w:color="auto" w:sz="2" w:space="0"/>
                    <w:left w:val="single" w:color="auto" w:sz="4" w:space="0"/>
                    <w:right w:val="nil"/>
                  </w:tcBorders>
                  <w:vAlign w:val="center"/>
                </w:tcPr>
                <w:p>
                  <w:pPr>
                    <w:adjustRightInd w:val="0"/>
                    <w:snapToGrid w:val="0"/>
                    <w:jc w:val="center"/>
                  </w:pPr>
                  <w:r>
                    <w:rPr>
                      <w:szCs w:val="21"/>
                    </w:rPr>
                    <w:t>生产车间内，储存</w:t>
                  </w:r>
                  <w:r>
                    <w:rPr>
                      <w:rFonts w:hint="eastAsia"/>
                      <w:szCs w:val="21"/>
                    </w:rPr>
                    <w:t>成品</w:t>
                  </w:r>
                </w:p>
              </w:tc>
              <w:tc>
                <w:tcPr>
                  <w:tcW w:w="1331" w:type="dxa"/>
                  <w:tcBorders>
                    <w:top w:val="single" w:color="auto" w:sz="2" w:space="0"/>
                    <w:left w:val="single" w:color="auto" w:sz="4" w:space="0"/>
                    <w:right w:val="nil"/>
                  </w:tcBorders>
                  <w:vAlign w:val="center"/>
                </w:tcPr>
                <w:p>
                  <w:pPr>
                    <w:snapToGrid w:val="0"/>
                    <w:jc w:val="center"/>
                    <w:rPr>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left w:val="nil"/>
                    <w:right w:val="single" w:color="auto" w:sz="4" w:space="0"/>
                  </w:tcBorders>
                  <w:vAlign w:val="center"/>
                </w:tcPr>
                <w:p>
                  <w:pPr>
                    <w:widowControl/>
                    <w:adjustRightInd w:val="0"/>
                    <w:snapToGrid w:val="0"/>
                    <w:jc w:val="center"/>
                    <w:rPr>
                      <w:b/>
                      <w:bCs/>
                    </w:rPr>
                  </w:pPr>
                </w:p>
              </w:tc>
              <w:tc>
                <w:tcPr>
                  <w:tcW w:w="0" w:type="auto"/>
                  <w:tcBorders>
                    <w:top w:val="single" w:color="auto" w:sz="2" w:space="0"/>
                    <w:left w:val="single" w:color="auto" w:sz="4" w:space="0"/>
                    <w:bottom w:val="single" w:color="auto" w:sz="4" w:space="0"/>
                    <w:right w:val="single" w:color="auto" w:sz="4" w:space="0"/>
                  </w:tcBorders>
                  <w:vAlign w:val="center"/>
                </w:tcPr>
                <w:p>
                  <w:pPr>
                    <w:adjustRightInd w:val="0"/>
                    <w:snapToGrid w:val="0"/>
                    <w:jc w:val="center"/>
                  </w:pPr>
                  <w:r>
                    <w:t>运输</w:t>
                  </w:r>
                </w:p>
              </w:tc>
              <w:tc>
                <w:tcPr>
                  <w:tcW w:w="2210" w:type="dxa"/>
                  <w:gridSpan w:val="2"/>
                  <w:tcBorders>
                    <w:top w:val="single" w:color="auto" w:sz="2" w:space="0"/>
                    <w:left w:val="single" w:color="auto" w:sz="4" w:space="0"/>
                    <w:right w:val="nil"/>
                  </w:tcBorders>
                  <w:vAlign w:val="center"/>
                </w:tcPr>
                <w:p>
                  <w:pPr>
                    <w:adjustRightInd w:val="0"/>
                    <w:snapToGrid w:val="0"/>
                    <w:jc w:val="center"/>
                  </w:pPr>
                  <w:r>
                    <w:rPr>
                      <w:rFonts w:hint="eastAsia"/>
                    </w:rPr>
                    <w:t>汽车运输，运输能力为24.9</w:t>
                  </w:r>
                  <w:r>
                    <w:t>t/a</w:t>
                  </w:r>
                </w:p>
              </w:tc>
              <w:tc>
                <w:tcPr>
                  <w:tcW w:w="3260" w:type="dxa"/>
                  <w:gridSpan w:val="2"/>
                  <w:tcBorders>
                    <w:top w:val="single" w:color="auto" w:sz="2" w:space="0"/>
                    <w:left w:val="single" w:color="auto" w:sz="4" w:space="0"/>
                    <w:right w:val="nil"/>
                  </w:tcBorders>
                  <w:vAlign w:val="center"/>
                </w:tcPr>
                <w:p>
                  <w:pPr>
                    <w:adjustRightInd w:val="0"/>
                    <w:snapToGrid w:val="0"/>
                    <w:jc w:val="center"/>
                  </w:pPr>
                  <w:r>
                    <w:rPr>
                      <w:rFonts w:hint="eastAsia"/>
                      <w:color w:val="000000"/>
                      <w:szCs w:val="21"/>
                    </w:rPr>
                    <w:t>陆运</w:t>
                  </w:r>
                </w:p>
              </w:tc>
              <w:tc>
                <w:tcPr>
                  <w:tcW w:w="1331" w:type="dxa"/>
                  <w:tcBorders>
                    <w:top w:val="single" w:color="auto" w:sz="2" w:space="0"/>
                    <w:left w:val="single" w:color="auto" w:sz="4" w:space="0"/>
                    <w:right w:val="nil"/>
                  </w:tcBorders>
                  <w:vAlign w:val="center"/>
                </w:tcPr>
                <w:p>
                  <w:pPr>
                    <w:snapToGrid w:val="0"/>
                    <w:jc w:val="center"/>
                    <w:rPr>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restart"/>
                  <w:tcBorders>
                    <w:left w:val="nil"/>
                    <w:right w:val="single" w:color="auto" w:sz="4" w:space="0"/>
                  </w:tcBorders>
                  <w:vAlign w:val="center"/>
                </w:tcPr>
                <w:p>
                  <w:pPr>
                    <w:widowControl/>
                    <w:adjustRightInd w:val="0"/>
                    <w:snapToGrid w:val="0"/>
                    <w:jc w:val="center"/>
                  </w:pPr>
                  <w:r>
                    <w:rPr>
                      <w:rFonts w:hint="eastAsia"/>
                    </w:rPr>
                    <w:t>环保</w:t>
                  </w:r>
                </w:p>
                <w:p>
                  <w:pPr>
                    <w:adjustRightInd w:val="0"/>
                    <w:snapToGrid w:val="0"/>
                    <w:jc w:val="center"/>
                    <w:rPr>
                      <w:b/>
                      <w:bCs/>
                    </w:rPr>
                  </w:pPr>
                  <w:r>
                    <w:rPr>
                      <w:rFonts w:hint="eastAsia"/>
                    </w:rPr>
                    <w:t>工程</w:t>
                  </w:r>
                </w:p>
              </w:tc>
              <w:tc>
                <w:tcPr>
                  <w:tcW w:w="0" w:type="auto"/>
                  <w:vMerge w:val="restart"/>
                  <w:tcBorders>
                    <w:top w:val="single" w:color="auto" w:sz="2" w:space="0"/>
                    <w:left w:val="single" w:color="auto" w:sz="4" w:space="0"/>
                    <w:right w:val="single" w:color="auto" w:sz="4" w:space="0"/>
                  </w:tcBorders>
                  <w:vAlign w:val="center"/>
                </w:tcPr>
                <w:p>
                  <w:pPr>
                    <w:adjustRightInd w:val="0"/>
                    <w:snapToGrid w:val="0"/>
                    <w:jc w:val="center"/>
                  </w:pPr>
                  <w:r>
                    <w:t>废气治理</w:t>
                  </w:r>
                </w:p>
              </w:tc>
              <w:tc>
                <w:tcPr>
                  <w:tcW w:w="2210" w:type="dxa"/>
                  <w:gridSpan w:val="2"/>
                  <w:tcBorders>
                    <w:top w:val="single" w:color="auto" w:sz="2" w:space="0"/>
                    <w:left w:val="single" w:color="auto" w:sz="4" w:space="0"/>
                    <w:right w:val="nil"/>
                  </w:tcBorders>
                  <w:vAlign w:val="center"/>
                </w:tcPr>
                <w:p>
                  <w:pPr>
                    <w:adjustRightInd w:val="0"/>
                    <w:snapToGrid w:val="0"/>
                    <w:jc w:val="center"/>
                  </w:pPr>
                  <w:r>
                    <w:rPr>
                      <w:rFonts w:hint="eastAsia"/>
                    </w:rPr>
                    <w:t>食堂油烟</w:t>
                  </w:r>
                </w:p>
              </w:tc>
              <w:tc>
                <w:tcPr>
                  <w:tcW w:w="3260" w:type="dxa"/>
                  <w:gridSpan w:val="2"/>
                  <w:tcBorders>
                    <w:top w:val="single" w:color="auto" w:sz="2" w:space="0"/>
                    <w:left w:val="single" w:color="auto" w:sz="4" w:space="0"/>
                    <w:right w:val="nil"/>
                  </w:tcBorders>
                  <w:vAlign w:val="center"/>
                </w:tcPr>
                <w:p>
                  <w:pPr>
                    <w:adjustRightInd w:val="0"/>
                    <w:snapToGrid w:val="0"/>
                    <w:jc w:val="center"/>
                    <w:rPr>
                      <w:color w:val="000000"/>
                      <w:szCs w:val="21"/>
                    </w:rPr>
                  </w:pPr>
                  <w:r>
                    <w:rPr>
                      <w:rFonts w:hint="eastAsia"/>
                      <w:color w:val="000000"/>
                      <w:szCs w:val="21"/>
                    </w:rPr>
                    <w:t>经油烟净化装置处理后通过1根8米高排气筒（FQ-1）排放</w:t>
                  </w:r>
                </w:p>
              </w:tc>
              <w:tc>
                <w:tcPr>
                  <w:tcW w:w="1331" w:type="dxa"/>
                  <w:tcBorders>
                    <w:top w:val="single" w:color="auto" w:sz="2" w:space="0"/>
                    <w:left w:val="single" w:color="auto" w:sz="4" w:space="0"/>
                    <w:right w:val="nil"/>
                  </w:tcBorders>
                  <w:vAlign w:val="center"/>
                </w:tcPr>
                <w:p>
                  <w:pPr>
                    <w:snapToGrid w:val="0"/>
                    <w:jc w:val="center"/>
                    <w:rPr>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0" w:type="auto"/>
                  <w:vMerge w:val="continue"/>
                  <w:tcBorders>
                    <w:left w:val="nil"/>
                    <w:right w:val="single" w:color="auto" w:sz="4" w:space="0"/>
                  </w:tcBorders>
                  <w:vAlign w:val="center"/>
                </w:tcPr>
                <w:p>
                  <w:pPr>
                    <w:widowControl/>
                    <w:adjustRightInd w:val="0"/>
                    <w:snapToGrid w:val="0"/>
                    <w:jc w:val="center"/>
                    <w:rPr>
                      <w:b/>
                      <w:bCs/>
                    </w:rPr>
                  </w:pPr>
                </w:p>
              </w:tc>
              <w:tc>
                <w:tcPr>
                  <w:tcW w:w="0" w:type="auto"/>
                  <w:vMerge w:val="continue"/>
                  <w:tcBorders>
                    <w:left w:val="single" w:color="auto" w:sz="4" w:space="0"/>
                    <w:right w:val="single" w:color="auto" w:sz="4" w:space="0"/>
                  </w:tcBorders>
                  <w:vAlign w:val="center"/>
                </w:tcPr>
                <w:p>
                  <w:pPr>
                    <w:adjustRightInd w:val="0"/>
                    <w:snapToGrid w:val="0"/>
                    <w:jc w:val="center"/>
                  </w:pPr>
                </w:p>
              </w:tc>
              <w:tc>
                <w:tcPr>
                  <w:tcW w:w="2210" w:type="dxa"/>
                  <w:gridSpan w:val="2"/>
                  <w:tcBorders>
                    <w:top w:val="single" w:color="auto" w:sz="2" w:space="0"/>
                    <w:left w:val="single" w:color="auto" w:sz="4" w:space="0"/>
                    <w:bottom w:val="single" w:color="auto" w:sz="4" w:space="0"/>
                    <w:right w:val="nil"/>
                  </w:tcBorders>
                  <w:vAlign w:val="center"/>
                </w:tcPr>
                <w:p>
                  <w:pPr>
                    <w:pStyle w:val="44"/>
                    <w:adjustRightInd w:val="0"/>
                    <w:snapToGrid w:val="0"/>
                    <w:jc w:val="center"/>
                  </w:pPr>
                  <w:r>
                    <w:rPr>
                      <w:rFonts w:hint="eastAsia"/>
                    </w:rPr>
                    <w:t>焊接烟尘</w:t>
                  </w:r>
                </w:p>
              </w:tc>
              <w:tc>
                <w:tcPr>
                  <w:tcW w:w="3260" w:type="dxa"/>
                  <w:gridSpan w:val="2"/>
                  <w:tcBorders>
                    <w:top w:val="single" w:color="auto" w:sz="2" w:space="0"/>
                    <w:left w:val="single" w:color="auto" w:sz="4" w:space="0"/>
                    <w:right w:val="nil"/>
                  </w:tcBorders>
                  <w:vAlign w:val="center"/>
                </w:tcPr>
                <w:p>
                  <w:pPr>
                    <w:pStyle w:val="44"/>
                    <w:adjustRightInd w:val="0"/>
                    <w:snapToGrid w:val="0"/>
                    <w:jc w:val="center"/>
                    <w:rPr>
                      <w:szCs w:val="21"/>
                    </w:rPr>
                  </w:pPr>
                  <w:r>
                    <w:rPr>
                      <w:rFonts w:hint="eastAsia"/>
                      <w:szCs w:val="21"/>
                    </w:rPr>
                    <w:t>经移动式滤芯除尘器处理后无组织排放</w:t>
                  </w:r>
                </w:p>
              </w:tc>
              <w:tc>
                <w:tcPr>
                  <w:tcW w:w="1331" w:type="dxa"/>
                  <w:tcBorders>
                    <w:top w:val="single" w:color="auto" w:sz="2" w:space="0"/>
                    <w:left w:val="single" w:color="auto" w:sz="4" w:space="0"/>
                    <w:right w:val="nil"/>
                  </w:tcBorders>
                  <w:vAlign w:val="center"/>
                </w:tcPr>
                <w:p>
                  <w:pPr>
                    <w:snapToGrid w:val="0"/>
                    <w:jc w:val="center"/>
                    <w:rPr>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left w:val="nil"/>
                    <w:right w:val="single" w:color="auto" w:sz="4" w:space="0"/>
                  </w:tcBorders>
                  <w:vAlign w:val="center"/>
                </w:tcPr>
                <w:p>
                  <w:pPr>
                    <w:widowControl/>
                    <w:adjustRightInd w:val="0"/>
                    <w:snapToGrid w:val="0"/>
                    <w:jc w:val="center"/>
                    <w:rPr>
                      <w:b/>
                      <w:bCs/>
                    </w:rPr>
                  </w:pPr>
                </w:p>
              </w:tc>
              <w:tc>
                <w:tcPr>
                  <w:tcW w:w="0" w:type="auto"/>
                  <w:vMerge w:val="restart"/>
                  <w:tcBorders>
                    <w:top w:val="single" w:color="auto" w:sz="2" w:space="0"/>
                    <w:left w:val="single" w:color="auto" w:sz="4" w:space="0"/>
                    <w:right w:val="single" w:color="auto" w:sz="4" w:space="0"/>
                  </w:tcBorders>
                  <w:vAlign w:val="center"/>
                </w:tcPr>
                <w:p>
                  <w:pPr>
                    <w:adjustRightInd w:val="0"/>
                    <w:snapToGrid w:val="0"/>
                    <w:jc w:val="center"/>
                  </w:pPr>
                  <w:r>
                    <w:t>废水治理</w:t>
                  </w:r>
                </w:p>
              </w:tc>
              <w:tc>
                <w:tcPr>
                  <w:tcW w:w="2210" w:type="dxa"/>
                  <w:gridSpan w:val="2"/>
                  <w:tcBorders>
                    <w:top w:val="single" w:color="auto" w:sz="2" w:space="0"/>
                    <w:left w:val="single" w:color="auto" w:sz="4" w:space="0"/>
                    <w:bottom w:val="single" w:color="auto" w:sz="4" w:space="0"/>
                    <w:right w:val="nil"/>
                  </w:tcBorders>
                  <w:vAlign w:val="center"/>
                </w:tcPr>
                <w:p>
                  <w:pPr>
                    <w:adjustRightInd w:val="0"/>
                    <w:snapToGrid w:val="0"/>
                    <w:jc w:val="center"/>
                  </w:pPr>
                  <w:r>
                    <w:rPr>
                      <w:rFonts w:hint="eastAsia"/>
                    </w:rPr>
                    <w:t>生活污水480t/a</w:t>
                  </w:r>
                </w:p>
              </w:tc>
              <w:tc>
                <w:tcPr>
                  <w:tcW w:w="3260" w:type="dxa"/>
                  <w:gridSpan w:val="2"/>
                  <w:vMerge w:val="restart"/>
                  <w:tcBorders>
                    <w:top w:val="single" w:color="auto" w:sz="2" w:space="0"/>
                    <w:left w:val="single" w:color="auto" w:sz="4" w:space="0"/>
                    <w:right w:val="nil"/>
                  </w:tcBorders>
                  <w:vAlign w:val="center"/>
                </w:tcPr>
                <w:p>
                  <w:pPr>
                    <w:adjustRightInd w:val="0"/>
                    <w:snapToGrid w:val="0"/>
                    <w:jc w:val="center"/>
                  </w:pPr>
                  <w:r>
                    <w:rPr>
                      <w:szCs w:val="21"/>
                    </w:rPr>
                    <w:t>项目食堂废水经隔油池处理后与生活污水接入武南污水处理厂，处理达标后排放</w:t>
                  </w:r>
                  <w:r>
                    <w:rPr>
                      <w:rFonts w:hint="eastAsia"/>
                      <w:szCs w:val="21"/>
                    </w:rPr>
                    <w:t>。</w:t>
                  </w:r>
                  <w:r>
                    <w:rPr>
                      <w:szCs w:val="21"/>
                    </w:rPr>
                    <w:t>依托</w:t>
                  </w:r>
                  <w:r>
                    <w:rPr>
                      <w:rFonts w:hint="eastAsia"/>
                    </w:rPr>
                    <w:t>出租方</w:t>
                  </w:r>
                  <w:r>
                    <w:rPr>
                      <w:szCs w:val="21"/>
                    </w:rPr>
                    <w:t>污</w:t>
                  </w:r>
                  <w:r>
                    <w:rPr>
                      <w:rFonts w:hint="eastAsia"/>
                      <w:szCs w:val="21"/>
                    </w:rPr>
                    <w:t>水</w:t>
                  </w:r>
                  <w:r>
                    <w:rPr>
                      <w:szCs w:val="21"/>
                    </w:rPr>
                    <w:t>管网</w:t>
                  </w:r>
                </w:p>
              </w:tc>
              <w:tc>
                <w:tcPr>
                  <w:tcW w:w="1331" w:type="dxa"/>
                  <w:vMerge w:val="restart"/>
                  <w:tcBorders>
                    <w:top w:val="single" w:color="auto" w:sz="2" w:space="0"/>
                    <w:left w:val="single" w:color="auto" w:sz="4" w:space="0"/>
                    <w:right w:val="nil"/>
                  </w:tcBorders>
                  <w:vAlign w:val="center"/>
                </w:tcPr>
                <w:p>
                  <w:pPr>
                    <w:jc w:val="center"/>
                  </w:pPr>
                  <w:r>
                    <w:rPr>
                      <w:rFonts w:hint="eastAsia"/>
                      <w:szCs w:val="21"/>
                    </w:rPr>
                    <w:t>依托可行</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left w:val="nil"/>
                    <w:right w:val="single" w:color="auto" w:sz="4" w:space="0"/>
                  </w:tcBorders>
                  <w:vAlign w:val="center"/>
                </w:tcPr>
                <w:p>
                  <w:pPr>
                    <w:widowControl/>
                    <w:adjustRightInd w:val="0"/>
                    <w:snapToGrid w:val="0"/>
                    <w:jc w:val="center"/>
                    <w:rPr>
                      <w:b/>
                      <w:bCs/>
                    </w:rPr>
                  </w:pPr>
                </w:p>
              </w:tc>
              <w:tc>
                <w:tcPr>
                  <w:tcW w:w="0" w:type="auto"/>
                  <w:vMerge w:val="continue"/>
                  <w:tcBorders>
                    <w:left w:val="single" w:color="auto" w:sz="4" w:space="0"/>
                    <w:right w:val="single" w:color="auto" w:sz="4" w:space="0"/>
                  </w:tcBorders>
                  <w:vAlign w:val="center"/>
                </w:tcPr>
                <w:p>
                  <w:pPr>
                    <w:adjustRightInd w:val="0"/>
                    <w:snapToGrid w:val="0"/>
                    <w:jc w:val="center"/>
                  </w:pPr>
                </w:p>
              </w:tc>
              <w:tc>
                <w:tcPr>
                  <w:tcW w:w="2210" w:type="dxa"/>
                  <w:gridSpan w:val="2"/>
                  <w:tcBorders>
                    <w:top w:val="single" w:color="auto" w:sz="2" w:space="0"/>
                    <w:left w:val="single" w:color="auto" w:sz="4" w:space="0"/>
                    <w:bottom w:val="single" w:color="auto" w:sz="4" w:space="0"/>
                    <w:right w:val="nil"/>
                  </w:tcBorders>
                  <w:vAlign w:val="center"/>
                </w:tcPr>
                <w:p>
                  <w:pPr>
                    <w:adjustRightInd w:val="0"/>
                    <w:snapToGrid w:val="0"/>
                    <w:jc w:val="center"/>
                  </w:pPr>
                  <w:r>
                    <w:rPr>
                      <w:rFonts w:hint="eastAsia"/>
                    </w:rPr>
                    <w:t>食堂用水48t/a</w:t>
                  </w:r>
                </w:p>
              </w:tc>
              <w:tc>
                <w:tcPr>
                  <w:tcW w:w="3260" w:type="dxa"/>
                  <w:gridSpan w:val="2"/>
                  <w:vMerge w:val="continue"/>
                  <w:tcBorders>
                    <w:left w:val="single" w:color="auto" w:sz="4" w:space="0"/>
                    <w:bottom w:val="single" w:color="auto" w:sz="4" w:space="0"/>
                    <w:right w:val="nil"/>
                  </w:tcBorders>
                  <w:vAlign w:val="center"/>
                </w:tcPr>
                <w:p>
                  <w:pPr>
                    <w:adjustRightInd w:val="0"/>
                    <w:snapToGrid w:val="0"/>
                    <w:jc w:val="center"/>
                  </w:pPr>
                </w:p>
              </w:tc>
              <w:tc>
                <w:tcPr>
                  <w:tcW w:w="1331" w:type="dxa"/>
                  <w:vMerge w:val="continue"/>
                  <w:tcBorders>
                    <w:left w:val="single" w:color="auto" w:sz="4" w:space="0"/>
                    <w:bottom w:val="single" w:color="auto" w:sz="4" w:space="0"/>
                    <w:right w:val="nil"/>
                  </w:tcBorders>
                  <w:vAlign w:val="center"/>
                </w:tcPr>
                <w:p>
                  <w:pPr>
                    <w:adjustRightInd w:val="0"/>
                    <w:snapToGrid w:val="0"/>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left w:val="nil"/>
                    <w:right w:val="single" w:color="auto" w:sz="4" w:space="0"/>
                  </w:tcBorders>
                  <w:vAlign w:val="center"/>
                </w:tcPr>
                <w:p>
                  <w:pPr>
                    <w:widowControl/>
                    <w:adjustRightInd w:val="0"/>
                    <w:snapToGrid w:val="0"/>
                    <w:jc w:val="center"/>
                    <w:rPr>
                      <w:b/>
                      <w:bCs/>
                    </w:rPr>
                  </w:pPr>
                </w:p>
              </w:tc>
              <w:tc>
                <w:tcPr>
                  <w:tcW w:w="0" w:type="auto"/>
                  <w:tcBorders>
                    <w:top w:val="single" w:color="auto" w:sz="2" w:space="0"/>
                    <w:left w:val="single" w:color="auto" w:sz="4" w:space="0"/>
                    <w:bottom w:val="single" w:color="auto" w:sz="4" w:space="0"/>
                    <w:right w:val="single" w:color="auto" w:sz="4" w:space="0"/>
                  </w:tcBorders>
                  <w:vAlign w:val="center"/>
                </w:tcPr>
                <w:p>
                  <w:pPr>
                    <w:adjustRightInd w:val="0"/>
                    <w:snapToGrid w:val="0"/>
                    <w:jc w:val="center"/>
                  </w:pPr>
                  <w:r>
                    <w:t>噪声治理</w:t>
                  </w:r>
                </w:p>
              </w:tc>
              <w:tc>
                <w:tcPr>
                  <w:tcW w:w="2210" w:type="dxa"/>
                  <w:gridSpan w:val="2"/>
                  <w:tcBorders>
                    <w:top w:val="single" w:color="auto" w:sz="2" w:space="0"/>
                    <w:left w:val="single" w:color="auto" w:sz="4" w:space="0"/>
                    <w:bottom w:val="single" w:color="auto" w:sz="4" w:space="0"/>
                    <w:right w:val="nil"/>
                  </w:tcBorders>
                  <w:vAlign w:val="center"/>
                </w:tcPr>
                <w:p>
                  <w:pPr>
                    <w:snapToGrid w:val="0"/>
                    <w:jc w:val="center"/>
                    <w:rPr>
                      <w:szCs w:val="21"/>
                    </w:rPr>
                  </w:pPr>
                  <w:r>
                    <w:rPr>
                      <w:szCs w:val="21"/>
                    </w:rPr>
                    <w:t>选用低噪声设备、减振底座、建筑隔声，降噪量20dB（A）</w:t>
                  </w:r>
                </w:p>
              </w:tc>
              <w:tc>
                <w:tcPr>
                  <w:tcW w:w="3260" w:type="dxa"/>
                  <w:gridSpan w:val="2"/>
                  <w:tcBorders>
                    <w:top w:val="single" w:color="auto" w:sz="2" w:space="0"/>
                    <w:left w:val="single" w:color="auto" w:sz="4" w:space="0"/>
                    <w:bottom w:val="single" w:color="auto" w:sz="4" w:space="0"/>
                    <w:right w:val="nil"/>
                  </w:tcBorders>
                  <w:vAlign w:val="center"/>
                </w:tcPr>
                <w:p>
                  <w:pPr>
                    <w:snapToGrid w:val="0"/>
                    <w:jc w:val="center"/>
                    <w:rPr>
                      <w:szCs w:val="21"/>
                    </w:rPr>
                  </w:pPr>
                  <w:r>
                    <w:rPr>
                      <w:szCs w:val="21"/>
                    </w:rPr>
                    <w:t>厂界噪声达标排放</w:t>
                  </w:r>
                </w:p>
              </w:tc>
              <w:tc>
                <w:tcPr>
                  <w:tcW w:w="1331" w:type="dxa"/>
                  <w:tcBorders>
                    <w:top w:val="single" w:color="auto" w:sz="2" w:space="0"/>
                    <w:left w:val="single" w:color="auto" w:sz="4" w:space="0"/>
                    <w:bottom w:val="single" w:color="auto" w:sz="4" w:space="0"/>
                    <w:right w:val="nil"/>
                  </w:tcBorders>
                  <w:vAlign w:val="center"/>
                </w:tcPr>
                <w:p>
                  <w:pPr>
                    <w:adjustRightInd w:val="0"/>
                    <w:snapToGrid w:val="0"/>
                    <w:jc w:val="center"/>
                    <w:rPr>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rPr>
              <w:tc>
                <w:tcPr>
                  <w:tcW w:w="0" w:type="auto"/>
                  <w:vMerge w:val="continue"/>
                  <w:tcBorders>
                    <w:left w:val="nil"/>
                    <w:right w:val="single" w:color="auto" w:sz="4" w:space="0"/>
                  </w:tcBorders>
                  <w:vAlign w:val="center"/>
                </w:tcPr>
                <w:p>
                  <w:pPr>
                    <w:adjustRightInd w:val="0"/>
                    <w:snapToGrid w:val="0"/>
                    <w:jc w:val="center"/>
                    <w:rPr>
                      <w:rFonts w:ascii="Calibri" w:hAnsi="Calibri"/>
                      <w:szCs w:val="21"/>
                    </w:rPr>
                  </w:pPr>
                </w:p>
              </w:tc>
              <w:tc>
                <w:tcPr>
                  <w:tcW w:w="0" w:type="auto"/>
                  <w:vMerge w:val="restart"/>
                  <w:tcBorders>
                    <w:top w:val="single" w:color="auto" w:sz="4" w:space="0"/>
                    <w:left w:val="single" w:color="auto" w:sz="4" w:space="0"/>
                    <w:right w:val="single" w:color="auto" w:sz="4" w:space="0"/>
                  </w:tcBorders>
                  <w:vAlign w:val="center"/>
                </w:tcPr>
                <w:p>
                  <w:pPr>
                    <w:adjustRightInd w:val="0"/>
                    <w:snapToGrid w:val="0"/>
                    <w:jc w:val="center"/>
                    <w:rPr>
                      <w:szCs w:val="21"/>
                    </w:rPr>
                  </w:pPr>
                  <w:r>
                    <w:rPr>
                      <w:rFonts w:hint="eastAsia"/>
                      <w:szCs w:val="21"/>
                    </w:rPr>
                    <w:t>固体废物处理</w:t>
                  </w:r>
                </w:p>
              </w:tc>
              <w:tc>
                <w:tcPr>
                  <w:tcW w:w="2210" w:type="dxa"/>
                  <w:gridSpan w:val="2"/>
                  <w:tcBorders>
                    <w:top w:val="single" w:color="auto" w:sz="4" w:space="0"/>
                    <w:left w:val="single" w:color="auto" w:sz="4" w:space="0"/>
                    <w:bottom w:val="single" w:color="auto" w:sz="4" w:space="0"/>
                    <w:right w:val="single" w:color="auto" w:sz="2" w:space="0"/>
                  </w:tcBorders>
                  <w:vAlign w:val="center"/>
                </w:tcPr>
                <w:p>
                  <w:pPr>
                    <w:adjustRightInd w:val="0"/>
                    <w:snapToGrid w:val="0"/>
                    <w:jc w:val="center"/>
                  </w:pPr>
                  <w:r>
                    <w:rPr>
                      <w:rFonts w:hint="eastAsia"/>
                    </w:rPr>
                    <w:t>一般固废</w:t>
                  </w:r>
                </w:p>
              </w:tc>
              <w:tc>
                <w:tcPr>
                  <w:tcW w:w="805" w:type="dxa"/>
                  <w:tcBorders>
                    <w:top w:val="single" w:color="auto" w:sz="4" w:space="0"/>
                    <w:left w:val="single" w:color="auto" w:sz="2" w:space="0"/>
                    <w:bottom w:val="single" w:color="auto" w:sz="4" w:space="0"/>
                    <w:right w:val="nil"/>
                  </w:tcBorders>
                  <w:vAlign w:val="center"/>
                </w:tcPr>
                <w:p>
                  <w:pPr>
                    <w:pStyle w:val="59"/>
                    <w:tabs>
                      <w:tab w:val="left" w:pos="8100"/>
                    </w:tabs>
                    <w:adjustRightInd w:val="0"/>
                    <w:snapToGrid w:val="0"/>
                    <w:jc w:val="center"/>
                    <w:textAlignment w:val="auto"/>
                    <w:rPr>
                      <w:color w:val="auto"/>
                      <w:sz w:val="21"/>
                      <w:szCs w:val="21"/>
                    </w:rPr>
                  </w:pPr>
                  <w:r>
                    <w:rPr>
                      <w:color w:val="auto"/>
                      <w:sz w:val="21"/>
                      <w:szCs w:val="21"/>
                    </w:rPr>
                    <w:t>外售利用、</w:t>
                  </w:r>
                  <w:r>
                    <w:rPr>
                      <w:rFonts w:hint="eastAsia"/>
                      <w:color w:val="auto"/>
                      <w:sz w:val="21"/>
                      <w:szCs w:val="21"/>
                    </w:rPr>
                    <w:t>回用</w:t>
                  </w:r>
                </w:p>
              </w:tc>
              <w:tc>
                <w:tcPr>
                  <w:tcW w:w="2455" w:type="dxa"/>
                  <w:vMerge w:val="restart"/>
                  <w:tcBorders>
                    <w:top w:val="single" w:color="auto" w:sz="4" w:space="0"/>
                    <w:left w:val="single" w:color="auto" w:sz="4" w:space="0"/>
                    <w:right w:val="nil"/>
                  </w:tcBorders>
                  <w:vAlign w:val="center"/>
                </w:tcPr>
                <w:p>
                  <w:pPr>
                    <w:adjustRightInd w:val="0"/>
                    <w:snapToGrid w:val="0"/>
                    <w:jc w:val="center"/>
                  </w:pPr>
                  <w:r>
                    <w:rPr>
                      <w:rFonts w:hint="eastAsia"/>
                      <w:szCs w:val="21"/>
                    </w:rPr>
                    <w:t>生产车间北侧</w:t>
                  </w:r>
                  <w:r>
                    <w:rPr>
                      <w:szCs w:val="21"/>
                    </w:rPr>
                    <w:t>设置1个</w:t>
                  </w:r>
                  <w:r>
                    <w:rPr>
                      <w:rFonts w:hint="eastAsia"/>
                      <w:szCs w:val="21"/>
                    </w:rPr>
                    <w:t>20</w:t>
                  </w:r>
                  <w:r>
                    <w:rPr>
                      <w:szCs w:val="21"/>
                    </w:rPr>
                    <w:t>平方米一般固废堆场；厂区</w:t>
                  </w:r>
                  <w:r>
                    <w:rPr>
                      <w:rFonts w:hint="eastAsia"/>
                      <w:szCs w:val="21"/>
                    </w:rPr>
                    <w:t>北</w:t>
                  </w:r>
                  <w:r>
                    <w:rPr>
                      <w:szCs w:val="21"/>
                    </w:rPr>
                    <w:t>侧设置1个</w:t>
                  </w:r>
                  <w:r>
                    <w:rPr>
                      <w:rFonts w:hint="eastAsia"/>
                      <w:szCs w:val="21"/>
                    </w:rPr>
                    <w:t>9</w:t>
                  </w:r>
                  <w:r>
                    <w:rPr>
                      <w:szCs w:val="21"/>
                    </w:rPr>
                    <w:t>平方米危废仓库满足环境管理要求，分类收集、处置，处理率100%</w:t>
                  </w:r>
                </w:p>
              </w:tc>
              <w:tc>
                <w:tcPr>
                  <w:tcW w:w="1331" w:type="dxa"/>
                  <w:vMerge w:val="restart"/>
                  <w:tcBorders>
                    <w:top w:val="single" w:color="auto" w:sz="4" w:space="0"/>
                    <w:left w:val="single" w:color="auto" w:sz="4" w:space="0"/>
                    <w:right w:val="nil"/>
                  </w:tcBorders>
                  <w:vAlign w:val="center"/>
                </w:tcPr>
                <w:p>
                  <w:pPr>
                    <w:adjustRightInd w:val="0"/>
                    <w:snapToGrid w:val="0"/>
                    <w:rPr>
                      <w:szCs w:val="21"/>
                    </w:rPr>
                  </w:pPr>
                  <w:r>
                    <w:rPr>
                      <w:rFonts w:hint="eastAsia"/>
                      <w:szCs w:val="21"/>
                    </w:rPr>
                    <w:t>本项目设置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left w:val="nil"/>
                    <w:right w:val="single" w:color="auto" w:sz="4" w:space="0"/>
                  </w:tcBorders>
                  <w:vAlign w:val="center"/>
                </w:tcPr>
                <w:p>
                  <w:pPr>
                    <w:widowControl/>
                    <w:jc w:val="center"/>
                    <w:rPr>
                      <w:rFonts w:ascii="Calibri" w:hAnsi="Calibri"/>
                      <w:szCs w:val="21"/>
                    </w:rPr>
                  </w:pPr>
                </w:p>
              </w:tc>
              <w:tc>
                <w:tcPr>
                  <w:tcW w:w="0" w:type="auto"/>
                  <w:vMerge w:val="continue"/>
                  <w:tcBorders>
                    <w:left w:val="single" w:color="auto" w:sz="4" w:space="0"/>
                    <w:right w:val="single" w:color="auto" w:sz="4" w:space="0"/>
                  </w:tcBorders>
                  <w:vAlign w:val="center"/>
                </w:tcPr>
                <w:p>
                  <w:pPr>
                    <w:adjustRightInd w:val="0"/>
                    <w:snapToGrid w:val="0"/>
                    <w:jc w:val="center"/>
                    <w:rPr>
                      <w:szCs w:val="21"/>
                    </w:rPr>
                  </w:pPr>
                </w:p>
              </w:tc>
              <w:tc>
                <w:tcPr>
                  <w:tcW w:w="2210" w:type="dxa"/>
                  <w:gridSpan w:val="2"/>
                  <w:tcBorders>
                    <w:top w:val="single" w:color="auto" w:sz="4" w:space="0"/>
                    <w:left w:val="single" w:color="auto" w:sz="4" w:space="0"/>
                    <w:bottom w:val="single" w:color="auto" w:sz="4" w:space="0"/>
                    <w:right w:val="single" w:color="auto" w:sz="2" w:space="0"/>
                  </w:tcBorders>
                  <w:vAlign w:val="center"/>
                </w:tcPr>
                <w:p>
                  <w:pPr>
                    <w:jc w:val="center"/>
                  </w:pPr>
                  <w:r>
                    <w:rPr>
                      <w:rFonts w:hint="eastAsia"/>
                    </w:rPr>
                    <w:t>生活垃圾</w:t>
                  </w:r>
                </w:p>
              </w:tc>
              <w:tc>
                <w:tcPr>
                  <w:tcW w:w="805" w:type="dxa"/>
                  <w:tcBorders>
                    <w:top w:val="single" w:color="auto" w:sz="4" w:space="0"/>
                    <w:left w:val="single" w:color="auto" w:sz="2" w:space="0"/>
                    <w:bottom w:val="single" w:color="auto" w:sz="4" w:space="0"/>
                    <w:right w:val="nil"/>
                  </w:tcBorders>
                  <w:vAlign w:val="center"/>
                </w:tcPr>
                <w:p>
                  <w:pPr>
                    <w:pStyle w:val="59"/>
                    <w:tabs>
                      <w:tab w:val="left" w:pos="8100"/>
                    </w:tabs>
                    <w:adjustRightInd w:val="0"/>
                    <w:snapToGrid w:val="0"/>
                    <w:jc w:val="center"/>
                    <w:textAlignment w:val="auto"/>
                    <w:rPr>
                      <w:sz w:val="21"/>
                      <w:szCs w:val="21"/>
                    </w:rPr>
                  </w:pPr>
                  <w:r>
                    <w:rPr>
                      <w:sz w:val="21"/>
                      <w:szCs w:val="21"/>
                    </w:rPr>
                    <w:t>环卫清运</w:t>
                  </w:r>
                </w:p>
              </w:tc>
              <w:tc>
                <w:tcPr>
                  <w:tcW w:w="2455" w:type="dxa"/>
                  <w:vMerge w:val="continue"/>
                  <w:tcBorders>
                    <w:left w:val="single" w:color="auto" w:sz="4" w:space="0"/>
                    <w:right w:val="nil"/>
                  </w:tcBorders>
                  <w:vAlign w:val="center"/>
                </w:tcPr>
                <w:p>
                  <w:pPr>
                    <w:jc w:val="center"/>
                  </w:pPr>
                </w:p>
              </w:tc>
              <w:tc>
                <w:tcPr>
                  <w:tcW w:w="1331" w:type="dxa"/>
                  <w:vMerge w:val="continue"/>
                  <w:tcBorders>
                    <w:left w:val="single" w:color="auto" w:sz="4" w:space="0"/>
                    <w:right w:val="nil"/>
                  </w:tcBorders>
                  <w:vAlign w:val="center"/>
                </w:tcPr>
                <w:p>
                  <w:pPr>
                    <w:jc w:val="cente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left w:val="nil"/>
                    <w:bottom w:val="single" w:color="auto" w:sz="2" w:space="0"/>
                    <w:right w:val="single" w:color="auto" w:sz="4" w:space="0"/>
                  </w:tcBorders>
                  <w:vAlign w:val="center"/>
                </w:tcPr>
                <w:p>
                  <w:pPr>
                    <w:widowControl/>
                    <w:jc w:val="center"/>
                    <w:rPr>
                      <w:rFonts w:ascii="Calibri" w:hAnsi="Calibri"/>
                      <w:szCs w:val="21"/>
                    </w:rPr>
                  </w:pPr>
                </w:p>
              </w:tc>
              <w:tc>
                <w:tcPr>
                  <w:tcW w:w="0" w:type="auto"/>
                  <w:vMerge w:val="continue"/>
                  <w:tcBorders>
                    <w:left w:val="single" w:color="auto" w:sz="4" w:space="0"/>
                    <w:bottom w:val="single" w:color="auto" w:sz="4" w:space="0"/>
                    <w:right w:val="single" w:color="auto" w:sz="4" w:space="0"/>
                  </w:tcBorders>
                  <w:vAlign w:val="center"/>
                </w:tcPr>
                <w:p>
                  <w:pPr>
                    <w:adjustRightInd w:val="0"/>
                    <w:snapToGrid w:val="0"/>
                    <w:jc w:val="center"/>
                    <w:rPr>
                      <w:szCs w:val="21"/>
                    </w:rPr>
                  </w:pPr>
                </w:p>
              </w:tc>
              <w:tc>
                <w:tcPr>
                  <w:tcW w:w="2210" w:type="dxa"/>
                  <w:gridSpan w:val="2"/>
                  <w:tcBorders>
                    <w:top w:val="single" w:color="auto" w:sz="4" w:space="0"/>
                    <w:left w:val="single" w:color="auto" w:sz="4" w:space="0"/>
                    <w:bottom w:val="single" w:color="auto" w:sz="2" w:space="0"/>
                    <w:right w:val="single" w:color="auto" w:sz="2" w:space="0"/>
                  </w:tcBorders>
                  <w:vAlign w:val="center"/>
                </w:tcPr>
                <w:p>
                  <w:pPr>
                    <w:jc w:val="center"/>
                  </w:pPr>
                  <w:r>
                    <w:rPr>
                      <w:rFonts w:hint="eastAsia"/>
                    </w:rPr>
                    <w:t>危险废物</w:t>
                  </w:r>
                </w:p>
              </w:tc>
              <w:tc>
                <w:tcPr>
                  <w:tcW w:w="805" w:type="dxa"/>
                  <w:tcBorders>
                    <w:top w:val="single" w:color="auto" w:sz="4" w:space="0"/>
                    <w:left w:val="single" w:color="auto" w:sz="2" w:space="0"/>
                    <w:bottom w:val="single" w:color="auto" w:sz="4" w:space="0"/>
                    <w:right w:val="nil"/>
                  </w:tcBorders>
                  <w:vAlign w:val="center"/>
                </w:tcPr>
                <w:p>
                  <w:pPr>
                    <w:pStyle w:val="59"/>
                    <w:tabs>
                      <w:tab w:val="left" w:pos="8100"/>
                    </w:tabs>
                    <w:adjustRightInd w:val="0"/>
                    <w:snapToGrid w:val="0"/>
                    <w:jc w:val="center"/>
                    <w:textAlignment w:val="auto"/>
                    <w:rPr>
                      <w:sz w:val="21"/>
                      <w:szCs w:val="21"/>
                    </w:rPr>
                  </w:pPr>
                  <w:r>
                    <w:rPr>
                      <w:sz w:val="21"/>
                      <w:szCs w:val="21"/>
                    </w:rPr>
                    <w:t>委托有资质单位处置</w:t>
                  </w:r>
                </w:p>
              </w:tc>
              <w:tc>
                <w:tcPr>
                  <w:tcW w:w="2455" w:type="dxa"/>
                  <w:vMerge w:val="continue"/>
                  <w:tcBorders>
                    <w:left w:val="single" w:color="auto" w:sz="4" w:space="0"/>
                    <w:bottom w:val="single" w:color="auto" w:sz="4" w:space="0"/>
                    <w:right w:val="nil"/>
                  </w:tcBorders>
                  <w:vAlign w:val="center"/>
                </w:tcPr>
                <w:p>
                  <w:pPr>
                    <w:jc w:val="center"/>
                  </w:pPr>
                </w:p>
              </w:tc>
              <w:tc>
                <w:tcPr>
                  <w:tcW w:w="1331" w:type="dxa"/>
                  <w:vMerge w:val="continue"/>
                  <w:tcBorders>
                    <w:left w:val="single" w:color="auto" w:sz="4" w:space="0"/>
                    <w:bottom w:val="single" w:color="auto" w:sz="4" w:space="0"/>
                    <w:right w:val="nil"/>
                  </w:tcBorders>
                  <w:vAlign w:val="center"/>
                </w:tcPr>
                <w:p>
                  <w:pPr>
                    <w:jc w:val="center"/>
                  </w:pPr>
                </w:p>
              </w:tc>
            </w:tr>
          </w:tbl>
          <w:p>
            <w:pPr>
              <w:adjustRightInd w:val="0"/>
              <w:snapToGrid w:val="0"/>
              <w:spacing w:line="360" w:lineRule="auto"/>
              <w:rPr>
                <w:b/>
                <w:sz w:val="24"/>
              </w:rPr>
            </w:pPr>
            <w:r>
              <w:rPr>
                <w:rFonts w:hint="eastAsia"/>
                <w:b/>
                <w:sz w:val="24"/>
              </w:rPr>
              <w:t>4</w:t>
            </w:r>
            <w:r>
              <w:rPr>
                <w:b/>
                <w:sz w:val="24"/>
              </w:rPr>
              <w:t>、生产规模及产品方案</w:t>
            </w:r>
          </w:p>
          <w:p>
            <w:pPr>
              <w:adjustRightInd w:val="0"/>
              <w:snapToGrid w:val="0"/>
              <w:spacing w:line="300" w:lineRule="auto"/>
              <w:ind w:firstLine="480" w:firstLineChars="200"/>
              <w:rPr>
                <w:sz w:val="24"/>
              </w:rPr>
            </w:pPr>
            <w:r>
              <w:rPr>
                <w:sz w:val="24"/>
              </w:rPr>
              <w:t>项目产品方案见</w:t>
            </w:r>
            <w:r>
              <w:rPr>
                <w:rFonts w:hint="eastAsia"/>
                <w:sz w:val="24"/>
              </w:rPr>
              <w:t>下</w:t>
            </w:r>
            <w:r>
              <w:rPr>
                <w:sz w:val="24"/>
              </w:rPr>
              <w:t>表。</w:t>
            </w:r>
          </w:p>
          <w:p>
            <w:pPr>
              <w:adjustRightInd w:val="0"/>
              <w:snapToGrid w:val="0"/>
              <w:jc w:val="center"/>
              <w:rPr>
                <w:b/>
                <w:bCs/>
                <w:sz w:val="24"/>
              </w:rPr>
            </w:pPr>
            <w:r>
              <w:rPr>
                <w:b/>
                <w:bCs/>
                <w:sz w:val="24"/>
              </w:rPr>
              <w:t>表</w:t>
            </w:r>
            <w:r>
              <w:rPr>
                <w:rFonts w:hint="eastAsia"/>
                <w:b/>
                <w:bCs/>
                <w:sz w:val="24"/>
              </w:rPr>
              <w:t>2-3</w:t>
            </w:r>
            <w:r>
              <w:rPr>
                <w:b/>
                <w:bCs/>
                <w:sz w:val="24"/>
              </w:rPr>
              <w:t xml:space="preserve"> </w:t>
            </w:r>
            <w:r>
              <w:rPr>
                <w:rFonts w:hint="eastAsia"/>
                <w:b/>
                <w:bCs/>
                <w:sz w:val="24"/>
              </w:rPr>
              <w:t xml:space="preserve"> 全厂</w:t>
            </w:r>
            <w:r>
              <w:rPr>
                <w:b/>
                <w:bCs/>
                <w:sz w:val="24"/>
              </w:rPr>
              <w:t>产品方案</w:t>
            </w:r>
            <w:r>
              <w:rPr>
                <w:rFonts w:hint="eastAsia"/>
                <w:b/>
                <w:bCs/>
                <w:sz w:val="24"/>
              </w:rPr>
              <w:t>一览表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510"/>
              <w:gridCol w:w="1180"/>
              <w:gridCol w:w="3257"/>
              <w:gridCol w:w="1298"/>
              <w:gridCol w:w="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253" w:type="pct"/>
                  <w:tcBorders>
                    <w:top w:val="single" w:color="auto" w:sz="12" w:space="0"/>
                    <w:left w:val="nil"/>
                    <w:bottom w:val="single" w:color="auto" w:sz="4" w:space="0"/>
                    <w:right w:val="single" w:color="auto" w:sz="4" w:space="0"/>
                  </w:tcBorders>
                  <w:vAlign w:val="center"/>
                </w:tcPr>
                <w:p>
                  <w:pPr>
                    <w:adjustRightInd w:val="0"/>
                    <w:snapToGrid w:val="0"/>
                    <w:jc w:val="center"/>
                    <w:rPr>
                      <w:b/>
                      <w:bCs/>
                      <w:szCs w:val="21"/>
                    </w:rPr>
                  </w:pPr>
                  <w:r>
                    <w:rPr>
                      <w:b/>
                      <w:bCs/>
                      <w:szCs w:val="21"/>
                    </w:rPr>
                    <w:t>序号</w:t>
                  </w:r>
                </w:p>
              </w:tc>
              <w:tc>
                <w:tcPr>
                  <w:tcW w:w="898" w:type="pct"/>
                  <w:tcBorders>
                    <w:top w:val="single" w:color="auto" w:sz="12" w:space="0"/>
                    <w:left w:val="nil"/>
                    <w:bottom w:val="single" w:color="auto" w:sz="4" w:space="0"/>
                    <w:right w:val="single" w:color="auto" w:sz="4" w:space="0"/>
                  </w:tcBorders>
                  <w:vAlign w:val="center"/>
                </w:tcPr>
                <w:p>
                  <w:pPr>
                    <w:adjustRightInd w:val="0"/>
                    <w:snapToGrid w:val="0"/>
                    <w:jc w:val="center"/>
                    <w:rPr>
                      <w:b/>
                      <w:bCs/>
                      <w:szCs w:val="21"/>
                    </w:rPr>
                  </w:pPr>
                  <w:r>
                    <w:rPr>
                      <w:b/>
                      <w:bCs/>
                      <w:szCs w:val="21"/>
                    </w:rPr>
                    <w:t>工程名称（生产线或生产车间）</w:t>
                  </w:r>
                </w:p>
              </w:tc>
              <w:tc>
                <w:tcPr>
                  <w:tcW w:w="702" w:type="pct"/>
                  <w:tcBorders>
                    <w:top w:val="single" w:color="auto" w:sz="12" w:space="0"/>
                    <w:left w:val="nil"/>
                    <w:bottom w:val="single" w:color="auto" w:sz="4" w:space="0"/>
                    <w:right w:val="single" w:color="auto" w:sz="4" w:space="0"/>
                  </w:tcBorders>
                  <w:vAlign w:val="center"/>
                </w:tcPr>
                <w:p>
                  <w:pPr>
                    <w:adjustRightInd w:val="0"/>
                    <w:snapToGrid w:val="0"/>
                    <w:jc w:val="center"/>
                    <w:rPr>
                      <w:b/>
                      <w:bCs/>
                      <w:szCs w:val="21"/>
                    </w:rPr>
                  </w:pPr>
                  <w:r>
                    <w:rPr>
                      <w:b/>
                      <w:bCs/>
                      <w:szCs w:val="21"/>
                    </w:rPr>
                    <w:t>产品名称</w:t>
                  </w:r>
                </w:p>
              </w:tc>
              <w:tc>
                <w:tcPr>
                  <w:tcW w:w="1935" w:type="pct"/>
                  <w:tcBorders>
                    <w:top w:val="single" w:color="auto" w:sz="12" w:space="0"/>
                    <w:left w:val="nil"/>
                    <w:bottom w:val="single" w:color="auto" w:sz="4" w:space="0"/>
                    <w:right w:val="single" w:color="auto" w:sz="4" w:space="0"/>
                  </w:tcBorders>
                  <w:vAlign w:val="center"/>
                </w:tcPr>
                <w:p>
                  <w:pPr>
                    <w:adjustRightInd w:val="0"/>
                    <w:snapToGrid w:val="0"/>
                    <w:jc w:val="center"/>
                    <w:rPr>
                      <w:b/>
                      <w:bCs/>
                      <w:szCs w:val="21"/>
                      <w:highlight w:val="yellow"/>
                    </w:rPr>
                  </w:pPr>
                  <w:r>
                    <w:rPr>
                      <w:rFonts w:hint="eastAsia"/>
                      <w:b/>
                      <w:bCs/>
                      <w:szCs w:val="21"/>
                    </w:rPr>
                    <w:t>规格</w:t>
                  </w:r>
                </w:p>
              </w:tc>
              <w:tc>
                <w:tcPr>
                  <w:tcW w:w="771"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szCs w:val="21"/>
                    </w:rPr>
                  </w:pPr>
                  <w:r>
                    <w:rPr>
                      <w:b/>
                      <w:bCs/>
                      <w:szCs w:val="21"/>
                    </w:rPr>
                    <w:t>设计能力（单位/</w:t>
                  </w:r>
                  <w:r>
                    <w:rPr>
                      <w:rFonts w:ascii="宋体" w:hAnsi="宋体"/>
                      <w:b/>
                      <w:bCs/>
                      <w:szCs w:val="21"/>
                    </w:rPr>
                    <w:t>年）</w:t>
                  </w:r>
                </w:p>
              </w:tc>
              <w:tc>
                <w:tcPr>
                  <w:tcW w:w="440" w:type="pct"/>
                  <w:tcBorders>
                    <w:top w:val="single" w:color="auto" w:sz="12" w:space="0"/>
                    <w:left w:val="nil"/>
                    <w:bottom w:val="single" w:color="auto" w:sz="4" w:space="0"/>
                    <w:right w:val="nil"/>
                  </w:tcBorders>
                  <w:vAlign w:val="center"/>
                </w:tcPr>
                <w:p>
                  <w:pPr>
                    <w:adjustRightInd w:val="0"/>
                    <w:snapToGrid w:val="0"/>
                    <w:jc w:val="center"/>
                    <w:rPr>
                      <w:b/>
                      <w:bCs/>
                      <w:szCs w:val="21"/>
                    </w:rPr>
                  </w:pPr>
                  <w:r>
                    <w:rPr>
                      <w:b/>
                      <w:bCs/>
                      <w:szCs w:val="21"/>
                    </w:rPr>
                    <w:t>年运行时数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5" w:hRule="atLeast"/>
                <w:jc w:val="center"/>
              </w:trPr>
              <w:tc>
                <w:tcPr>
                  <w:tcW w:w="253" w:type="pct"/>
                  <w:tcBorders>
                    <w:top w:val="nil"/>
                    <w:left w:val="nil"/>
                    <w:bottom w:val="single" w:color="auto" w:sz="4" w:space="0"/>
                    <w:right w:val="single" w:color="auto" w:sz="4" w:space="0"/>
                  </w:tcBorders>
                  <w:vAlign w:val="center"/>
                </w:tcPr>
                <w:p>
                  <w:pPr>
                    <w:adjustRightInd w:val="0"/>
                    <w:snapToGrid w:val="0"/>
                    <w:jc w:val="center"/>
                    <w:rPr>
                      <w:szCs w:val="21"/>
                    </w:rPr>
                  </w:pPr>
                  <w:r>
                    <w:rPr>
                      <w:szCs w:val="21"/>
                    </w:rPr>
                    <w:t>1</w:t>
                  </w:r>
                </w:p>
              </w:tc>
              <w:tc>
                <w:tcPr>
                  <w:tcW w:w="898" w:type="pct"/>
                  <w:tcBorders>
                    <w:top w:val="nil"/>
                    <w:left w:val="nil"/>
                    <w:bottom w:val="single" w:color="auto" w:sz="4" w:space="0"/>
                    <w:right w:val="single" w:color="auto" w:sz="4" w:space="0"/>
                  </w:tcBorders>
                  <w:vAlign w:val="center"/>
                </w:tcPr>
                <w:p>
                  <w:pPr>
                    <w:adjustRightInd w:val="0"/>
                    <w:snapToGrid w:val="0"/>
                    <w:jc w:val="center"/>
                    <w:rPr>
                      <w:szCs w:val="21"/>
                    </w:rPr>
                  </w:pPr>
                  <w:r>
                    <w:rPr>
                      <w:rFonts w:hint="eastAsia"/>
                      <w:szCs w:val="21"/>
                    </w:rPr>
                    <w:t>连接器</w:t>
                  </w:r>
                  <w:r>
                    <w:rPr>
                      <w:szCs w:val="21"/>
                    </w:rPr>
                    <w:t>生产线</w:t>
                  </w:r>
                </w:p>
              </w:tc>
              <w:tc>
                <w:tcPr>
                  <w:tcW w:w="702" w:type="pct"/>
                  <w:tcBorders>
                    <w:top w:val="nil"/>
                    <w:left w:val="nil"/>
                    <w:right w:val="single" w:color="auto" w:sz="4" w:space="0"/>
                  </w:tcBorders>
                  <w:vAlign w:val="center"/>
                </w:tcPr>
                <w:p>
                  <w:pPr>
                    <w:adjustRightInd w:val="0"/>
                    <w:snapToGrid w:val="0"/>
                    <w:jc w:val="center"/>
                    <w:rPr>
                      <w:szCs w:val="21"/>
                    </w:rPr>
                  </w:pPr>
                  <w:r>
                    <w:rPr>
                      <w:rFonts w:hint="eastAsia"/>
                      <w:szCs w:val="21"/>
                    </w:rPr>
                    <w:t>连接器</w:t>
                  </w:r>
                </w:p>
              </w:tc>
              <w:tc>
                <w:tcPr>
                  <w:tcW w:w="1935" w:type="pct"/>
                  <w:tcBorders>
                    <w:top w:val="single" w:color="auto" w:sz="4" w:space="0"/>
                    <w:left w:val="nil"/>
                    <w:right w:val="single" w:color="auto" w:sz="4" w:space="0"/>
                  </w:tcBorders>
                  <w:vAlign w:val="center"/>
                </w:tcPr>
                <w:p>
                  <w:pPr>
                    <w:adjustRightInd w:val="0"/>
                    <w:snapToGrid w:val="0"/>
                    <w:jc w:val="center"/>
                    <w:rPr>
                      <w:szCs w:val="21"/>
                      <w:highlight w:val="yellow"/>
                    </w:rPr>
                  </w:pPr>
                  <w:r>
                    <w:rPr>
                      <w:rFonts w:hint="eastAsia"/>
                      <w:szCs w:val="21"/>
                    </w:rPr>
                    <w:t>插针、插孔等</w:t>
                  </w:r>
                </w:p>
              </w:tc>
              <w:tc>
                <w:tcPr>
                  <w:tcW w:w="771" w:type="pct"/>
                  <w:tcBorders>
                    <w:top w:val="single" w:color="auto" w:sz="4" w:space="0"/>
                    <w:left w:val="single" w:color="auto" w:sz="4" w:space="0"/>
                    <w:right w:val="single" w:color="auto" w:sz="4" w:space="0"/>
                  </w:tcBorders>
                  <w:vAlign w:val="center"/>
                </w:tcPr>
                <w:p>
                  <w:pPr>
                    <w:adjustRightInd w:val="0"/>
                    <w:snapToGrid w:val="0"/>
                    <w:jc w:val="center"/>
                    <w:rPr>
                      <w:szCs w:val="21"/>
                    </w:rPr>
                  </w:pPr>
                  <w:r>
                    <w:rPr>
                      <w:rFonts w:hint="eastAsia"/>
                      <w:szCs w:val="21"/>
                    </w:rPr>
                    <w:t>2000</w:t>
                  </w:r>
                  <w:r>
                    <w:rPr>
                      <w:rFonts w:hint="eastAsia" w:ascii="宋体" w:hAnsi="宋体"/>
                      <w:szCs w:val="21"/>
                    </w:rPr>
                    <w:t>万件</w:t>
                  </w:r>
                </w:p>
              </w:tc>
              <w:tc>
                <w:tcPr>
                  <w:tcW w:w="440" w:type="pct"/>
                  <w:tcBorders>
                    <w:top w:val="single" w:color="auto" w:sz="4" w:space="0"/>
                    <w:left w:val="nil"/>
                    <w:bottom w:val="single" w:color="auto" w:sz="4" w:space="0"/>
                    <w:right w:val="nil"/>
                  </w:tcBorders>
                  <w:vAlign w:val="center"/>
                </w:tcPr>
                <w:p>
                  <w:pPr>
                    <w:adjustRightInd w:val="0"/>
                    <w:snapToGrid w:val="0"/>
                    <w:jc w:val="center"/>
                    <w:rPr>
                      <w:szCs w:val="21"/>
                    </w:rPr>
                  </w:pPr>
                  <w:r>
                    <w:rPr>
                      <w:rFonts w:hint="eastAsia"/>
                      <w:szCs w:val="21"/>
                    </w:rPr>
                    <w:t>27</w:t>
                  </w:r>
                  <w:r>
                    <w:rPr>
                      <w:szCs w:val="21"/>
                    </w:rPr>
                    <w:t>00h</w:t>
                  </w:r>
                </w:p>
              </w:tc>
            </w:tr>
          </w:tbl>
          <w:p>
            <w:pPr>
              <w:adjustRightInd w:val="0"/>
              <w:snapToGrid w:val="0"/>
              <w:rPr>
                <w:b/>
                <w:color w:val="000000"/>
                <w:szCs w:val="21"/>
              </w:rPr>
            </w:pPr>
            <w:r>
              <w:rPr>
                <w:rFonts w:hint="eastAsia"/>
                <w:b/>
                <w:color w:val="000000"/>
                <w:szCs w:val="21"/>
              </w:rPr>
              <w:t>注：企业生产产品主要包括连接器中插针、插孔等，主要用于自行车、汽车、电动车、航天航空、信号器等；2000万件连接器重量约为2t。</w:t>
            </w:r>
          </w:p>
          <w:p>
            <w:pPr>
              <w:adjustRightInd w:val="0"/>
              <w:snapToGrid w:val="0"/>
              <w:spacing w:line="360" w:lineRule="auto"/>
              <w:rPr>
                <w:b/>
                <w:color w:val="000000"/>
                <w:sz w:val="24"/>
              </w:rPr>
            </w:pPr>
            <w:r>
              <w:rPr>
                <w:rFonts w:hint="eastAsia"/>
                <w:b/>
                <w:color w:val="000000"/>
                <w:sz w:val="24"/>
              </w:rPr>
              <w:t>5</w:t>
            </w:r>
            <w:r>
              <w:rPr>
                <w:b/>
                <w:color w:val="000000"/>
                <w:sz w:val="24"/>
              </w:rPr>
              <w:t>、</w:t>
            </w:r>
            <w:r>
              <w:rPr>
                <w:rFonts w:hint="eastAsia"/>
                <w:b/>
                <w:color w:val="000000"/>
                <w:sz w:val="24"/>
              </w:rPr>
              <w:t>设备清单</w:t>
            </w:r>
          </w:p>
          <w:p>
            <w:pPr>
              <w:spacing w:line="360" w:lineRule="auto"/>
              <w:ind w:firstLine="480" w:firstLineChars="200"/>
              <w:rPr>
                <w:color w:val="000000"/>
                <w:sz w:val="24"/>
              </w:rPr>
            </w:pPr>
            <w:r>
              <w:rPr>
                <w:rFonts w:hint="eastAsia"/>
                <w:color w:val="000000"/>
                <w:sz w:val="24"/>
              </w:rPr>
              <w:t>本项目主要生产设备见下表：</w:t>
            </w:r>
          </w:p>
          <w:p>
            <w:pPr>
              <w:adjustRightInd w:val="0"/>
              <w:snapToGrid w:val="0"/>
              <w:jc w:val="center"/>
              <w:rPr>
                <w:b/>
                <w:bCs/>
                <w:sz w:val="24"/>
              </w:rPr>
            </w:pPr>
            <w:r>
              <w:rPr>
                <w:b/>
                <w:bCs/>
                <w:sz w:val="24"/>
              </w:rPr>
              <w:t>表</w:t>
            </w:r>
            <w:r>
              <w:rPr>
                <w:rFonts w:hint="eastAsia"/>
                <w:b/>
                <w:bCs/>
                <w:sz w:val="24"/>
              </w:rPr>
              <w:t>2-4</w:t>
            </w:r>
            <w:r>
              <w:rPr>
                <w:b/>
                <w:bCs/>
                <w:sz w:val="24"/>
              </w:rPr>
              <w:t xml:space="preserve"> </w:t>
            </w:r>
            <w:r>
              <w:rPr>
                <w:rFonts w:hint="eastAsia"/>
                <w:b/>
                <w:bCs/>
                <w:sz w:val="24"/>
              </w:rPr>
              <w:t xml:space="preserve"> </w:t>
            </w:r>
            <w:r>
              <w:rPr>
                <w:b/>
                <w:bCs/>
                <w:sz w:val="24"/>
              </w:rPr>
              <w:t>主要设施规格、数量状况</w:t>
            </w:r>
          </w:p>
          <w:tbl>
            <w:tblPr>
              <w:tblStyle w:val="22"/>
              <w:tblW w:w="5000"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97"/>
              <w:gridCol w:w="2175"/>
              <w:gridCol w:w="1835"/>
              <w:gridCol w:w="1654"/>
              <w:gridCol w:w="2062"/>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4" w:type="pct"/>
                  <w:tcBorders>
                    <w:top w:val="single" w:color="000000" w:sz="12" w:space="0"/>
                    <w:left w:val="nil"/>
                    <w:bottom w:val="single" w:color="000000" w:sz="4" w:space="0"/>
                    <w:right w:val="single" w:color="000000" w:sz="4" w:space="0"/>
                  </w:tcBorders>
                  <w:vAlign w:val="center"/>
                </w:tcPr>
                <w:p>
                  <w:pPr>
                    <w:adjustRightInd w:val="0"/>
                    <w:snapToGrid w:val="0"/>
                    <w:jc w:val="center"/>
                    <w:rPr>
                      <w:b/>
                      <w:bCs/>
                      <w:szCs w:val="21"/>
                    </w:rPr>
                  </w:pPr>
                  <w:r>
                    <w:rPr>
                      <w:b/>
                      <w:bCs/>
                    </w:rPr>
                    <w:t>序号</w:t>
                  </w:r>
                </w:p>
              </w:tc>
              <w:tc>
                <w:tcPr>
                  <w:tcW w:w="1291" w:type="pc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名称</w:t>
                  </w:r>
                </w:p>
              </w:tc>
              <w:tc>
                <w:tcPr>
                  <w:tcW w:w="1089" w:type="pc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规格、型号</w:t>
                  </w:r>
                </w:p>
              </w:tc>
              <w:tc>
                <w:tcPr>
                  <w:tcW w:w="982" w:type="pct"/>
                  <w:tcBorders>
                    <w:top w:val="single" w:color="000000" w:sz="12" w:space="0"/>
                    <w:left w:val="single" w:color="000000" w:sz="4" w:space="0"/>
                    <w:bottom w:val="single" w:color="auto" w:sz="4" w:space="0"/>
                    <w:right w:val="single" w:color="000000" w:sz="4" w:space="0"/>
                  </w:tcBorders>
                  <w:vAlign w:val="center"/>
                </w:tcPr>
                <w:p>
                  <w:pPr>
                    <w:adjustRightInd w:val="0"/>
                    <w:snapToGrid w:val="0"/>
                    <w:jc w:val="center"/>
                    <w:rPr>
                      <w:b/>
                      <w:bCs/>
                      <w:szCs w:val="21"/>
                    </w:rPr>
                  </w:pPr>
                  <w:r>
                    <w:rPr>
                      <w:b/>
                      <w:bCs/>
                    </w:rPr>
                    <w:t>数量（台/套）</w:t>
                  </w:r>
                </w:p>
              </w:tc>
              <w:tc>
                <w:tcPr>
                  <w:tcW w:w="1224" w:type="pct"/>
                  <w:tcBorders>
                    <w:top w:val="single" w:color="000000" w:sz="12" w:space="0"/>
                    <w:left w:val="single" w:color="000000" w:sz="4" w:space="0"/>
                    <w:bottom w:val="single" w:color="auto" w:sz="4" w:space="0"/>
                    <w:right w:val="nil"/>
                  </w:tcBorders>
                  <w:vAlign w:val="center"/>
                </w:tcPr>
                <w:p>
                  <w:pPr>
                    <w:adjustRightInd w:val="0"/>
                    <w:snapToGrid w:val="0"/>
                    <w:jc w:val="center"/>
                    <w:rPr>
                      <w:b/>
                      <w:bCs/>
                      <w:szCs w:val="21"/>
                    </w:rPr>
                  </w:pPr>
                  <w:r>
                    <w:rPr>
                      <w:b/>
                      <w:bCs/>
                    </w:rPr>
                    <w:t>工序</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4" w:type="pct"/>
                  <w:tcBorders>
                    <w:top w:val="single" w:color="000000" w:sz="4" w:space="0"/>
                    <w:left w:val="nil"/>
                    <w:bottom w:val="single" w:color="000000" w:sz="4" w:space="0"/>
                    <w:right w:val="single" w:color="000000" w:sz="4" w:space="0"/>
                  </w:tcBorders>
                  <w:vAlign w:val="center"/>
                </w:tcPr>
                <w:p>
                  <w:pPr>
                    <w:widowControl/>
                    <w:jc w:val="center"/>
                    <w:rPr>
                      <w:szCs w:val="21"/>
                    </w:rPr>
                  </w:pPr>
                  <w:r>
                    <w:rPr>
                      <w:szCs w:val="21"/>
                    </w:rPr>
                    <w:t>1</w:t>
                  </w:r>
                </w:p>
              </w:tc>
              <w:tc>
                <w:tcPr>
                  <w:tcW w:w="1291"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车床</w:t>
                  </w:r>
                </w:p>
              </w:tc>
              <w:tc>
                <w:tcPr>
                  <w:tcW w:w="1089" w:type="pct"/>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szCs w:val="21"/>
                    </w:rPr>
                  </w:pPr>
                  <w:r>
                    <w:rPr>
                      <w:rFonts w:hint="eastAsia"/>
                      <w:szCs w:val="21"/>
                    </w:rPr>
                    <w:t>CG1107型、CM1113型、CO620型、KS-09型、C6136E-3型等</w:t>
                  </w:r>
                </w:p>
              </w:tc>
              <w:tc>
                <w:tcPr>
                  <w:tcW w:w="982" w:type="pct"/>
                  <w:tcBorders>
                    <w:top w:val="single" w:color="000000" w:sz="4" w:space="0"/>
                    <w:left w:val="single" w:color="000000" w:sz="4" w:space="0"/>
                    <w:bottom w:val="single" w:color="auto" w:sz="4" w:space="0"/>
                    <w:right w:val="single" w:color="000000" w:sz="4" w:space="0"/>
                  </w:tcBorders>
                  <w:vAlign w:val="center"/>
                </w:tcPr>
                <w:p>
                  <w:pPr>
                    <w:widowControl/>
                    <w:jc w:val="center"/>
                    <w:rPr>
                      <w:szCs w:val="21"/>
                    </w:rPr>
                  </w:pPr>
                  <w:r>
                    <w:rPr>
                      <w:rFonts w:hint="eastAsia"/>
                      <w:szCs w:val="21"/>
                    </w:rPr>
                    <w:t>90</w:t>
                  </w:r>
                </w:p>
              </w:tc>
              <w:tc>
                <w:tcPr>
                  <w:tcW w:w="1224" w:type="pct"/>
                  <w:vMerge w:val="restart"/>
                  <w:tcBorders>
                    <w:top w:val="single" w:color="000000" w:sz="4" w:space="0"/>
                    <w:left w:val="single" w:color="000000" w:sz="4" w:space="0"/>
                    <w:right w:val="nil"/>
                  </w:tcBorders>
                  <w:vAlign w:val="center"/>
                </w:tcPr>
                <w:p>
                  <w:pPr>
                    <w:spacing w:line="320" w:lineRule="exact"/>
                    <w:jc w:val="center"/>
                    <w:rPr>
                      <w:szCs w:val="21"/>
                    </w:rPr>
                  </w:pPr>
                  <w:r>
                    <w:rPr>
                      <w:rFonts w:hint="eastAsia"/>
                      <w:szCs w:val="21"/>
                    </w:rPr>
                    <w:t>车加工</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4" w:type="pct"/>
                  <w:tcBorders>
                    <w:top w:val="single" w:color="000000" w:sz="4" w:space="0"/>
                    <w:left w:val="nil"/>
                    <w:bottom w:val="single" w:color="000000" w:sz="4" w:space="0"/>
                    <w:right w:val="single" w:color="000000" w:sz="4" w:space="0"/>
                  </w:tcBorders>
                  <w:vAlign w:val="center"/>
                </w:tcPr>
                <w:p>
                  <w:pPr>
                    <w:widowControl/>
                    <w:jc w:val="center"/>
                    <w:rPr>
                      <w:szCs w:val="21"/>
                    </w:rPr>
                  </w:pPr>
                  <w:r>
                    <w:rPr>
                      <w:rFonts w:hint="eastAsia"/>
                      <w:szCs w:val="21"/>
                    </w:rPr>
                    <w:t>2</w:t>
                  </w:r>
                </w:p>
              </w:tc>
              <w:tc>
                <w:tcPr>
                  <w:tcW w:w="1291"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钻床</w:t>
                  </w:r>
                </w:p>
              </w:tc>
              <w:tc>
                <w:tcPr>
                  <w:tcW w:w="1089" w:type="pct"/>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szCs w:val="21"/>
                    </w:rPr>
                  </w:pPr>
                  <w:r>
                    <w:rPr>
                      <w:rFonts w:hint="eastAsia"/>
                      <w:szCs w:val="21"/>
                    </w:rPr>
                    <w:t>/</w:t>
                  </w:r>
                </w:p>
              </w:tc>
              <w:tc>
                <w:tcPr>
                  <w:tcW w:w="982"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2</w:t>
                  </w:r>
                </w:p>
              </w:tc>
              <w:tc>
                <w:tcPr>
                  <w:tcW w:w="1224" w:type="pct"/>
                  <w:vMerge w:val="continue"/>
                  <w:tcBorders>
                    <w:left w:val="single" w:color="000000" w:sz="4" w:space="0"/>
                    <w:right w:val="nil"/>
                  </w:tcBorders>
                </w:tcPr>
                <w:p>
                  <w:pPr>
                    <w:spacing w:line="320" w:lineRule="exact"/>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4" w:type="pct"/>
                  <w:tcBorders>
                    <w:top w:val="single" w:color="000000" w:sz="4" w:space="0"/>
                    <w:left w:val="nil"/>
                    <w:bottom w:val="single" w:color="000000" w:sz="4" w:space="0"/>
                    <w:right w:val="single" w:color="000000" w:sz="4" w:space="0"/>
                  </w:tcBorders>
                  <w:vAlign w:val="center"/>
                </w:tcPr>
                <w:p>
                  <w:pPr>
                    <w:widowControl/>
                    <w:jc w:val="center"/>
                    <w:rPr>
                      <w:szCs w:val="21"/>
                    </w:rPr>
                  </w:pPr>
                  <w:r>
                    <w:rPr>
                      <w:rFonts w:hint="eastAsia"/>
                      <w:szCs w:val="21"/>
                    </w:rPr>
                    <w:t>3</w:t>
                  </w:r>
                </w:p>
              </w:tc>
              <w:tc>
                <w:tcPr>
                  <w:tcW w:w="1291"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离心机</w:t>
                  </w:r>
                </w:p>
              </w:tc>
              <w:tc>
                <w:tcPr>
                  <w:tcW w:w="1089" w:type="pct"/>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szCs w:val="21"/>
                    </w:rPr>
                  </w:pPr>
                  <w:r>
                    <w:rPr>
                      <w:rFonts w:hint="eastAsia"/>
                      <w:szCs w:val="21"/>
                    </w:rPr>
                    <w:t>/</w:t>
                  </w:r>
                </w:p>
              </w:tc>
              <w:tc>
                <w:tcPr>
                  <w:tcW w:w="982"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2</w:t>
                  </w:r>
                </w:p>
              </w:tc>
              <w:tc>
                <w:tcPr>
                  <w:tcW w:w="1224" w:type="pct"/>
                  <w:vMerge w:val="restart"/>
                  <w:tcBorders>
                    <w:top w:val="single" w:color="auto" w:sz="4" w:space="0"/>
                    <w:left w:val="single" w:color="000000" w:sz="4" w:space="0"/>
                    <w:right w:val="nil"/>
                  </w:tcBorders>
                  <w:vAlign w:val="center"/>
                </w:tcPr>
                <w:p>
                  <w:pPr>
                    <w:spacing w:line="320" w:lineRule="exact"/>
                    <w:jc w:val="center"/>
                    <w:rPr>
                      <w:szCs w:val="21"/>
                    </w:rPr>
                  </w:pPr>
                  <w:r>
                    <w:rPr>
                      <w:rFonts w:hint="eastAsia"/>
                      <w:szCs w:val="21"/>
                    </w:rPr>
                    <w:t>研磨清洗</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4" w:type="pct"/>
                  <w:tcBorders>
                    <w:top w:val="single" w:color="000000" w:sz="4" w:space="0"/>
                    <w:left w:val="nil"/>
                    <w:bottom w:val="single" w:color="000000" w:sz="4" w:space="0"/>
                    <w:right w:val="single" w:color="000000" w:sz="4" w:space="0"/>
                  </w:tcBorders>
                  <w:vAlign w:val="center"/>
                </w:tcPr>
                <w:p>
                  <w:pPr>
                    <w:widowControl/>
                    <w:jc w:val="center"/>
                    <w:rPr>
                      <w:szCs w:val="21"/>
                    </w:rPr>
                  </w:pPr>
                  <w:r>
                    <w:rPr>
                      <w:rFonts w:hint="eastAsia"/>
                      <w:szCs w:val="21"/>
                    </w:rPr>
                    <w:t>4</w:t>
                  </w:r>
                </w:p>
              </w:tc>
              <w:tc>
                <w:tcPr>
                  <w:tcW w:w="1291"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磁力抛光机</w:t>
                  </w:r>
                </w:p>
              </w:tc>
              <w:tc>
                <w:tcPr>
                  <w:tcW w:w="1089" w:type="pct"/>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szCs w:val="21"/>
                    </w:rPr>
                  </w:pPr>
                  <w:r>
                    <w:rPr>
                      <w:rFonts w:hint="eastAsia"/>
                      <w:szCs w:val="21"/>
                    </w:rPr>
                    <w:t>/</w:t>
                  </w:r>
                </w:p>
              </w:tc>
              <w:tc>
                <w:tcPr>
                  <w:tcW w:w="982"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1</w:t>
                  </w:r>
                </w:p>
              </w:tc>
              <w:tc>
                <w:tcPr>
                  <w:tcW w:w="1224" w:type="pct"/>
                  <w:vMerge w:val="continue"/>
                  <w:tcBorders>
                    <w:left w:val="single" w:color="000000" w:sz="4" w:space="0"/>
                    <w:bottom w:val="single" w:color="auto" w:sz="4" w:space="0"/>
                    <w:right w:val="nil"/>
                  </w:tcBorders>
                </w:tcPr>
                <w:p>
                  <w:pPr>
                    <w:spacing w:line="320" w:lineRule="exact"/>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40" w:hRule="atLeast"/>
                <w:jc w:val="center"/>
              </w:trPr>
              <w:tc>
                <w:tcPr>
                  <w:tcW w:w="414" w:type="pct"/>
                  <w:tcBorders>
                    <w:top w:val="single" w:color="000000" w:sz="4" w:space="0"/>
                    <w:left w:val="nil"/>
                    <w:bottom w:val="single" w:color="000000" w:sz="4" w:space="0"/>
                    <w:right w:val="single" w:color="000000" w:sz="4" w:space="0"/>
                  </w:tcBorders>
                  <w:vAlign w:val="center"/>
                </w:tcPr>
                <w:p>
                  <w:pPr>
                    <w:widowControl/>
                    <w:jc w:val="center"/>
                    <w:rPr>
                      <w:szCs w:val="21"/>
                    </w:rPr>
                  </w:pPr>
                  <w:r>
                    <w:rPr>
                      <w:rFonts w:hint="eastAsia"/>
                      <w:szCs w:val="21"/>
                    </w:rPr>
                    <w:t>5</w:t>
                  </w:r>
                </w:p>
              </w:tc>
              <w:tc>
                <w:tcPr>
                  <w:tcW w:w="1291"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焊接机</w:t>
                  </w:r>
                </w:p>
              </w:tc>
              <w:tc>
                <w:tcPr>
                  <w:tcW w:w="1089" w:type="pct"/>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szCs w:val="21"/>
                    </w:rPr>
                  </w:pPr>
                  <w:r>
                    <w:rPr>
                      <w:rFonts w:hint="eastAsia"/>
                      <w:szCs w:val="21"/>
                    </w:rPr>
                    <w:t>/</w:t>
                  </w:r>
                </w:p>
              </w:tc>
              <w:tc>
                <w:tcPr>
                  <w:tcW w:w="982"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1</w:t>
                  </w:r>
                </w:p>
              </w:tc>
              <w:tc>
                <w:tcPr>
                  <w:tcW w:w="1224" w:type="pct"/>
                  <w:tcBorders>
                    <w:top w:val="single" w:color="auto" w:sz="4" w:space="0"/>
                    <w:left w:val="single" w:color="000000" w:sz="4" w:space="0"/>
                    <w:bottom w:val="single" w:color="auto" w:sz="4" w:space="0"/>
                    <w:right w:val="nil"/>
                  </w:tcBorders>
                </w:tcPr>
                <w:p>
                  <w:pPr>
                    <w:spacing w:line="320" w:lineRule="exact"/>
                    <w:jc w:val="center"/>
                    <w:rPr>
                      <w:szCs w:val="21"/>
                    </w:rPr>
                  </w:pPr>
                  <w:r>
                    <w:rPr>
                      <w:rFonts w:hint="eastAsia"/>
                      <w:szCs w:val="21"/>
                    </w:rPr>
                    <w:t>焊接</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414" w:type="pct"/>
                  <w:tcBorders>
                    <w:top w:val="single" w:color="000000" w:sz="4" w:space="0"/>
                    <w:left w:val="nil"/>
                    <w:bottom w:val="single" w:color="000000" w:sz="4" w:space="0"/>
                    <w:right w:val="single" w:color="000000" w:sz="4" w:space="0"/>
                  </w:tcBorders>
                  <w:vAlign w:val="center"/>
                </w:tcPr>
                <w:p>
                  <w:pPr>
                    <w:widowControl/>
                    <w:jc w:val="center"/>
                    <w:rPr>
                      <w:szCs w:val="21"/>
                    </w:rPr>
                  </w:pPr>
                  <w:r>
                    <w:rPr>
                      <w:rFonts w:hint="eastAsia"/>
                      <w:szCs w:val="21"/>
                    </w:rPr>
                    <w:t>6</w:t>
                  </w:r>
                </w:p>
              </w:tc>
              <w:tc>
                <w:tcPr>
                  <w:tcW w:w="1291"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电烤箱</w:t>
                  </w:r>
                </w:p>
              </w:tc>
              <w:tc>
                <w:tcPr>
                  <w:tcW w:w="1089" w:type="pct"/>
                  <w:tcBorders>
                    <w:top w:val="single" w:color="000000" w:sz="4" w:space="0"/>
                    <w:left w:val="single" w:color="000000" w:sz="4" w:space="0"/>
                    <w:bottom w:val="single" w:color="000000" w:sz="4" w:space="0"/>
                    <w:right w:val="single" w:color="000000" w:sz="4" w:space="0"/>
                  </w:tcBorders>
                  <w:vAlign w:val="center"/>
                </w:tcPr>
                <w:p>
                  <w:pPr>
                    <w:spacing w:line="320" w:lineRule="exact"/>
                    <w:jc w:val="center"/>
                    <w:rPr>
                      <w:szCs w:val="21"/>
                    </w:rPr>
                  </w:pPr>
                  <w:r>
                    <w:rPr>
                      <w:rFonts w:hint="eastAsia"/>
                      <w:szCs w:val="21"/>
                    </w:rPr>
                    <w:t>/</w:t>
                  </w:r>
                </w:p>
              </w:tc>
              <w:tc>
                <w:tcPr>
                  <w:tcW w:w="982" w:type="pct"/>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r>
                    <w:rPr>
                      <w:rFonts w:hint="eastAsia"/>
                      <w:szCs w:val="21"/>
                    </w:rPr>
                    <w:t>1</w:t>
                  </w:r>
                </w:p>
              </w:tc>
              <w:tc>
                <w:tcPr>
                  <w:tcW w:w="1224" w:type="pct"/>
                  <w:tcBorders>
                    <w:top w:val="single" w:color="auto" w:sz="4" w:space="0"/>
                    <w:left w:val="single" w:color="000000" w:sz="4" w:space="0"/>
                    <w:bottom w:val="single" w:color="auto" w:sz="4" w:space="0"/>
                    <w:right w:val="nil"/>
                  </w:tcBorders>
                </w:tcPr>
                <w:p>
                  <w:pPr>
                    <w:spacing w:line="320" w:lineRule="exact"/>
                    <w:jc w:val="center"/>
                    <w:rPr>
                      <w:szCs w:val="21"/>
                    </w:rPr>
                  </w:pPr>
                  <w:r>
                    <w:rPr>
                      <w:rFonts w:hint="eastAsia"/>
                      <w:szCs w:val="21"/>
                    </w:rPr>
                    <w:t>烘干</w:t>
                  </w:r>
                </w:p>
              </w:tc>
            </w:tr>
          </w:tbl>
          <w:p>
            <w:pPr>
              <w:adjustRightInd w:val="0"/>
              <w:snapToGrid w:val="0"/>
              <w:spacing w:line="360" w:lineRule="auto"/>
              <w:rPr>
                <w:b/>
                <w:color w:val="000000"/>
                <w:sz w:val="24"/>
              </w:rPr>
            </w:pPr>
            <w:r>
              <w:rPr>
                <w:rFonts w:hint="eastAsia"/>
                <w:b/>
                <w:color w:val="000000"/>
                <w:sz w:val="24"/>
              </w:rPr>
              <w:t>7</w:t>
            </w:r>
            <w:r>
              <w:rPr>
                <w:b/>
                <w:color w:val="000000"/>
                <w:sz w:val="24"/>
              </w:rPr>
              <w:t>、</w:t>
            </w:r>
            <w:r>
              <w:rPr>
                <w:rFonts w:hint="eastAsia"/>
                <w:b/>
                <w:color w:val="000000"/>
                <w:sz w:val="24"/>
              </w:rPr>
              <w:t>主要原辅材料</w:t>
            </w:r>
          </w:p>
          <w:p>
            <w:pPr>
              <w:spacing w:line="360" w:lineRule="auto"/>
              <w:ind w:firstLine="480" w:firstLineChars="200"/>
              <w:rPr>
                <w:color w:val="000000"/>
                <w:sz w:val="24"/>
              </w:rPr>
            </w:pPr>
            <w:r>
              <w:rPr>
                <w:rFonts w:hint="eastAsia"/>
                <w:color w:val="000000"/>
                <w:sz w:val="24"/>
              </w:rPr>
              <w:t>本项目主要原辅材料及年用量见下表：</w:t>
            </w:r>
          </w:p>
          <w:p>
            <w:pPr>
              <w:tabs>
                <w:tab w:val="center" w:pos="4393"/>
                <w:tab w:val="left" w:pos="7140"/>
              </w:tabs>
              <w:jc w:val="center"/>
              <w:rPr>
                <w:b/>
                <w:bCs/>
                <w:sz w:val="24"/>
              </w:rPr>
            </w:pPr>
            <w:r>
              <w:rPr>
                <w:b/>
                <w:bCs/>
                <w:sz w:val="24"/>
              </w:rPr>
              <w:t>表</w:t>
            </w:r>
            <w:r>
              <w:rPr>
                <w:rFonts w:hint="eastAsia"/>
                <w:b/>
                <w:bCs/>
                <w:sz w:val="24"/>
              </w:rPr>
              <w:t>2-5</w:t>
            </w:r>
            <w:r>
              <w:rPr>
                <w:b/>
                <w:bCs/>
                <w:sz w:val="24"/>
              </w:rPr>
              <w:t xml:space="preserve"> </w:t>
            </w:r>
            <w:r>
              <w:rPr>
                <w:rFonts w:hint="eastAsia"/>
                <w:b/>
                <w:bCs/>
                <w:sz w:val="24"/>
              </w:rPr>
              <w:t xml:space="preserve"> </w:t>
            </w:r>
            <w:r>
              <w:rPr>
                <w:b/>
                <w:bCs/>
                <w:sz w:val="24"/>
              </w:rPr>
              <w:t>主要原辅材料消耗状况</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7"/>
              <w:gridCol w:w="1383"/>
              <w:gridCol w:w="1993"/>
              <w:gridCol w:w="1051"/>
              <w:gridCol w:w="1038"/>
              <w:gridCol w:w="1149"/>
              <w:gridCol w:w="114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 w:type="pct"/>
                  <w:vAlign w:val="center"/>
                </w:tcPr>
                <w:p>
                  <w:pPr>
                    <w:adjustRightInd w:val="0"/>
                    <w:snapToGrid w:val="0"/>
                    <w:jc w:val="center"/>
                    <w:rPr>
                      <w:b/>
                      <w:bCs/>
                      <w:szCs w:val="21"/>
                    </w:rPr>
                  </w:pPr>
                  <w:r>
                    <w:rPr>
                      <w:b/>
                      <w:bCs/>
                      <w:szCs w:val="21"/>
                    </w:rPr>
                    <w:t>序号</w:t>
                  </w:r>
                </w:p>
              </w:tc>
              <w:tc>
                <w:tcPr>
                  <w:tcW w:w="821" w:type="pct"/>
                  <w:vAlign w:val="center"/>
                </w:tcPr>
                <w:p>
                  <w:pPr>
                    <w:adjustRightInd w:val="0"/>
                    <w:snapToGrid w:val="0"/>
                    <w:jc w:val="center"/>
                    <w:rPr>
                      <w:b/>
                      <w:bCs/>
                      <w:szCs w:val="21"/>
                    </w:rPr>
                  </w:pPr>
                  <w:r>
                    <w:rPr>
                      <w:b/>
                      <w:bCs/>
                      <w:szCs w:val="21"/>
                    </w:rPr>
                    <w:t>名称</w:t>
                  </w:r>
                </w:p>
              </w:tc>
              <w:tc>
                <w:tcPr>
                  <w:tcW w:w="1183" w:type="pct"/>
                  <w:vAlign w:val="center"/>
                </w:tcPr>
                <w:p>
                  <w:pPr>
                    <w:adjustRightInd w:val="0"/>
                    <w:snapToGrid w:val="0"/>
                    <w:jc w:val="center"/>
                    <w:rPr>
                      <w:b/>
                      <w:bCs/>
                      <w:szCs w:val="21"/>
                    </w:rPr>
                  </w:pPr>
                  <w:r>
                    <w:rPr>
                      <w:b/>
                      <w:bCs/>
                      <w:szCs w:val="21"/>
                    </w:rPr>
                    <w:t>规格组分</w:t>
                  </w:r>
                </w:p>
              </w:tc>
              <w:tc>
                <w:tcPr>
                  <w:tcW w:w="624" w:type="pct"/>
                  <w:vAlign w:val="center"/>
                </w:tcPr>
                <w:p>
                  <w:pPr>
                    <w:adjustRightInd w:val="0"/>
                    <w:snapToGrid w:val="0"/>
                    <w:jc w:val="center"/>
                    <w:rPr>
                      <w:b/>
                      <w:bCs/>
                      <w:szCs w:val="21"/>
                    </w:rPr>
                  </w:pPr>
                  <w:r>
                    <w:rPr>
                      <w:b/>
                      <w:bCs/>
                      <w:szCs w:val="21"/>
                    </w:rPr>
                    <w:t>包装</w:t>
                  </w:r>
                </w:p>
              </w:tc>
              <w:tc>
                <w:tcPr>
                  <w:tcW w:w="616" w:type="pct"/>
                  <w:vAlign w:val="center"/>
                </w:tcPr>
                <w:p>
                  <w:pPr>
                    <w:adjustRightInd w:val="0"/>
                    <w:snapToGrid w:val="0"/>
                    <w:jc w:val="center"/>
                    <w:rPr>
                      <w:b/>
                      <w:bCs/>
                      <w:szCs w:val="21"/>
                    </w:rPr>
                  </w:pPr>
                  <w:r>
                    <w:rPr>
                      <w:rFonts w:hint="eastAsia"/>
                      <w:b/>
                      <w:bCs/>
                      <w:szCs w:val="21"/>
                    </w:rPr>
                    <w:t>消耗量（单位）</w:t>
                  </w:r>
                </w:p>
              </w:tc>
              <w:tc>
                <w:tcPr>
                  <w:tcW w:w="682" w:type="pct"/>
                  <w:vAlign w:val="center"/>
                </w:tcPr>
                <w:p>
                  <w:pPr>
                    <w:adjustRightInd w:val="0"/>
                    <w:snapToGrid w:val="0"/>
                    <w:jc w:val="center"/>
                    <w:rPr>
                      <w:rFonts w:hint="eastAsia" w:eastAsia="宋体"/>
                      <w:b/>
                      <w:bCs/>
                      <w:szCs w:val="21"/>
                      <w:lang w:eastAsia="zh-CN"/>
                    </w:rPr>
                  </w:pPr>
                  <w:r>
                    <w:rPr>
                      <w:rFonts w:hint="eastAsia"/>
                      <w:b/>
                      <w:bCs/>
                      <w:szCs w:val="21"/>
                      <w:lang w:eastAsia="zh-CN"/>
                    </w:rPr>
                    <w:t>最大储存量（单位）</w:t>
                  </w:r>
                </w:p>
              </w:tc>
              <w:tc>
                <w:tcPr>
                  <w:tcW w:w="682" w:type="pct"/>
                  <w:vAlign w:val="center"/>
                </w:tcPr>
                <w:p>
                  <w:pPr>
                    <w:adjustRightInd w:val="0"/>
                    <w:snapToGrid w:val="0"/>
                    <w:jc w:val="center"/>
                    <w:rPr>
                      <w:b/>
                      <w:bCs/>
                      <w:szCs w:val="21"/>
                    </w:rPr>
                  </w:pPr>
                  <w:r>
                    <w:rPr>
                      <w:b/>
                      <w:bCs/>
                      <w:szCs w:val="21"/>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 w:type="pct"/>
                  <w:vAlign w:val="center"/>
                </w:tcPr>
                <w:p>
                  <w:pPr>
                    <w:adjustRightInd w:val="0"/>
                    <w:snapToGrid w:val="0"/>
                    <w:jc w:val="center"/>
                    <w:rPr>
                      <w:szCs w:val="21"/>
                    </w:rPr>
                  </w:pPr>
                  <w:r>
                    <w:rPr>
                      <w:szCs w:val="21"/>
                    </w:rPr>
                    <w:t>1</w:t>
                  </w:r>
                </w:p>
              </w:tc>
              <w:tc>
                <w:tcPr>
                  <w:tcW w:w="821" w:type="pct"/>
                  <w:vAlign w:val="center"/>
                </w:tcPr>
                <w:p>
                  <w:pPr>
                    <w:adjustRightInd w:val="0"/>
                    <w:snapToGrid w:val="0"/>
                    <w:jc w:val="center"/>
                    <w:rPr>
                      <w:szCs w:val="21"/>
                    </w:rPr>
                  </w:pPr>
                  <w:r>
                    <w:rPr>
                      <w:rFonts w:hint="eastAsia"/>
                      <w:szCs w:val="21"/>
                    </w:rPr>
                    <w:t>铜棒</w:t>
                  </w:r>
                </w:p>
              </w:tc>
              <w:tc>
                <w:tcPr>
                  <w:tcW w:w="1183" w:type="pct"/>
                  <w:vAlign w:val="center"/>
                </w:tcPr>
                <w:p>
                  <w:pPr>
                    <w:adjustRightInd w:val="0"/>
                    <w:snapToGrid w:val="0"/>
                    <w:jc w:val="center"/>
                    <w:rPr>
                      <w:szCs w:val="21"/>
                    </w:rPr>
                  </w:pPr>
                  <w:r>
                    <w:rPr>
                      <w:rFonts w:hint="eastAsia"/>
                      <w:szCs w:val="21"/>
                    </w:rPr>
                    <w:t>/</w:t>
                  </w:r>
                </w:p>
              </w:tc>
              <w:tc>
                <w:tcPr>
                  <w:tcW w:w="624" w:type="pct"/>
                  <w:vAlign w:val="center"/>
                </w:tcPr>
                <w:p>
                  <w:pPr>
                    <w:adjustRightInd w:val="0"/>
                    <w:snapToGrid w:val="0"/>
                    <w:jc w:val="center"/>
                    <w:rPr>
                      <w:szCs w:val="21"/>
                    </w:rPr>
                  </w:pPr>
                  <w:r>
                    <w:rPr>
                      <w:rFonts w:hint="eastAsia"/>
                      <w:szCs w:val="21"/>
                    </w:rPr>
                    <w:t>/</w:t>
                  </w:r>
                </w:p>
              </w:tc>
              <w:tc>
                <w:tcPr>
                  <w:tcW w:w="616" w:type="pct"/>
                  <w:vAlign w:val="center"/>
                </w:tcPr>
                <w:p>
                  <w:pPr>
                    <w:widowControl/>
                    <w:jc w:val="center"/>
                    <w:textAlignment w:val="center"/>
                    <w:rPr>
                      <w:szCs w:val="21"/>
                    </w:rPr>
                  </w:pPr>
                  <w:r>
                    <w:rPr>
                      <w:rFonts w:hint="eastAsia"/>
                      <w:szCs w:val="21"/>
                    </w:rPr>
                    <w:t>5t/a</w:t>
                  </w:r>
                </w:p>
              </w:tc>
              <w:tc>
                <w:tcPr>
                  <w:tcW w:w="682" w:type="pct"/>
                  <w:vAlign w:val="center"/>
                </w:tcPr>
                <w:p>
                  <w:pPr>
                    <w:widowControl/>
                    <w:jc w:val="center"/>
                    <w:textAlignment w:val="center"/>
                    <w:rPr>
                      <w:rFonts w:hint="default" w:eastAsia="宋体"/>
                      <w:szCs w:val="21"/>
                      <w:lang w:val="en-US" w:eastAsia="zh-CN"/>
                    </w:rPr>
                  </w:pPr>
                  <w:r>
                    <w:rPr>
                      <w:rFonts w:hint="eastAsia"/>
                      <w:szCs w:val="21"/>
                      <w:lang w:val="en-US" w:eastAsia="zh-CN"/>
                    </w:rPr>
                    <w:t>1t</w:t>
                  </w:r>
                </w:p>
              </w:tc>
              <w:tc>
                <w:tcPr>
                  <w:tcW w:w="682" w:type="pct"/>
                  <w:vMerge w:val="restart"/>
                  <w:vAlign w:val="center"/>
                </w:tcPr>
                <w:p>
                  <w:pPr>
                    <w:adjustRightInd w:val="0"/>
                    <w:snapToGrid w:val="0"/>
                    <w:jc w:val="center"/>
                    <w:rPr>
                      <w:szCs w:val="21"/>
                    </w:rPr>
                  </w:pPr>
                  <w:r>
                    <w:rPr>
                      <w:szCs w:val="21"/>
                    </w:rPr>
                    <w:t>国内，汽运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 w:type="pct"/>
                  <w:vAlign w:val="center"/>
                </w:tcPr>
                <w:p>
                  <w:pPr>
                    <w:adjustRightInd w:val="0"/>
                    <w:snapToGrid w:val="0"/>
                    <w:jc w:val="center"/>
                    <w:rPr>
                      <w:szCs w:val="21"/>
                    </w:rPr>
                  </w:pPr>
                  <w:r>
                    <w:rPr>
                      <w:rFonts w:hint="eastAsia"/>
                      <w:szCs w:val="21"/>
                    </w:rPr>
                    <w:t>2</w:t>
                  </w:r>
                </w:p>
              </w:tc>
              <w:tc>
                <w:tcPr>
                  <w:tcW w:w="821" w:type="pct"/>
                  <w:vAlign w:val="center"/>
                </w:tcPr>
                <w:p>
                  <w:pPr>
                    <w:adjustRightInd w:val="0"/>
                    <w:snapToGrid w:val="0"/>
                    <w:jc w:val="center"/>
                    <w:rPr>
                      <w:szCs w:val="21"/>
                    </w:rPr>
                  </w:pPr>
                  <w:r>
                    <w:rPr>
                      <w:rFonts w:hint="eastAsia"/>
                      <w:szCs w:val="21"/>
                    </w:rPr>
                    <w:t>锡铅铜</w:t>
                  </w:r>
                </w:p>
              </w:tc>
              <w:tc>
                <w:tcPr>
                  <w:tcW w:w="1183" w:type="pct"/>
                  <w:vAlign w:val="center"/>
                </w:tcPr>
                <w:p>
                  <w:pPr>
                    <w:adjustRightInd w:val="0"/>
                    <w:snapToGrid w:val="0"/>
                    <w:jc w:val="center"/>
                    <w:rPr>
                      <w:szCs w:val="21"/>
                    </w:rPr>
                  </w:pPr>
                  <w:r>
                    <w:rPr>
                      <w:rFonts w:hint="eastAsia"/>
                      <w:szCs w:val="21"/>
                    </w:rPr>
                    <w:t>/</w:t>
                  </w:r>
                </w:p>
              </w:tc>
              <w:tc>
                <w:tcPr>
                  <w:tcW w:w="624" w:type="pct"/>
                  <w:vAlign w:val="center"/>
                </w:tcPr>
                <w:p>
                  <w:pPr>
                    <w:adjustRightInd w:val="0"/>
                    <w:snapToGrid w:val="0"/>
                    <w:jc w:val="center"/>
                    <w:rPr>
                      <w:szCs w:val="21"/>
                    </w:rPr>
                  </w:pPr>
                  <w:r>
                    <w:rPr>
                      <w:rFonts w:hint="eastAsia"/>
                      <w:szCs w:val="21"/>
                    </w:rPr>
                    <w:t>/</w:t>
                  </w:r>
                </w:p>
              </w:tc>
              <w:tc>
                <w:tcPr>
                  <w:tcW w:w="616" w:type="pct"/>
                  <w:vAlign w:val="center"/>
                </w:tcPr>
                <w:p>
                  <w:pPr>
                    <w:widowControl/>
                    <w:jc w:val="center"/>
                    <w:textAlignment w:val="center"/>
                    <w:rPr>
                      <w:kern w:val="0"/>
                      <w:szCs w:val="21"/>
                    </w:rPr>
                  </w:pPr>
                  <w:r>
                    <w:rPr>
                      <w:rFonts w:hint="eastAsia"/>
                      <w:kern w:val="0"/>
                      <w:szCs w:val="21"/>
                    </w:rPr>
                    <w:t>5t/a</w:t>
                  </w:r>
                </w:p>
              </w:tc>
              <w:tc>
                <w:tcPr>
                  <w:tcW w:w="682" w:type="pct"/>
                  <w:vAlign w:val="center"/>
                </w:tcPr>
                <w:p>
                  <w:pPr>
                    <w:widowControl/>
                    <w:jc w:val="center"/>
                    <w:textAlignment w:val="center"/>
                    <w:rPr>
                      <w:rFonts w:hint="default"/>
                      <w:lang w:val="en-US" w:eastAsia="zh-CN"/>
                    </w:rPr>
                  </w:pPr>
                  <w:r>
                    <w:rPr>
                      <w:rFonts w:hint="eastAsia"/>
                      <w:lang w:val="en-US" w:eastAsia="zh-CN"/>
                    </w:rPr>
                    <w:t>1t</w:t>
                  </w:r>
                </w:p>
              </w:tc>
              <w:tc>
                <w:tcPr>
                  <w:tcW w:w="682" w:type="pct"/>
                  <w:vMerge w:val="continue"/>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 w:type="pct"/>
                  <w:vAlign w:val="center"/>
                </w:tcPr>
                <w:p>
                  <w:pPr>
                    <w:adjustRightInd w:val="0"/>
                    <w:snapToGrid w:val="0"/>
                    <w:jc w:val="center"/>
                    <w:rPr>
                      <w:szCs w:val="21"/>
                    </w:rPr>
                  </w:pPr>
                  <w:r>
                    <w:rPr>
                      <w:rFonts w:hint="eastAsia"/>
                      <w:szCs w:val="21"/>
                    </w:rPr>
                    <w:t>3</w:t>
                  </w:r>
                </w:p>
              </w:tc>
              <w:tc>
                <w:tcPr>
                  <w:tcW w:w="821" w:type="pct"/>
                  <w:vAlign w:val="center"/>
                </w:tcPr>
                <w:p>
                  <w:pPr>
                    <w:adjustRightInd w:val="0"/>
                    <w:snapToGrid w:val="0"/>
                    <w:jc w:val="center"/>
                    <w:rPr>
                      <w:szCs w:val="21"/>
                    </w:rPr>
                  </w:pPr>
                  <w:r>
                    <w:rPr>
                      <w:rFonts w:hint="eastAsia"/>
                      <w:szCs w:val="21"/>
                    </w:rPr>
                    <w:t>切削油</w:t>
                  </w:r>
                </w:p>
              </w:tc>
              <w:tc>
                <w:tcPr>
                  <w:tcW w:w="1183" w:type="pct"/>
                  <w:vAlign w:val="center"/>
                </w:tcPr>
                <w:p>
                  <w:pPr>
                    <w:adjustRightInd w:val="0"/>
                    <w:snapToGrid w:val="0"/>
                    <w:jc w:val="center"/>
                    <w:rPr>
                      <w:szCs w:val="21"/>
                    </w:rPr>
                  </w:pPr>
                  <w:r>
                    <w:rPr>
                      <w:rFonts w:hint="eastAsia"/>
                      <w:szCs w:val="21"/>
                    </w:rPr>
                    <w:t>5号白油</w:t>
                  </w:r>
                </w:p>
              </w:tc>
              <w:tc>
                <w:tcPr>
                  <w:tcW w:w="624" w:type="pct"/>
                  <w:vAlign w:val="center"/>
                </w:tcPr>
                <w:p>
                  <w:pPr>
                    <w:adjustRightInd w:val="0"/>
                    <w:snapToGrid w:val="0"/>
                    <w:jc w:val="center"/>
                    <w:rPr>
                      <w:szCs w:val="21"/>
                    </w:rPr>
                  </w:pPr>
                  <w:r>
                    <w:rPr>
                      <w:rFonts w:hint="eastAsia"/>
                      <w:szCs w:val="21"/>
                    </w:rPr>
                    <w:t>170kg/桶</w:t>
                  </w:r>
                </w:p>
              </w:tc>
              <w:tc>
                <w:tcPr>
                  <w:tcW w:w="616" w:type="pct"/>
                  <w:vAlign w:val="center"/>
                </w:tcPr>
                <w:p>
                  <w:pPr>
                    <w:adjustRightInd w:val="0"/>
                    <w:snapToGrid w:val="0"/>
                    <w:jc w:val="center"/>
                    <w:rPr>
                      <w:kern w:val="0"/>
                      <w:szCs w:val="21"/>
                    </w:rPr>
                  </w:pPr>
                  <w:r>
                    <w:rPr>
                      <w:rFonts w:hint="eastAsia"/>
                      <w:kern w:val="0"/>
                      <w:szCs w:val="21"/>
                    </w:rPr>
                    <w:t>1.02t/a</w:t>
                  </w:r>
                </w:p>
              </w:tc>
              <w:tc>
                <w:tcPr>
                  <w:tcW w:w="682" w:type="pct"/>
                  <w:vAlign w:val="center"/>
                </w:tcPr>
                <w:p>
                  <w:pPr>
                    <w:adjustRightInd w:val="0"/>
                    <w:snapToGrid w:val="0"/>
                    <w:jc w:val="center"/>
                    <w:rPr>
                      <w:rFonts w:hint="default"/>
                      <w:lang w:val="en-US" w:eastAsia="zh-CN"/>
                    </w:rPr>
                  </w:pPr>
                  <w:r>
                    <w:rPr>
                      <w:rFonts w:hint="eastAsia"/>
                      <w:lang w:val="en-US" w:eastAsia="zh-CN"/>
                    </w:rPr>
                    <w:t>0.34t</w:t>
                  </w:r>
                </w:p>
              </w:tc>
              <w:tc>
                <w:tcPr>
                  <w:tcW w:w="682" w:type="pct"/>
                  <w:vMerge w:val="continue"/>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390" w:type="pct"/>
                  <w:vAlign w:val="center"/>
                </w:tcPr>
                <w:p>
                  <w:pPr>
                    <w:adjustRightInd w:val="0"/>
                    <w:snapToGrid w:val="0"/>
                    <w:jc w:val="center"/>
                    <w:rPr>
                      <w:szCs w:val="21"/>
                    </w:rPr>
                  </w:pPr>
                  <w:r>
                    <w:rPr>
                      <w:rFonts w:hint="eastAsia"/>
                      <w:szCs w:val="21"/>
                    </w:rPr>
                    <w:t>4</w:t>
                  </w:r>
                </w:p>
              </w:tc>
              <w:tc>
                <w:tcPr>
                  <w:tcW w:w="821" w:type="pct"/>
                  <w:vAlign w:val="center"/>
                </w:tcPr>
                <w:p>
                  <w:pPr>
                    <w:adjustRightInd w:val="0"/>
                    <w:snapToGrid w:val="0"/>
                    <w:jc w:val="center"/>
                    <w:rPr>
                      <w:szCs w:val="21"/>
                    </w:rPr>
                  </w:pPr>
                  <w:r>
                    <w:rPr>
                      <w:rFonts w:hint="eastAsia"/>
                      <w:szCs w:val="21"/>
                    </w:rPr>
                    <w:t>润滑油</w:t>
                  </w:r>
                </w:p>
              </w:tc>
              <w:tc>
                <w:tcPr>
                  <w:tcW w:w="1183" w:type="pct"/>
                  <w:vAlign w:val="center"/>
                </w:tcPr>
                <w:p>
                  <w:pPr>
                    <w:adjustRightInd w:val="0"/>
                    <w:snapToGrid w:val="0"/>
                    <w:jc w:val="center"/>
                    <w:rPr>
                      <w:szCs w:val="21"/>
                    </w:rPr>
                  </w:pPr>
                  <w:r>
                    <w:rPr>
                      <w:rFonts w:hint="eastAsia"/>
                      <w:szCs w:val="21"/>
                    </w:rPr>
                    <w:t>矿物油</w:t>
                  </w:r>
                </w:p>
              </w:tc>
              <w:tc>
                <w:tcPr>
                  <w:tcW w:w="624" w:type="pct"/>
                  <w:vAlign w:val="center"/>
                </w:tcPr>
                <w:p>
                  <w:pPr>
                    <w:adjustRightInd w:val="0"/>
                    <w:snapToGrid w:val="0"/>
                    <w:jc w:val="center"/>
                    <w:rPr>
                      <w:szCs w:val="21"/>
                    </w:rPr>
                  </w:pPr>
                  <w:r>
                    <w:rPr>
                      <w:rFonts w:hint="eastAsia"/>
                      <w:szCs w:val="21"/>
                    </w:rPr>
                    <w:t>170kg/桶</w:t>
                  </w:r>
                </w:p>
              </w:tc>
              <w:tc>
                <w:tcPr>
                  <w:tcW w:w="616" w:type="pct"/>
                  <w:vAlign w:val="center"/>
                </w:tcPr>
                <w:p>
                  <w:pPr>
                    <w:adjustRightInd w:val="0"/>
                    <w:snapToGrid w:val="0"/>
                    <w:jc w:val="center"/>
                    <w:rPr>
                      <w:szCs w:val="21"/>
                    </w:rPr>
                  </w:pPr>
                  <w:r>
                    <w:rPr>
                      <w:rFonts w:hint="eastAsia"/>
                      <w:szCs w:val="21"/>
                    </w:rPr>
                    <w:t>0.17t/a</w:t>
                  </w:r>
                </w:p>
              </w:tc>
              <w:tc>
                <w:tcPr>
                  <w:tcW w:w="682" w:type="pct"/>
                  <w:vAlign w:val="center"/>
                </w:tcPr>
                <w:p>
                  <w:pPr>
                    <w:adjustRightInd w:val="0"/>
                    <w:snapToGrid w:val="0"/>
                    <w:jc w:val="center"/>
                    <w:rPr>
                      <w:rFonts w:hint="default" w:eastAsia="宋体"/>
                      <w:szCs w:val="21"/>
                      <w:lang w:val="en-US" w:eastAsia="zh-CN"/>
                    </w:rPr>
                  </w:pPr>
                  <w:r>
                    <w:rPr>
                      <w:rFonts w:hint="eastAsia"/>
                      <w:szCs w:val="21"/>
                      <w:lang w:val="en-US" w:eastAsia="zh-CN"/>
                    </w:rPr>
                    <w:t>0.17t</w:t>
                  </w:r>
                </w:p>
              </w:tc>
              <w:tc>
                <w:tcPr>
                  <w:tcW w:w="682" w:type="pct"/>
                  <w:vMerge w:val="continue"/>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 w:type="pct"/>
                  <w:vAlign w:val="center"/>
                </w:tcPr>
                <w:p>
                  <w:pPr>
                    <w:adjustRightInd w:val="0"/>
                    <w:snapToGrid w:val="0"/>
                    <w:jc w:val="center"/>
                    <w:rPr>
                      <w:szCs w:val="21"/>
                    </w:rPr>
                  </w:pPr>
                  <w:r>
                    <w:rPr>
                      <w:rFonts w:hint="eastAsia"/>
                      <w:szCs w:val="21"/>
                    </w:rPr>
                    <w:t>5</w:t>
                  </w:r>
                </w:p>
              </w:tc>
              <w:tc>
                <w:tcPr>
                  <w:tcW w:w="821" w:type="pct"/>
                  <w:vAlign w:val="center"/>
                </w:tcPr>
                <w:p>
                  <w:pPr>
                    <w:adjustRightInd w:val="0"/>
                    <w:snapToGrid w:val="0"/>
                    <w:jc w:val="center"/>
                    <w:rPr>
                      <w:szCs w:val="21"/>
                    </w:rPr>
                  </w:pPr>
                  <w:r>
                    <w:rPr>
                      <w:rFonts w:hint="eastAsia"/>
                      <w:szCs w:val="21"/>
                    </w:rPr>
                    <w:t>光亮剂</w:t>
                  </w:r>
                </w:p>
              </w:tc>
              <w:tc>
                <w:tcPr>
                  <w:tcW w:w="1183" w:type="pct"/>
                  <w:vAlign w:val="center"/>
                </w:tcPr>
                <w:p>
                  <w:pPr>
                    <w:adjustRightInd w:val="0"/>
                    <w:snapToGrid w:val="0"/>
                    <w:jc w:val="center"/>
                    <w:rPr>
                      <w:szCs w:val="21"/>
                    </w:rPr>
                  </w:pPr>
                  <w:r>
                    <w:rPr>
                      <w:rFonts w:hint="eastAsia"/>
                      <w:szCs w:val="21"/>
                    </w:rPr>
                    <w:t>十二烷基磺酸钠20%、椰子油二乙醇酰胺8%、硬脂酸钠2%、水70%</w:t>
                  </w:r>
                </w:p>
              </w:tc>
              <w:tc>
                <w:tcPr>
                  <w:tcW w:w="624" w:type="pct"/>
                  <w:vAlign w:val="center"/>
                </w:tcPr>
                <w:p>
                  <w:pPr>
                    <w:adjustRightInd w:val="0"/>
                    <w:snapToGrid w:val="0"/>
                    <w:jc w:val="center"/>
                    <w:rPr>
                      <w:szCs w:val="21"/>
                    </w:rPr>
                  </w:pPr>
                  <w:r>
                    <w:rPr>
                      <w:rFonts w:hint="eastAsia"/>
                      <w:szCs w:val="21"/>
                    </w:rPr>
                    <w:t>50kg/桶</w:t>
                  </w:r>
                </w:p>
              </w:tc>
              <w:tc>
                <w:tcPr>
                  <w:tcW w:w="616" w:type="pct"/>
                  <w:vAlign w:val="center"/>
                </w:tcPr>
                <w:p>
                  <w:pPr>
                    <w:adjustRightInd w:val="0"/>
                    <w:snapToGrid w:val="0"/>
                    <w:jc w:val="center"/>
                    <w:rPr>
                      <w:szCs w:val="21"/>
                    </w:rPr>
                  </w:pPr>
                  <w:r>
                    <w:rPr>
                      <w:rFonts w:hint="eastAsia"/>
                      <w:szCs w:val="21"/>
                    </w:rPr>
                    <w:t>0.1t/a</w:t>
                  </w:r>
                </w:p>
              </w:tc>
              <w:tc>
                <w:tcPr>
                  <w:tcW w:w="682" w:type="pct"/>
                  <w:vAlign w:val="center"/>
                </w:tcPr>
                <w:p>
                  <w:pPr>
                    <w:adjustRightInd w:val="0"/>
                    <w:snapToGrid w:val="0"/>
                    <w:jc w:val="center"/>
                    <w:rPr>
                      <w:rFonts w:hint="default" w:eastAsia="宋体"/>
                      <w:szCs w:val="21"/>
                      <w:lang w:val="en-US" w:eastAsia="zh-CN"/>
                    </w:rPr>
                  </w:pPr>
                  <w:r>
                    <w:rPr>
                      <w:rFonts w:hint="eastAsia"/>
                      <w:szCs w:val="21"/>
                      <w:lang w:val="en-US" w:eastAsia="zh-CN"/>
                    </w:rPr>
                    <w:t>0.1t</w:t>
                  </w:r>
                </w:p>
              </w:tc>
              <w:tc>
                <w:tcPr>
                  <w:tcW w:w="682" w:type="pct"/>
                  <w:vMerge w:val="continue"/>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 w:type="pct"/>
                  <w:vAlign w:val="center"/>
                </w:tcPr>
                <w:p>
                  <w:pPr>
                    <w:adjustRightInd w:val="0"/>
                    <w:snapToGrid w:val="0"/>
                    <w:jc w:val="center"/>
                    <w:rPr>
                      <w:szCs w:val="21"/>
                    </w:rPr>
                  </w:pPr>
                  <w:r>
                    <w:rPr>
                      <w:rFonts w:hint="eastAsia"/>
                      <w:szCs w:val="21"/>
                    </w:rPr>
                    <w:t>6</w:t>
                  </w:r>
                </w:p>
              </w:tc>
              <w:tc>
                <w:tcPr>
                  <w:tcW w:w="821" w:type="pct"/>
                  <w:vAlign w:val="center"/>
                </w:tcPr>
                <w:p>
                  <w:pPr>
                    <w:adjustRightInd w:val="0"/>
                    <w:snapToGrid w:val="0"/>
                    <w:jc w:val="center"/>
                    <w:rPr>
                      <w:szCs w:val="21"/>
                    </w:rPr>
                  </w:pPr>
                  <w:r>
                    <w:rPr>
                      <w:rFonts w:hint="eastAsia"/>
                      <w:szCs w:val="21"/>
                    </w:rPr>
                    <w:t>清洗剂</w:t>
                  </w:r>
                </w:p>
              </w:tc>
              <w:tc>
                <w:tcPr>
                  <w:tcW w:w="1183" w:type="pct"/>
                  <w:vAlign w:val="center"/>
                </w:tcPr>
                <w:p>
                  <w:pPr>
                    <w:adjustRightInd w:val="0"/>
                    <w:snapToGrid w:val="0"/>
                    <w:jc w:val="center"/>
                    <w:rPr>
                      <w:szCs w:val="21"/>
                    </w:rPr>
                  </w:pPr>
                  <w:r>
                    <w:rPr>
                      <w:rFonts w:hint="eastAsia"/>
                      <w:szCs w:val="21"/>
                    </w:rPr>
                    <w:t>十二烷基苯磺酸85%、壬基酚聚氧乙烯醚2%、硬脂酸1%、水12%</w:t>
                  </w:r>
                </w:p>
              </w:tc>
              <w:tc>
                <w:tcPr>
                  <w:tcW w:w="624" w:type="pct"/>
                  <w:vAlign w:val="center"/>
                </w:tcPr>
                <w:p>
                  <w:pPr>
                    <w:adjustRightInd w:val="0"/>
                    <w:snapToGrid w:val="0"/>
                    <w:jc w:val="center"/>
                    <w:rPr>
                      <w:szCs w:val="21"/>
                    </w:rPr>
                  </w:pPr>
                  <w:r>
                    <w:rPr>
                      <w:rFonts w:hint="eastAsia"/>
                      <w:szCs w:val="21"/>
                    </w:rPr>
                    <w:t>50kg/桶</w:t>
                  </w:r>
                </w:p>
              </w:tc>
              <w:tc>
                <w:tcPr>
                  <w:tcW w:w="616" w:type="pct"/>
                  <w:vAlign w:val="center"/>
                </w:tcPr>
                <w:p>
                  <w:pPr>
                    <w:adjustRightInd w:val="0"/>
                    <w:snapToGrid w:val="0"/>
                    <w:jc w:val="center"/>
                    <w:rPr>
                      <w:szCs w:val="21"/>
                    </w:rPr>
                  </w:pPr>
                  <w:r>
                    <w:rPr>
                      <w:rFonts w:hint="eastAsia"/>
                      <w:szCs w:val="21"/>
                    </w:rPr>
                    <w:t>1t/a</w:t>
                  </w:r>
                </w:p>
              </w:tc>
              <w:tc>
                <w:tcPr>
                  <w:tcW w:w="682" w:type="pct"/>
                  <w:vAlign w:val="center"/>
                </w:tcPr>
                <w:p>
                  <w:pPr>
                    <w:adjustRightInd w:val="0"/>
                    <w:snapToGrid w:val="0"/>
                    <w:jc w:val="center"/>
                    <w:rPr>
                      <w:rFonts w:hint="default" w:eastAsia="宋体"/>
                      <w:szCs w:val="21"/>
                      <w:lang w:val="en-US" w:eastAsia="zh-CN"/>
                    </w:rPr>
                  </w:pPr>
                  <w:r>
                    <w:rPr>
                      <w:rFonts w:hint="eastAsia"/>
                      <w:szCs w:val="21"/>
                      <w:lang w:val="en-US" w:eastAsia="zh-CN"/>
                    </w:rPr>
                    <w:t>0.2t</w:t>
                  </w:r>
                </w:p>
              </w:tc>
              <w:tc>
                <w:tcPr>
                  <w:tcW w:w="682" w:type="pct"/>
                  <w:vMerge w:val="continue"/>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 w:type="pct"/>
                  <w:vAlign w:val="center"/>
                </w:tcPr>
                <w:p>
                  <w:pPr>
                    <w:adjustRightInd w:val="0"/>
                    <w:snapToGrid w:val="0"/>
                    <w:jc w:val="center"/>
                    <w:rPr>
                      <w:szCs w:val="21"/>
                    </w:rPr>
                  </w:pPr>
                  <w:r>
                    <w:rPr>
                      <w:rFonts w:hint="eastAsia"/>
                      <w:szCs w:val="21"/>
                    </w:rPr>
                    <w:t>7</w:t>
                  </w:r>
                </w:p>
              </w:tc>
              <w:tc>
                <w:tcPr>
                  <w:tcW w:w="821" w:type="pct"/>
                  <w:vAlign w:val="center"/>
                </w:tcPr>
                <w:p>
                  <w:pPr>
                    <w:adjustRightInd w:val="0"/>
                    <w:snapToGrid w:val="0"/>
                    <w:jc w:val="center"/>
                    <w:rPr>
                      <w:szCs w:val="21"/>
                      <w:highlight w:val="yellow"/>
                    </w:rPr>
                  </w:pPr>
                  <w:r>
                    <w:rPr>
                      <w:rFonts w:hint="eastAsia"/>
                      <w:szCs w:val="21"/>
                    </w:rPr>
                    <w:t>焊丝</w:t>
                  </w:r>
                </w:p>
              </w:tc>
              <w:tc>
                <w:tcPr>
                  <w:tcW w:w="1183" w:type="pct"/>
                  <w:vAlign w:val="center"/>
                </w:tcPr>
                <w:p>
                  <w:pPr>
                    <w:adjustRightInd w:val="0"/>
                    <w:snapToGrid w:val="0"/>
                    <w:jc w:val="center"/>
                    <w:rPr>
                      <w:szCs w:val="21"/>
                      <w:highlight w:val="yellow"/>
                    </w:rPr>
                  </w:pPr>
                  <w:r>
                    <w:rPr>
                      <w:rFonts w:hint="eastAsia"/>
                      <w:szCs w:val="21"/>
                    </w:rPr>
                    <w:t>不锈钢，不含锡、铅</w:t>
                  </w:r>
                </w:p>
              </w:tc>
              <w:tc>
                <w:tcPr>
                  <w:tcW w:w="624" w:type="pct"/>
                  <w:vAlign w:val="center"/>
                </w:tcPr>
                <w:p>
                  <w:pPr>
                    <w:adjustRightInd w:val="0"/>
                    <w:snapToGrid w:val="0"/>
                    <w:jc w:val="center"/>
                    <w:rPr>
                      <w:szCs w:val="21"/>
                    </w:rPr>
                  </w:pPr>
                  <w:r>
                    <w:rPr>
                      <w:rFonts w:hint="eastAsia"/>
                      <w:szCs w:val="21"/>
                    </w:rPr>
                    <w:t>/</w:t>
                  </w:r>
                </w:p>
              </w:tc>
              <w:tc>
                <w:tcPr>
                  <w:tcW w:w="616" w:type="pct"/>
                  <w:vAlign w:val="center"/>
                </w:tcPr>
                <w:p>
                  <w:pPr>
                    <w:adjustRightInd w:val="0"/>
                    <w:snapToGrid w:val="0"/>
                    <w:jc w:val="center"/>
                    <w:rPr>
                      <w:szCs w:val="21"/>
                    </w:rPr>
                  </w:pPr>
                  <w:r>
                    <w:rPr>
                      <w:rFonts w:hint="eastAsia"/>
                      <w:szCs w:val="21"/>
                    </w:rPr>
                    <w:t>0.01t/a</w:t>
                  </w:r>
                </w:p>
              </w:tc>
              <w:tc>
                <w:tcPr>
                  <w:tcW w:w="682" w:type="pct"/>
                  <w:vAlign w:val="center"/>
                </w:tcPr>
                <w:p>
                  <w:pPr>
                    <w:adjustRightInd w:val="0"/>
                    <w:snapToGrid w:val="0"/>
                    <w:jc w:val="center"/>
                    <w:rPr>
                      <w:rFonts w:hint="default" w:eastAsia="宋体"/>
                      <w:szCs w:val="21"/>
                      <w:lang w:val="en-US" w:eastAsia="zh-CN"/>
                    </w:rPr>
                  </w:pPr>
                  <w:r>
                    <w:rPr>
                      <w:rFonts w:hint="eastAsia"/>
                      <w:szCs w:val="21"/>
                      <w:lang w:val="en-US" w:eastAsia="zh-CN"/>
                    </w:rPr>
                    <w:t>0.01t</w:t>
                  </w:r>
                </w:p>
              </w:tc>
              <w:tc>
                <w:tcPr>
                  <w:tcW w:w="682" w:type="pct"/>
                  <w:vMerge w:val="continue"/>
                  <w:vAlign w:val="center"/>
                </w:tcPr>
                <w:p>
                  <w:pPr>
                    <w:adjustRightInd w:val="0"/>
                    <w:snapToGrid w:val="0"/>
                    <w:jc w:val="center"/>
                    <w:rPr>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0" w:type="pct"/>
                  <w:vAlign w:val="center"/>
                </w:tcPr>
                <w:p>
                  <w:pPr>
                    <w:adjustRightInd w:val="0"/>
                    <w:snapToGrid w:val="0"/>
                    <w:jc w:val="center"/>
                    <w:rPr>
                      <w:szCs w:val="21"/>
                    </w:rPr>
                  </w:pPr>
                  <w:r>
                    <w:rPr>
                      <w:rFonts w:hint="eastAsia"/>
                      <w:szCs w:val="21"/>
                    </w:rPr>
                    <w:t>8</w:t>
                  </w:r>
                </w:p>
              </w:tc>
              <w:tc>
                <w:tcPr>
                  <w:tcW w:w="821" w:type="pct"/>
                  <w:vAlign w:val="center"/>
                </w:tcPr>
                <w:p>
                  <w:pPr>
                    <w:adjustRightInd w:val="0"/>
                    <w:snapToGrid w:val="0"/>
                    <w:jc w:val="center"/>
                    <w:rPr>
                      <w:szCs w:val="21"/>
                    </w:rPr>
                  </w:pPr>
                  <w:r>
                    <w:rPr>
                      <w:rFonts w:hint="eastAsia"/>
                      <w:szCs w:val="21"/>
                    </w:rPr>
                    <w:t>氩气</w:t>
                  </w:r>
                </w:p>
              </w:tc>
              <w:tc>
                <w:tcPr>
                  <w:tcW w:w="1183" w:type="pct"/>
                  <w:vAlign w:val="center"/>
                </w:tcPr>
                <w:p>
                  <w:pPr>
                    <w:adjustRightInd w:val="0"/>
                    <w:snapToGrid w:val="0"/>
                    <w:jc w:val="center"/>
                    <w:rPr>
                      <w:szCs w:val="21"/>
                    </w:rPr>
                  </w:pPr>
                  <w:r>
                    <w:rPr>
                      <w:rFonts w:hint="eastAsia"/>
                      <w:szCs w:val="21"/>
                    </w:rPr>
                    <w:t>/</w:t>
                  </w:r>
                </w:p>
              </w:tc>
              <w:tc>
                <w:tcPr>
                  <w:tcW w:w="624" w:type="pct"/>
                  <w:vAlign w:val="center"/>
                </w:tcPr>
                <w:p>
                  <w:pPr>
                    <w:adjustRightInd w:val="0"/>
                    <w:snapToGrid w:val="0"/>
                    <w:jc w:val="center"/>
                    <w:rPr>
                      <w:szCs w:val="21"/>
                    </w:rPr>
                  </w:pPr>
                  <w:r>
                    <w:rPr>
                      <w:rFonts w:hint="eastAsia"/>
                      <w:szCs w:val="21"/>
                    </w:rPr>
                    <w:t>50kg/瓶</w:t>
                  </w:r>
                </w:p>
              </w:tc>
              <w:tc>
                <w:tcPr>
                  <w:tcW w:w="616" w:type="pct"/>
                  <w:vAlign w:val="center"/>
                </w:tcPr>
                <w:p>
                  <w:pPr>
                    <w:adjustRightInd w:val="0"/>
                    <w:snapToGrid w:val="0"/>
                    <w:jc w:val="center"/>
                    <w:rPr>
                      <w:szCs w:val="21"/>
                    </w:rPr>
                  </w:pPr>
                  <w:r>
                    <w:rPr>
                      <w:rFonts w:hint="eastAsia"/>
                      <w:szCs w:val="21"/>
                    </w:rPr>
                    <w:t>0.15t/a</w:t>
                  </w:r>
                </w:p>
              </w:tc>
              <w:tc>
                <w:tcPr>
                  <w:tcW w:w="682" w:type="pct"/>
                  <w:vAlign w:val="center"/>
                </w:tcPr>
                <w:p>
                  <w:pPr>
                    <w:adjustRightInd w:val="0"/>
                    <w:snapToGrid w:val="0"/>
                    <w:jc w:val="center"/>
                    <w:rPr>
                      <w:rFonts w:hint="default" w:eastAsia="宋体"/>
                      <w:szCs w:val="21"/>
                      <w:lang w:val="en-US" w:eastAsia="zh-CN"/>
                    </w:rPr>
                  </w:pPr>
                  <w:r>
                    <w:rPr>
                      <w:rFonts w:hint="eastAsia"/>
                      <w:szCs w:val="21"/>
                      <w:lang w:val="en-US" w:eastAsia="zh-CN"/>
                    </w:rPr>
                    <w:t>0.15t</w:t>
                  </w:r>
                </w:p>
              </w:tc>
              <w:tc>
                <w:tcPr>
                  <w:tcW w:w="682" w:type="pct"/>
                  <w:vMerge w:val="continue"/>
                  <w:vAlign w:val="center"/>
                </w:tcPr>
                <w:p>
                  <w:pPr>
                    <w:adjustRightInd w:val="0"/>
                    <w:snapToGrid w:val="0"/>
                    <w:jc w:val="center"/>
                    <w:rPr>
                      <w:szCs w:val="21"/>
                    </w:rPr>
                  </w:pPr>
                </w:p>
              </w:tc>
            </w:tr>
          </w:tbl>
          <w:p>
            <w:pPr>
              <w:adjustRightInd w:val="0"/>
              <w:snapToGrid w:val="0"/>
              <w:jc w:val="center"/>
              <w:rPr>
                <w:b/>
                <w:sz w:val="24"/>
              </w:rPr>
            </w:pPr>
          </w:p>
          <w:p>
            <w:pPr>
              <w:adjustRightInd w:val="0"/>
              <w:snapToGrid w:val="0"/>
              <w:jc w:val="center"/>
              <w:rPr>
                <w:b/>
                <w:sz w:val="24"/>
              </w:rPr>
            </w:pPr>
          </w:p>
          <w:p>
            <w:pPr>
              <w:adjustRightInd w:val="0"/>
              <w:snapToGrid w:val="0"/>
              <w:jc w:val="center"/>
              <w:rPr>
                <w:b/>
                <w:sz w:val="24"/>
              </w:rPr>
            </w:pPr>
          </w:p>
          <w:p>
            <w:pPr>
              <w:adjustRightInd w:val="0"/>
              <w:snapToGrid w:val="0"/>
              <w:jc w:val="center"/>
              <w:rPr>
                <w:b/>
                <w:sz w:val="24"/>
              </w:rPr>
            </w:pPr>
          </w:p>
          <w:p>
            <w:pPr>
              <w:adjustRightInd w:val="0"/>
              <w:snapToGrid w:val="0"/>
              <w:jc w:val="center"/>
              <w:rPr>
                <w:b/>
                <w:sz w:val="24"/>
              </w:rPr>
            </w:pPr>
          </w:p>
          <w:p>
            <w:pPr>
              <w:adjustRightInd w:val="0"/>
              <w:snapToGrid w:val="0"/>
              <w:jc w:val="center"/>
              <w:rPr>
                <w:b/>
                <w:sz w:val="24"/>
              </w:rPr>
            </w:pPr>
          </w:p>
          <w:p>
            <w:pPr>
              <w:adjustRightInd w:val="0"/>
              <w:snapToGrid w:val="0"/>
              <w:jc w:val="center"/>
              <w:rPr>
                <w:rFonts w:ascii="宋体" w:hAnsi="宋体"/>
                <w:b/>
                <w:bCs/>
                <w:color w:val="FF0000"/>
                <w:sz w:val="24"/>
              </w:rPr>
            </w:pPr>
            <w:r>
              <w:rPr>
                <w:b/>
                <w:sz w:val="24"/>
              </w:rPr>
              <w:t>表</w:t>
            </w:r>
            <w:r>
              <w:rPr>
                <w:rFonts w:hint="eastAsia"/>
                <w:b/>
                <w:sz w:val="24"/>
              </w:rPr>
              <w:t>2-6</w:t>
            </w:r>
            <w:r>
              <w:rPr>
                <w:b/>
                <w:sz w:val="24"/>
              </w:rPr>
              <w:t xml:space="preserve"> </w:t>
            </w:r>
            <w:r>
              <w:rPr>
                <w:rFonts w:hint="eastAsia"/>
                <w:b/>
                <w:sz w:val="24"/>
              </w:rPr>
              <w:t xml:space="preserve"> </w:t>
            </w:r>
            <w:r>
              <w:rPr>
                <w:b/>
                <w:sz w:val="24"/>
              </w:rPr>
              <w:t>原辅材料理化性质</w:t>
            </w:r>
          </w:p>
          <w:tbl>
            <w:tblPr>
              <w:tblStyle w:val="22"/>
              <w:tblW w:w="5000" w:type="pct"/>
              <w:jc w:val="center"/>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1139"/>
              <w:gridCol w:w="992"/>
              <w:gridCol w:w="6292"/>
            </w:tblGrid>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pct"/>
                  <w:vAlign w:val="center"/>
                </w:tcPr>
                <w:p>
                  <w:pPr>
                    <w:adjustRightInd w:val="0"/>
                    <w:snapToGrid w:val="0"/>
                    <w:jc w:val="center"/>
                    <w:rPr>
                      <w:b/>
                      <w:bCs/>
                      <w:szCs w:val="21"/>
                    </w:rPr>
                  </w:pPr>
                  <w:r>
                    <w:rPr>
                      <w:b/>
                      <w:bCs/>
                    </w:rPr>
                    <w:t>名称</w:t>
                  </w:r>
                </w:p>
              </w:tc>
              <w:tc>
                <w:tcPr>
                  <w:tcW w:w="589" w:type="pct"/>
                  <w:vAlign w:val="center"/>
                </w:tcPr>
                <w:p>
                  <w:pPr>
                    <w:adjustRightInd w:val="0"/>
                    <w:snapToGrid w:val="0"/>
                    <w:jc w:val="center"/>
                    <w:rPr>
                      <w:b/>
                      <w:bCs/>
                      <w:szCs w:val="21"/>
                    </w:rPr>
                  </w:pPr>
                  <w:r>
                    <w:rPr>
                      <w:b/>
                      <w:bCs/>
                    </w:rPr>
                    <w:t>危规号</w:t>
                  </w:r>
                </w:p>
              </w:tc>
              <w:tc>
                <w:tcPr>
                  <w:tcW w:w="3735" w:type="pct"/>
                  <w:vAlign w:val="center"/>
                </w:tcPr>
                <w:p>
                  <w:pPr>
                    <w:adjustRightInd w:val="0"/>
                    <w:snapToGrid w:val="0"/>
                    <w:jc w:val="center"/>
                    <w:rPr>
                      <w:b/>
                      <w:bCs/>
                      <w:szCs w:val="21"/>
                    </w:rPr>
                  </w:pPr>
                  <w:r>
                    <w:rPr>
                      <w:b/>
                      <w:bCs/>
                    </w:rPr>
                    <w:t>理化性质</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48" w:hRule="atLeast"/>
                <w:jc w:val="center"/>
              </w:trPr>
              <w:tc>
                <w:tcPr>
                  <w:tcW w:w="676" w:type="pct"/>
                  <w:vAlign w:val="center"/>
                </w:tcPr>
                <w:p>
                  <w:pPr>
                    <w:widowControl/>
                    <w:jc w:val="center"/>
                    <w:rPr>
                      <w:szCs w:val="21"/>
                    </w:rPr>
                  </w:pPr>
                  <w:r>
                    <w:rPr>
                      <w:rFonts w:hint="eastAsia"/>
                      <w:szCs w:val="21"/>
                    </w:rPr>
                    <w:t>5号白油</w:t>
                  </w:r>
                </w:p>
              </w:tc>
              <w:tc>
                <w:tcPr>
                  <w:tcW w:w="589" w:type="pct"/>
                  <w:vAlign w:val="center"/>
                </w:tcPr>
                <w:p>
                  <w:pPr>
                    <w:jc w:val="center"/>
                    <w:rPr>
                      <w:rFonts w:ascii="宋体" w:hAnsi="宋体" w:cs="宋体"/>
                      <w:kern w:val="0"/>
                      <w:szCs w:val="21"/>
                    </w:rPr>
                  </w:pPr>
                  <w:r>
                    <w:rPr>
                      <w:rFonts w:hint="eastAsia" w:ascii="宋体" w:hAnsi="宋体" w:cs="宋体"/>
                      <w:kern w:val="0"/>
                      <w:szCs w:val="21"/>
                    </w:rPr>
                    <w:t>/</w:t>
                  </w:r>
                </w:p>
              </w:tc>
              <w:tc>
                <w:tcPr>
                  <w:tcW w:w="3735" w:type="pct"/>
                  <w:vAlign w:val="center"/>
                </w:tcPr>
                <w:p>
                  <w:pPr>
                    <w:rPr>
                      <w:color w:val="000000"/>
                      <w:szCs w:val="21"/>
                      <w:shd w:val="clear" w:color="auto" w:fill="FFFFFF"/>
                    </w:rPr>
                  </w:pPr>
                  <w:r>
                    <w:rPr>
                      <w:rFonts w:hAnsi="宋体"/>
                      <w:color w:val="000000"/>
                      <w:szCs w:val="21"/>
                      <w:shd w:val="clear" w:color="auto" w:fill="FFFFFF"/>
                    </w:rPr>
                    <w:t>无色透明油状液体，没有气味。相对密度：</w:t>
                  </w:r>
                  <w:r>
                    <w:rPr>
                      <w:color w:val="000000"/>
                      <w:szCs w:val="21"/>
                      <w:shd w:val="clear" w:color="auto" w:fill="FFFFFF"/>
                    </w:rPr>
                    <w:t>0.831—0.883</w:t>
                  </w:r>
                  <w:r>
                    <w:rPr>
                      <w:rFonts w:hAnsi="宋体"/>
                      <w:color w:val="000000"/>
                      <w:szCs w:val="21"/>
                      <w:shd w:val="clear" w:color="auto" w:fill="FFFFFF"/>
                    </w:rPr>
                    <w:t>，闪点（式）</w:t>
                  </w:r>
                  <w:r>
                    <w:rPr>
                      <w:color w:val="000000"/>
                      <w:szCs w:val="21"/>
                      <w:shd w:val="clear" w:color="auto" w:fill="FFFFFF"/>
                    </w:rPr>
                    <w:t>164-223</w:t>
                  </w:r>
                  <w:r>
                    <w:rPr>
                      <w:rFonts w:hAnsi="宋体"/>
                      <w:color w:val="000000"/>
                      <w:szCs w:val="21"/>
                      <w:shd w:val="clear" w:color="auto" w:fill="FFFFFF"/>
                    </w:rPr>
                    <w:t>℃，运动粘度（</w:t>
                  </w:r>
                  <w:r>
                    <w:rPr>
                      <w:color w:val="000000"/>
                      <w:szCs w:val="21"/>
                      <w:shd w:val="clear" w:color="auto" w:fill="FFFFFF"/>
                    </w:rPr>
                    <w:t>40</w:t>
                  </w:r>
                  <w:r>
                    <w:rPr>
                      <w:rFonts w:hAnsi="宋体"/>
                      <w:color w:val="000000"/>
                      <w:szCs w:val="21"/>
                      <w:shd w:val="clear" w:color="auto" w:fill="FFFFFF"/>
                    </w:rPr>
                    <w:t>℃）</w:t>
                  </w:r>
                  <w:r>
                    <w:rPr>
                      <w:color w:val="000000"/>
                      <w:szCs w:val="21"/>
                      <w:shd w:val="clear" w:color="auto" w:fill="FFFFFF"/>
                    </w:rPr>
                    <w:t>5.7-46mm</w:t>
                  </w:r>
                  <w:r>
                    <w:rPr>
                      <w:color w:val="000000"/>
                      <w:szCs w:val="21"/>
                      <w:shd w:val="clear" w:color="auto" w:fill="FFFFFF"/>
                      <w:vertAlign w:val="superscript"/>
                    </w:rPr>
                    <w:t>2</w:t>
                  </w:r>
                  <w:r>
                    <w:rPr>
                      <w:color w:val="000000"/>
                      <w:szCs w:val="21"/>
                      <w:shd w:val="clear" w:color="auto" w:fill="FFFFFF"/>
                    </w:rPr>
                    <w:t>/s</w:t>
                  </w:r>
                  <w:r>
                    <w:rPr>
                      <w:rFonts w:hAnsi="宋体"/>
                      <w:color w:val="000000"/>
                      <w:szCs w:val="21"/>
                      <w:shd w:val="clear" w:color="auto" w:fill="FFFFFF"/>
                    </w:rPr>
                    <w:t>，酸值</w:t>
                  </w:r>
                  <w:r>
                    <w:rPr>
                      <w:color w:val="000000"/>
                      <w:szCs w:val="21"/>
                      <w:shd w:val="clear" w:color="auto" w:fill="FFFFFF"/>
                    </w:rPr>
                    <w:t>≤0.05</w:t>
                  </w:r>
                  <w:r>
                    <w:rPr>
                      <w:rFonts w:hAnsi="宋体"/>
                      <w:color w:val="000000"/>
                      <w:szCs w:val="21"/>
                      <w:shd w:val="clear" w:color="auto" w:fill="FFFFFF"/>
                    </w:rPr>
                    <w:t>，对酸、光、热均稳定，不溶于乙醇，溶于乙醚、苯、石油醚等，并可与多数脂肪油互溶。为液体类烃类的混合物，主要成分为</w:t>
                  </w:r>
                  <w:r>
                    <w:rPr>
                      <w:color w:val="000000"/>
                      <w:szCs w:val="21"/>
                      <w:shd w:val="clear" w:color="auto" w:fill="FFFFFF"/>
                    </w:rPr>
                    <w:t>C</w:t>
                  </w:r>
                  <w:r>
                    <w:rPr>
                      <w:color w:val="000000"/>
                      <w:szCs w:val="21"/>
                      <w:shd w:val="clear" w:color="auto" w:fill="FFFFFF"/>
                      <w:vertAlign w:val="subscript"/>
                    </w:rPr>
                    <w:t>16</w:t>
                  </w:r>
                  <w:r>
                    <w:rPr>
                      <w:color w:val="000000"/>
                      <w:szCs w:val="21"/>
                      <w:shd w:val="clear" w:color="auto" w:fill="FFFFFF"/>
                    </w:rPr>
                    <w:t>-C</w:t>
                  </w:r>
                  <w:r>
                    <w:rPr>
                      <w:color w:val="000000"/>
                      <w:szCs w:val="21"/>
                      <w:shd w:val="clear" w:color="auto" w:fill="FFFFFF"/>
                      <w:vertAlign w:val="subscript"/>
                    </w:rPr>
                    <w:t>31</w:t>
                  </w:r>
                  <w:r>
                    <w:rPr>
                      <w:rFonts w:hAnsi="宋体"/>
                      <w:color w:val="000000"/>
                      <w:szCs w:val="21"/>
                      <w:shd w:val="clear" w:color="auto" w:fill="FFFFFF"/>
                    </w:rPr>
                    <w:t>的正异构烷烃的混合物。</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pct"/>
                  <w:vAlign w:val="center"/>
                </w:tcPr>
                <w:p>
                  <w:pPr>
                    <w:widowControl/>
                    <w:jc w:val="center"/>
                    <w:rPr>
                      <w:szCs w:val="21"/>
                    </w:rPr>
                  </w:pPr>
                  <w:r>
                    <w:rPr>
                      <w:rFonts w:hint="eastAsia"/>
                      <w:szCs w:val="21"/>
                    </w:rPr>
                    <w:t>润滑油</w:t>
                  </w:r>
                </w:p>
              </w:tc>
              <w:tc>
                <w:tcPr>
                  <w:tcW w:w="589" w:type="pct"/>
                  <w:vAlign w:val="center"/>
                </w:tcPr>
                <w:p>
                  <w:pPr>
                    <w:jc w:val="center"/>
                    <w:rPr>
                      <w:rFonts w:ascii="宋体" w:hAnsi="宋体" w:cs="宋体"/>
                      <w:kern w:val="0"/>
                      <w:szCs w:val="21"/>
                    </w:rPr>
                  </w:pPr>
                  <w:r>
                    <w:rPr>
                      <w:rFonts w:hint="eastAsia" w:ascii="宋体" w:hAnsi="宋体" w:cs="宋体"/>
                      <w:kern w:val="0"/>
                      <w:szCs w:val="21"/>
                    </w:rPr>
                    <w:t>/</w:t>
                  </w:r>
                </w:p>
              </w:tc>
              <w:tc>
                <w:tcPr>
                  <w:tcW w:w="3735" w:type="pct"/>
                  <w:vAlign w:val="center"/>
                </w:tcPr>
                <w:p>
                  <w:pPr>
                    <w:rPr>
                      <w:szCs w:val="21"/>
                    </w:rPr>
                  </w:pPr>
                  <w:r>
                    <w:rPr>
                      <w:rFonts w:hAnsi="宋体"/>
                      <w:color w:val="000000"/>
                      <w:szCs w:val="21"/>
                      <w:shd w:val="clear" w:color="auto" w:fill="FFFFFF"/>
                    </w:rPr>
                    <w:t>润滑油是用在各种类型汽车、机械设备上以减少摩擦，保护机械及加工件的液体或半固体润滑剂，主要起润滑、冷却、防锈、清洁、密封和缓冲等作用。</w:t>
                  </w:r>
                  <w:r>
                    <w:rPr>
                      <w:rFonts w:hAnsi="宋体"/>
                      <w:color w:val="000000"/>
                      <w:kern w:val="0"/>
                      <w:szCs w:val="21"/>
                    </w:rPr>
                    <w:t>淡黄色粘稠液体；相对密度</w:t>
                  </w:r>
                  <w:r>
                    <w:rPr>
                      <w:color w:val="000000"/>
                      <w:kern w:val="0"/>
                      <w:szCs w:val="21"/>
                    </w:rPr>
                    <w:t>(</w:t>
                  </w:r>
                  <w:r>
                    <w:rPr>
                      <w:rFonts w:hAnsi="宋体"/>
                      <w:color w:val="000000"/>
                      <w:kern w:val="0"/>
                      <w:szCs w:val="21"/>
                    </w:rPr>
                    <w:t>水</w:t>
                  </w:r>
                  <w:r>
                    <w:rPr>
                      <w:color w:val="000000"/>
                      <w:kern w:val="0"/>
                      <w:szCs w:val="21"/>
                    </w:rPr>
                    <w:t>=1)</w:t>
                  </w:r>
                  <w:r>
                    <w:rPr>
                      <w:rFonts w:hAnsi="宋体"/>
                      <w:color w:val="000000"/>
                      <w:kern w:val="0"/>
                      <w:szCs w:val="21"/>
                    </w:rPr>
                    <w:t>：</w:t>
                  </w:r>
                  <w:r>
                    <w:rPr>
                      <w:color w:val="000000"/>
                      <w:kern w:val="0"/>
                      <w:szCs w:val="21"/>
                    </w:rPr>
                    <w:t>934.8</w:t>
                  </w:r>
                  <w:r>
                    <w:rPr>
                      <w:rFonts w:hAnsi="宋体"/>
                      <w:color w:val="000000"/>
                      <w:kern w:val="0"/>
                      <w:szCs w:val="21"/>
                    </w:rPr>
                    <w:t>；饱和蒸气压：</w:t>
                  </w:r>
                  <w:r>
                    <w:rPr>
                      <w:color w:val="000000"/>
                      <w:kern w:val="0"/>
                      <w:szCs w:val="21"/>
                    </w:rPr>
                    <w:t>0.14kPa</w:t>
                  </w:r>
                  <w:r>
                    <w:rPr>
                      <w:rFonts w:hAnsi="宋体"/>
                      <w:color w:val="000000"/>
                      <w:kern w:val="0"/>
                      <w:szCs w:val="21"/>
                    </w:rPr>
                    <w:t>；溶于苯、乙醇、乙醚、氯仿、丙酮等多数有机溶剂。</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pct"/>
                  <w:vAlign w:val="center"/>
                </w:tcPr>
                <w:p>
                  <w:pPr>
                    <w:widowControl/>
                    <w:jc w:val="center"/>
                    <w:rPr>
                      <w:szCs w:val="21"/>
                    </w:rPr>
                  </w:pPr>
                  <w:r>
                    <w:rPr>
                      <w:rFonts w:hint="eastAsia"/>
                      <w:szCs w:val="21"/>
                    </w:rPr>
                    <w:t>光亮剂</w:t>
                  </w:r>
                </w:p>
              </w:tc>
              <w:tc>
                <w:tcPr>
                  <w:tcW w:w="589" w:type="pct"/>
                  <w:vAlign w:val="center"/>
                </w:tcPr>
                <w:p>
                  <w:pPr>
                    <w:jc w:val="center"/>
                    <w:rPr>
                      <w:kern w:val="0"/>
                    </w:rPr>
                  </w:pPr>
                  <w:r>
                    <w:rPr>
                      <w:rFonts w:hint="eastAsia"/>
                      <w:kern w:val="0"/>
                    </w:rPr>
                    <w:t>/</w:t>
                  </w:r>
                </w:p>
              </w:tc>
              <w:tc>
                <w:tcPr>
                  <w:tcW w:w="3735" w:type="pct"/>
                  <w:vAlign w:val="center"/>
                </w:tcPr>
                <w:p>
                  <w:pPr>
                    <w:widowControl/>
                    <w:rPr>
                      <w:szCs w:val="21"/>
                    </w:rPr>
                  </w:pPr>
                  <w:r>
                    <w:rPr>
                      <w:rFonts w:hAnsi="宋体"/>
                      <w:color w:val="000000"/>
                      <w:szCs w:val="21"/>
                      <w:shd w:val="clear" w:color="auto" w:fill="FFFFFF"/>
                    </w:rPr>
                    <w:t>光亮剂主要作用表现在通过活性表面除去停留在</w:t>
                  </w:r>
                  <w:r>
                    <w:fldChar w:fldCharType="begin"/>
                  </w:r>
                  <w:r>
                    <w:instrText xml:space="preserve"> HYPERLINK "https://baike.baidu.com/item/%E9%87%91%E5%B1%9E/190330" \t "_blank" </w:instrText>
                  </w:r>
                  <w:r>
                    <w:fldChar w:fldCharType="separate"/>
                  </w:r>
                  <w:r>
                    <w:rPr>
                      <w:rFonts w:hAnsi="宋体"/>
                      <w:color w:val="000000"/>
                      <w:szCs w:val="21"/>
                    </w:rPr>
                    <w:t>金属</w:t>
                  </w:r>
                  <w:r>
                    <w:rPr>
                      <w:rFonts w:hAnsi="宋体"/>
                      <w:color w:val="000000"/>
                      <w:szCs w:val="21"/>
                    </w:rPr>
                    <w:fldChar w:fldCharType="end"/>
                  </w:r>
                  <w:r>
                    <w:rPr>
                      <w:rFonts w:hAnsi="宋体"/>
                      <w:color w:val="000000"/>
                      <w:szCs w:val="21"/>
                      <w:shd w:val="clear" w:color="auto" w:fill="FFFFFF"/>
                    </w:rPr>
                    <w:t>表面的</w:t>
                  </w:r>
                  <w:r>
                    <w:fldChar w:fldCharType="begin"/>
                  </w:r>
                  <w:r>
                    <w:instrText xml:space="preserve"> HYPERLINK "https://baike.baidu.com/item/%E6%B2%B9%E6%B1%A1/5161383" \t "_blank" </w:instrText>
                  </w:r>
                  <w:r>
                    <w:fldChar w:fldCharType="separate"/>
                  </w:r>
                  <w:r>
                    <w:rPr>
                      <w:rFonts w:hAnsi="宋体"/>
                      <w:color w:val="000000"/>
                      <w:szCs w:val="21"/>
                    </w:rPr>
                    <w:t>油污</w:t>
                  </w:r>
                  <w:r>
                    <w:rPr>
                      <w:rFonts w:hAnsi="宋体"/>
                      <w:color w:val="000000"/>
                      <w:szCs w:val="21"/>
                    </w:rPr>
                    <w:fldChar w:fldCharType="end"/>
                  </w:r>
                  <w:r>
                    <w:rPr>
                      <w:rFonts w:hAnsi="宋体"/>
                      <w:color w:val="000000"/>
                      <w:szCs w:val="21"/>
                      <w:shd w:val="clear" w:color="auto" w:fill="FFFFFF"/>
                    </w:rPr>
                    <w:t>、氧化及未氧化的表面杂质，保持物体外部的洁净、光泽度、色牢度。通过研磨作用影响外观的质感，提高抛光的效率。</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pct"/>
                  <w:vAlign w:val="center"/>
                </w:tcPr>
                <w:p>
                  <w:pPr>
                    <w:widowControl/>
                    <w:jc w:val="center"/>
                    <w:rPr>
                      <w:szCs w:val="21"/>
                    </w:rPr>
                  </w:pPr>
                  <w:r>
                    <w:rPr>
                      <w:rFonts w:hint="eastAsia"/>
                      <w:szCs w:val="21"/>
                    </w:rPr>
                    <w:t>十二烷基磺酸钠</w:t>
                  </w:r>
                </w:p>
              </w:tc>
              <w:tc>
                <w:tcPr>
                  <w:tcW w:w="589" w:type="pct"/>
                  <w:vAlign w:val="center"/>
                </w:tcPr>
                <w:p>
                  <w:pPr>
                    <w:jc w:val="center"/>
                    <w:rPr>
                      <w:kern w:val="0"/>
                    </w:rPr>
                  </w:pPr>
                  <w:r>
                    <w:rPr>
                      <w:rFonts w:hint="eastAsia"/>
                      <w:kern w:val="0"/>
                    </w:rPr>
                    <w:t>/</w:t>
                  </w:r>
                </w:p>
              </w:tc>
              <w:tc>
                <w:tcPr>
                  <w:tcW w:w="3735" w:type="pct"/>
                  <w:vAlign w:val="center"/>
                </w:tcPr>
                <w:p>
                  <w:pPr>
                    <w:pStyle w:val="19"/>
                    <w:spacing w:before="0" w:beforeAutospacing="0" w:after="0" w:afterAutospacing="0"/>
                    <w:rPr>
                      <w:rFonts w:ascii="Times New Roman" w:hAnsi="Times New Roman"/>
                      <w:sz w:val="18"/>
                      <w:szCs w:val="18"/>
                    </w:rPr>
                  </w:pPr>
                  <w:r>
                    <w:rPr>
                      <w:rFonts w:ascii="Times New Roman"/>
                      <w:color w:val="000000"/>
                      <w:kern w:val="2"/>
                      <w:sz w:val="21"/>
                      <w:szCs w:val="21"/>
                      <w:shd w:val="clear" w:color="auto" w:fill="FFFFFF"/>
                    </w:rPr>
                    <w:t>十</w:t>
                  </w:r>
                  <w:r>
                    <w:rPr>
                      <w:rFonts w:ascii="Times New Roman" w:hAnsi="Times New Roman"/>
                      <w:color w:val="000000"/>
                      <w:kern w:val="2"/>
                      <w:sz w:val="21"/>
                      <w:szCs w:val="21"/>
                      <w:shd w:val="clear" w:color="auto" w:fill="FFFFFF"/>
                    </w:rPr>
                    <w:t>二烷基磺酸钠，分子式为C</w:t>
                  </w:r>
                  <w:r>
                    <w:rPr>
                      <w:rFonts w:ascii="Times New Roman" w:hAnsi="Times New Roman"/>
                      <w:color w:val="000000"/>
                      <w:kern w:val="2"/>
                      <w:sz w:val="21"/>
                      <w:szCs w:val="21"/>
                      <w:shd w:val="clear" w:color="auto" w:fill="FFFFFF"/>
                      <w:vertAlign w:val="subscript"/>
                    </w:rPr>
                    <w:t>12</w:t>
                  </w:r>
                  <w:r>
                    <w:rPr>
                      <w:rFonts w:ascii="Times New Roman" w:hAnsi="Times New Roman"/>
                      <w:color w:val="000000"/>
                      <w:kern w:val="2"/>
                      <w:sz w:val="21"/>
                      <w:szCs w:val="21"/>
                      <w:shd w:val="clear" w:color="auto" w:fill="FFFFFF"/>
                    </w:rPr>
                    <w:t>H</w:t>
                  </w:r>
                  <w:r>
                    <w:rPr>
                      <w:rFonts w:ascii="Times New Roman" w:hAnsi="Times New Roman"/>
                      <w:color w:val="000000"/>
                      <w:kern w:val="2"/>
                      <w:sz w:val="21"/>
                      <w:szCs w:val="21"/>
                      <w:shd w:val="clear" w:color="auto" w:fill="FFFFFF"/>
                      <w:vertAlign w:val="subscript"/>
                    </w:rPr>
                    <w:t>25</w:t>
                  </w:r>
                  <w:r>
                    <w:fldChar w:fldCharType="begin"/>
                  </w:r>
                  <w:r>
                    <w:instrText xml:space="preserve"> HYPERLINK "https://baike.sogou.com/lemma/ShowInnerLink.htm?lemmaId=686970&amp;ss_c=ssc.citiao.link" \t "_blank" </w:instrText>
                  </w:r>
                  <w:r>
                    <w:fldChar w:fldCharType="separate"/>
                  </w:r>
                  <w:r>
                    <w:rPr>
                      <w:rFonts w:ascii="Times New Roman" w:hAnsi="Times New Roman"/>
                      <w:color w:val="000000"/>
                      <w:kern w:val="2"/>
                      <w:sz w:val="21"/>
                      <w:szCs w:val="21"/>
                    </w:rPr>
                    <w:t>SO</w:t>
                  </w:r>
                  <w:r>
                    <w:rPr>
                      <w:rFonts w:ascii="Times New Roman" w:hAnsi="Times New Roman"/>
                      <w:color w:val="000000"/>
                      <w:kern w:val="2"/>
                      <w:sz w:val="21"/>
                      <w:szCs w:val="21"/>
                      <w:vertAlign w:val="subscript"/>
                    </w:rPr>
                    <w:t>3</w:t>
                  </w:r>
                  <w:r>
                    <w:rPr>
                      <w:rFonts w:ascii="Times New Roman" w:hAnsi="Times New Roman"/>
                      <w:color w:val="000000"/>
                      <w:kern w:val="2"/>
                      <w:sz w:val="21"/>
                      <w:szCs w:val="21"/>
                      <w:vertAlign w:val="subscript"/>
                    </w:rPr>
                    <w:fldChar w:fldCharType="end"/>
                  </w:r>
                  <w:r>
                    <w:rPr>
                      <w:rFonts w:ascii="Times New Roman" w:hAnsi="Times New Roman"/>
                      <w:color w:val="000000"/>
                      <w:kern w:val="2"/>
                      <w:sz w:val="21"/>
                      <w:szCs w:val="21"/>
                      <w:shd w:val="clear" w:color="auto" w:fill="FFFFFF"/>
                    </w:rPr>
                    <w:t>Na。常用于化工和轻纺工业作</w:t>
                  </w:r>
                  <w:r>
                    <w:fldChar w:fldCharType="begin"/>
                  </w:r>
                  <w:r>
                    <w:instrText xml:space="preserve"> HYPERLINK "https://baike.sogou.com/lemma/ShowInnerLink.htm?lemmaId=256109&amp;ss_c=ssc.citiao.link" \t "_blank" </w:instrText>
                  </w:r>
                  <w:r>
                    <w:fldChar w:fldCharType="separate"/>
                  </w:r>
                  <w:r>
                    <w:rPr>
                      <w:rFonts w:ascii="Times New Roman" w:hAnsi="Times New Roman"/>
                      <w:color w:val="000000"/>
                      <w:kern w:val="2"/>
                      <w:sz w:val="21"/>
                      <w:szCs w:val="21"/>
                    </w:rPr>
                    <w:t>乳化剂</w:t>
                  </w:r>
                  <w:r>
                    <w:rPr>
                      <w:rFonts w:ascii="Times New Roman" w:hAnsi="Times New Roman"/>
                      <w:color w:val="000000"/>
                      <w:kern w:val="2"/>
                      <w:sz w:val="21"/>
                      <w:szCs w:val="21"/>
                    </w:rPr>
                    <w:fldChar w:fldCharType="end"/>
                  </w:r>
                  <w:r>
                    <w:rPr>
                      <w:rFonts w:ascii="Times New Roman" w:hAnsi="Times New Roman"/>
                      <w:color w:val="000000"/>
                      <w:kern w:val="2"/>
                      <w:sz w:val="21"/>
                      <w:szCs w:val="21"/>
                      <w:shd w:val="clear" w:color="auto" w:fill="FFFFFF"/>
                    </w:rPr>
                    <w:t>、浮选剂和浸透剂。为白色或浅黄色结晶或粉末，易溶于水，溶于热乙醇，不溶于冷水、</w:t>
                  </w:r>
                  <w:r>
                    <w:fldChar w:fldCharType="begin"/>
                  </w:r>
                  <w:r>
                    <w:instrText xml:space="preserve"> HYPERLINK "https://baike.sogou.com/lemma/ShowInnerLink.htm?lemmaId=379265&amp;ss_c=ssc.citiao.link" \t "_blank" </w:instrText>
                  </w:r>
                  <w:r>
                    <w:fldChar w:fldCharType="separate"/>
                  </w:r>
                  <w:r>
                    <w:rPr>
                      <w:rFonts w:ascii="Times New Roman" w:hAnsi="Times New Roman"/>
                      <w:color w:val="000000"/>
                      <w:kern w:val="2"/>
                      <w:sz w:val="21"/>
                      <w:szCs w:val="21"/>
                      <w:shd w:val="clear" w:color="auto" w:fill="FFFFFF"/>
                    </w:rPr>
                    <w:t>石油醚</w:t>
                  </w:r>
                  <w:r>
                    <w:rPr>
                      <w:rFonts w:ascii="Times New Roman" w:hAnsi="Times New Roman"/>
                      <w:color w:val="000000"/>
                      <w:kern w:val="2"/>
                      <w:sz w:val="21"/>
                      <w:szCs w:val="21"/>
                      <w:shd w:val="clear" w:color="auto" w:fill="FFFFFF"/>
                    </w:rPr>
                    <w:fldChar w:fldCharType="end"/>
                  </w:r>
                  <w:r>
                    <w:rPr>
                      <w:rFonts w:ascii="Times New Roman" w:hAnsi="Times New Roman"/>
                      <w:color w:val="000000"/>
                      <w:kern w:val="2"/>
                      <w:sz w:val="21"/>
                      <w:szCs w:val="21"/>
                      <w:shd w:val="clear" w:color="auto" w:fill="FFFFFF"/>
                    </w:rPr>
                    <w:t>。属</w:t>
                  </w:r>
                  <w:r>
                    <w:fldChar w:fldCharType="begin"/>
                  </w:r>
                  <w:r>
                    <w:instrText xml:space="preserve"> HYPERLINK "https://baike.sogou.com/lemma/ShowInnerLink.htm?lemmaId=132453&amp;ss_c=ssc.citiao.link" \t "_blank" </w:instrText>
                  </w:r>
                  <w:r>
                    <w:fldChar w:fldCharType="separate"/>
                  </w:r>
                  <w:r>
                    <w:rPr>
                      <w:rFonts w:ascii="Times New Roman" w:hAnsi="Times New Roman"/>
                      <w:color w:val="000000"/>
                      <w:kern w:val="2"/>
                      <w:sz w:val="21"/>
                      <w:szCs w:val="21"/>
                      <w:shd w:val="clear" w:color="auto" w:fill="FFFFFF"/>
                    </w:rPr>
                    <w:t>阴离子表面活性剂</w:t>
                  </w:r>
                  <w:r>
                    <w:rPr>
                      <w:rFonts w:ascii="Times New Roman" w:hAnsi="Times New Roman"/>
                      <w:color w:val="000000"/>
                      <w:kern w:val="2"/>
                      <w:sz w:val="21"/>
                      <w:szCs w:val="21"/>
                      <w:shd w:val="clear" w:color="auto" w:fill="FFFFFF"/>
                    </w:rPr>
                    <w:fldChar w:fldCharType="end"/>
                  </w:r>
                  <w:r>
                    <w:rPr>
                      <w:rFonts w:ascii="Times New Roman" w:hAnsi="Times New Roman"/>
                      <w:color w:val="000000"/>
                      <w:kern w:val="2"/>
                      <w:sz w:val="21"/>
                      <w:szCs w:val="21"/>
                      <w:shd w:val="clear" w:color="auto" w:fill="FFFFFF"/>
                    </w:rPr>
                    <w:t>，具有优异的渗透、洗涤、润湿、去污和乳化作用。</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pct"/>
                  <w:vAlign w:val="center"/>
                </w:tcPr>
                <w:p>
                  <w:pPr>
                    <w:widowControl/>
                    <w:jc w:val="center"/>
                    <w:rPr>
                      <w:szCs w:val="21"/>
                    </w:rPr>
                  </w:pPr>
                  <w:r>
                    <w:rPr>
                      <w:rFonts w:hint="eastAsia"/>
                      <w:szCs w:val="21"/>
                    </w:rPr>
                    <w:t>椰子油二乙醇酰胺</w:t>
                  </w:r>
                </w:p>
              </w:tc>
              <w:tc>
                <w:tcPr>
                  <w:tcW w:w="589" w:type="pct"/>
                  <w:vAlign w:val="center"/>
                </w:tcPr>
                <w:p>
                  <w:pPr>
                    <w:jc w:val="center"/>
                    <w:rPr>
                      <w:kern w:val="0"/>
                    </w:rPr>
                  </w:pPr>
                  <w:r>
                    <w:rPr>
                      <w:rFonts w:hint="eastAsia"/>
                      <w:kern w:val="0"/>
                    </w:rPr>
                    <w:t>/</w:t>
                  </w:r>
                </w:p>
              </w:tc>
              <w:tc>
                <w:tcPr>
                  <w:tcW w:w="3735" w:type="pct"/>
                  <w:vAlign w:val="center"/>
                </w:tcPr>
                <w:p>
                  <w:pPr>
                    <w:widowControl/>
                    <w:rPr>
                      <w:color w:val="000000"/>
                      <w:szCs w:val="21"/>
                      <w:shd w:val="clear" w:color="auto" w:fill="FFFFFF"/>
                    </w:rPr>
                  </w:pPr>
                  <w:r>
                    <w:t>淡黄色液体或膏状物，是一种非离子表面活性剂，没有浊点，广泛应用于液体洗涤剂、液体肥皂、香波、洗发剂、清洗剂、洗面剂等各种化妆用品的生产与制造，具有润湿、增稠、净洗、乳化、稳泡、柔软等性能</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pct"/>
                  <w:vAlign w:val="center"/>
                </w:tcPr>
                <w:p>
                  <w:pPr>
                    <w:widowControl/>
                    <w:jc w:val="center"/>
                    <w:rPr>
                      <w:szCs w:val="21"/>
                    </w:rPr>
                  </w:pPr>
                  <w:r>
                    <w:rPr>
                      <w:rFonts w:hint="eastAsia"/>
                      <w:szCs w:val="21"/>
                    </w:rPr>
                    <w:t>硬脂酸钠</w:t>
                  </w:r>
                </w:p>
              </w:tc>
              <w:tc>
                <w:tcPr>
                  <w:tcW w:w="589" w:type="pct"/>
                  <w:vAlign w:val="center"/>
                </w:tcPr>
                <w:p>
                  <w:pPr>
                    <w:jc w:val="center"/>
                    <w:rPr>
                      <w:kern w:val="0"/>
                    </w:rPr>
                  </w:pPr>
                  <w:r>
                    <w:rPr>
                      <w:rFonts w:hint="eastAsia"/>
                      <w:kern w:val="0"/>
                    </w:rPr>
                    <w:t>/</w:t>
                  </w:r>
                </w:p>
              </w:tc>
              <w:tc>
                <w:tcPr>
                  <w:tcW w:w="3735" w:type="pct"/>
                  <w:vAlign w:val="center"/>
                </w:tcPr>
                <w:p>
                  <w:pPr>
                    <w:widowControl/>
                    <w:rPr>
                      <w:color w:val="000000"/>
                      <w:szCs w:val="21"/>
                      <w:shd w:val="clear" w:color="auto" w:fill="FFFFFF"/>
                    </w:rPr>
                  </w:pPr>
                  <w:r>
                    <w:t>化学式C</w:t>
                  </w:r>
                  <w:r>
                    <w:rPr>
                      <w:vertAlign w:val="subscript"/>
                    </w:rPr>
                    <w:t>17</w:t>
                  </w:r>
                  <w:r>
                    <w:t>H</w:t>
                  </w:r>
                  <w:r>
                    <w:rPr>
                      <w:vertAlign w:val="subscript"/>
                    </w:rPr>
                    <w:t>35</w:t>
                  </w:r>
                  <w:r>
                    <w:t>COONa，白色油状粉末，有滑腻感和脂肪气味。易溶于热水或热醇。水溶液因水解呈碱性，醇溶液为中性。由十八烷酸和</w:t>
                  </w:r>
                  <w:r>
                    <w:fldChar w:fldCharType="begin"/>
                  </w:r>
                  <w:r>
                    <w:instrText xml:space="preserve"> HYPERLINK "https://baike.baidu.com/item/%E6%B0%A2%E6%B0%A7%E5%8C%96%E9%92%A0/114556" \t "_blank" </w:instrText>
                  </w:r>
                  <w:r>
                    <w:fldChar w:fldCharType="separate"/>
                  </w:r>
                  <w:r>
                    <w:t>氢氧化钠</w:t>
                  </w:r>
                  <w:r>
                    <w:fldChar w:fldCharType="end"/>
                  </w:r>
                  <w:r>
                    <w:t>相互作用而制得。用于牙膏制造，也用作防水剂和塑料稳定剂。</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pct"/>
                  <w:vAlign w:val="center"/>
                </w:tcPr>
                <w:p>
                  <w:pPr>
                    <w:widowControl/>
                    <w:jc w:val="center"/>
                    <w:textAlignment w:val="center"/>
                    <w:rPr>
                      <w:rFonts w:ascii="宋体" w:hAnsi="宋体" w:cs="宋体"/>
                      <w:kern w:val="0"/>
                      <w:szCs w:val="21"/>
                    </w:rPr>
                  </w:pPr>
                  <w:r>
                    <w:rPr>
                      <w:rFonts w:hint="eastAsia"/>
                      <w:szCs w:val="21"/>
                    </w:rPr>
                    <w:t>壬基酚聚氧乙烯醚</w:t>
                  </w:r>
                </w:p>
              </w:tc>
              <w:tc>
                <w:tcPr>
                  <w:tcW w:w="589" w:type="pct"/>
                  <w:vAlign w:val="center"/>
                </w:tcPr>
                <w:p>
                  <w:pPr>
                    <w:jc w:val="center"/>
                    <w:rPr>
                      <w:rFonts w:ascii="宋体" w:hAnsi="宋体" w:cs="宋体"/>
                      <w:kern w:val="0"/>
                      <w:szCs w:val="21"/>
                    </w:rPr>
                  </w:pPr>
                  <w:r>
                    <w:rPr>
                      <w:rFonts w:hint="eastAsia" w:ascii="宋体" w:hAnsi="宋体" w:cs="宋体"/>
                      <w:kern w:val="0"/>
                      <w:szCs w:val="21"/>
                    </w:rPr>
                    <w:t>/</w:t>
                  </w:r>
                </w:p>
              </w:tc>
              <w:tc>
                <w:tcPr>
                  <w:tcW w:w="3735" w:type="pct"/>
                  <w:vAlign w:val="center"/>
                </w:tcPr>
                <w:p>
                  <w:pPr>
                    <w:rPr>
                      <w:color w:val="000000"/>
                      <w:szCs w:val="21"/>
                      <w:shd w:val="clear" w:color="auto" w:fill="FFFFFF"/>
                    </w:rPr>
                  </w:pPr>
                  <w:r>
                    <w:rPr>
                      <w:rFonts w:hAnsi="宋体"/>
                      <w:color w:val="000000"/>
                      <w:szCs w:val="21"/>
                      <w:shd w:val="clear" w:color="auto" w:fill="FFFFFF"/>
                    </w:rPr>
                    <w:t>壬基酚聚氧乙烯醚为以</w:t>
                  </w:r>
                  <w:r>
                    <w:fldChar w:fldCharType="begin"/>
                  </w:r>
                  <w:r>
                    <w:instrText xml:space="preserve"> HYPERLINK "https://baike.baidu.com/item/%E5%A3%AC%E5%9F%BA%E9%85%9A/9791547" \t "_blank" </w:instrText>
                  </w:r>
                  <w:r>
                    <w:fldChar w:fldCharType="separate"/>
                  </w:r>
                  <w:r>
                    <w:rPr>
                      <w:rFonts w:hAnsi="宋体"/>
                      <w:color w:val="000000"/>
                      <w:szCs w:val="21"/>
                    </w:rPr>
                    <w:t>壬基酚</w:t>
                  </w:r>
                  <w:r>
                    <w:rPr>
                      <w:rFonts w:hAnsi="宋体"/>
                      <w:color w:val="000000"/>
                      <w:szCs w:val="21"/>
                    </w:rPr>
                    <w:fldChar w:fldCharType="end"/>
                  </w:r>
                  <w:r>
                    <w:rPr>
                      <w:rFonts w:hAnsi="宋体"/>
                      <w:color w:val="000000"/>
                      <w:szCs w:val="21"/>
                      <w:shd w:val="clear" w:color="auto" w:fill="FFFFFF"/>
                    </w:rPr>
                    <w:t>和</w:t>
                  </w:r>
                  <w:r>
                    <w:fldChar w:fldCharType="begin"/>
                  </w:r>
                  <w:r>
                    <w:instrText xml:space="preserve"> HYPERLINK "https://baike.baidu.com/item/%E7%8E%AF%E6%B0%A7%E4%B9%99%E7%83%B7/1403886" \t "_blank" </w:instrText>
                  </w:r>
                  <w:r>
                    <w:fldChar w:fldCharType="separate"/>
                  </w:r>
                  <w:r>
                    <w:rPr>
                      <w:rFonts w:hAnsi="宋体"/>
                      <w:color w:val="000000"/>
                      <w:szCs w:val="21"/>
                    </w:rPr>
                    <w:t>环氧乙烷</w:t>
                  </w:r>
                  <w:r>
                    <w:rPr>
                      <w:rFonts w:hAnsi="宋体"/>
                      <w:color w:val="000000"/>
                      <w:szCs w:val="21"/>
                    </w:rPr>
                    <w:fldChar w:fldCharType="end"/>
                  </w:r>
                  <w:r>
                    <w:rPr>
                      <w:rFonts w:hAnsi="宋体"/>
                      <w:color w:val="000000"/>
                      <w:szCs w:val="21"/>
                      <w:shd w:val="clear" w:color="auto" w:fill="FFFFFF"/>
                    </w:rPr>
                    <w:t>在催化剂作用下缩合反应的非离子表面活性剂。有各种不同的亲水亲油平衡值</w:t>
                  </w:r>
                  <w:r>
                    <w:rPr>
                      <w:color w:val="000000"/>
                      <w:szCs w:val="21"/>
                      <w:shd w:val="clear" w:color="auto" w:fill="FFFFFF"/>
                    </w:rPr>
                    <w:t>(HLBvalue)</w:t>
                  </w:r>
                  <w:r>
                    <w:rPr>
                      <w:rFonts w:hAnsi="宋体"/>
                      <w:color w:val="000000"/>
                      <w:szCs w:val="21"/>
                      <w:shd w:val="clear" w:color="auto" w:fill="FFFFFF"/>
                    </w:rPr>
                    <w:t>。本品在洗涤剂</w:t>
                  </w:r>
                  <w:r>
                    <w:rPr>
                      <w:color w:val="000000"/>
                      <w:szCs w:val="21"/>
                      <w:shd w:val="clear" w:color="auto" w:fill="FFFFFF"/>
                    </w:rPr>
                    <w:t>/</w:t>
                  </w:r>
                  <w:r>
                    <w:rPr>
                      <w:rFonts w:hAnsi="宋体"/>
                      <w:color w:val="000000"/>
                      <w:szCs w:val="21"/>
                      <w:shd w:val="clear" w:color="auto" w:fill="FFFFFF"/>
                    </w:rPr>
                    <w:t>印染</w:t>
                  </w:r>
                  <w:r>
                    <w:rPr>
                      <w:color w:val="000000"/>
                      <w:szCs w:val="21"/>
                      <w:shd w:val="clear" w:color="auto" w:fill="FFFFFF"/>
                    </w:rPr>
                    <w:t>/</w:t>
                  </w:r>
                  <w:r>
                    <w:rPr>
                      <w:rFonts w:hAnsi="宋体"/>
                      <w:color w:val="000000"/>
                      <w:szCs w:val="21"/>
                      <w:shd w:val="clear" w:color="auto" w:fill="FFFFFF"/>
                    </w:rPr>
                    <w:t>化工有广泛的用途。本品有良好的渗透</w:t>
                  </w:r>
                  <w:r>
                    <w:rPr>
                      <w:color w:val="000000"/>
                      <w:szCs w:val="21"/>
                      <w:shd w:val="clear" w:color="auto" w:fill="FFFFFF"/>
                    </w:rPr>
                    <w:t>/</w:t>
                  </w:r>
                  <w:r>
                    <w:rPr>
                      <w:rFonts w:hAnsi="宋体"/>
                      <w:color w:val="000000"/>
                      <w:szCs w:val="21"/>
                      <w:shd w:val="clear" w:color="auto" w:fill="FFFFFF"/>
                    </w:rPr>
                    <w:t>乳化</w:t>
                  </w:r>
                  <w:r>
                    <w:rPr>
                      <w:color w:val="000000"/>
                      <w:szCs w:val="21"/>
                      <w:shd w:val="clear" w:color="auto" w:fill="FFFFFF"/>
                    </w:rPr>
                    <w:t>/</w:t>
                  </w:r>
                  <w:r>
                    <w:rPr>
                      <w:rFonts w:hAnsi="宋体"/>
                      <w:color w:val="000000"/>
                      <w:szCs w:val="21"/>
                      <w:shd w:val="clear" w:color="auto" w:fill="FFFFFF"/>
                    </w:rPr>
                    <w:t>分散</w:t>
                  </w:r>
                  <w:r>
                    <w:rPr>
                      <w:color w:val="000000"/>
                      <w:szCs w:val="21"/>
                      <w:shd w:val="clear" w:color="auto" w:fill="FFFFFF"/>
                    </w:rPr>
                    <w:t>/</w:t>
                  </w:r>
                  <w:r>
                    <w:rPr>
                      <w:rFonts w:hAnsi="宋体"/>
                      <w:color w:val="000000"/>
                      <w:szCs w:val="21"/>
                      <w:shd w:val="clear" w:color="auto" w:fill="FFFFFF"/>
                    </w:rPr>
                    <w:t>抗酸</w:t>
                  </w:r>
                  <w:r>
                    <w:rPr>
                      <w:color w:val="000000"/>
                      <w:szCs w:val="21"/>
                      <w:shd w:val="clear" w:color="auto" w:fill="FFFFFF"/>
                    </w:rPr>
                    <w:t>/</w:t>
                  </w:r>
                  <w:r>
                    <w:rPr>
                      <w:rFonts w:hAnsi="宋体"/>
                      <w:color w:val="000000"/>
                      <w:szCs w:val="21"/>
                      <w:shd w:val="clear" w:color="auto" w:fill="FFFFFF"/>
                    </w:rPr>
                    <w:t>抗碱</w:t>
                  </w:r>
                  <w:r>
                    <w:rPr>
                      <w:color w:val="000000"/>
                      <w:szCs w:val="21"/>
                      <w:shd w:val="clear" w:color="auto" w:fill="FFFFFF"/>
                    </w:rPr>
                    <w:t>/</w:t>
                  </w:r>
                  <w:r>
                    <w:rPr>
                      <w:rFonts w:hAnsi="宋体"/>
                      <w:color w:val="000000"/>
                      <w:szCs w:val="21"/>
                      <w:shd w:val="clear" w:color="auto" w:fill="FFFFFF"/>
                    </w:rPr>
                    <w:t>抗硬水</w:t>
                  </w:r>
                  <w:r>
                    <w:rPr>
                      <w:color w:val="000000"/>
                      <w:szCs w:val="21"/>
                      <w:shd w:val="clear" w:color="auto" w:fill="FFFFFF"/>
                    </w:rPr>
                    <w:t>/</w:t>
                  </w:r>
                  <w:r>
                    <w:rPr>
                      <w:rFonts w:hAnsi="宋体"/>
                      <w:color w:val="000000"/>
                      <w:szCs w:val="21"/>
                      <w:shd w:val="clear" w:color="auto" w:fill="FFFFFF"/>
                    </w:rPr>
                    <w:t>抗还原</w:t>
                  </w:r>
                  <w:r>
                    <w:rPr>
                      <w:color w:val="000000"/>
                      <w:szCs w:val="21"/>
                      <w:shd w:val="clear" w:color="auto" w:fill="FFFFFF"/>
                    </w:rPr>
                    <w:t>/</w:t>
                  </w:r>
                  <w:r>
                    <w:rPr>
                      <w:rFonts w:hAnsi="宋体"/>
                      <w:color w:val="000000"/>
                      <w:szCs w:val="21"/>
                      <w:shd w:val="clear" w:color="auto" w:fill="FFFFFF"/>
                    </w:rPr>
                    <w:t>抗氧化能力。无色透明液体；密度：</w:t>
                  </w:r>
                  <w:r>
                    <w:rPr>
                      <w:color w:val="000000"/>
                      <w:szCs w:val="21"/>
                      <w:shd w:val="clear" w:color="auto" w:fill="FFFFFF"/>
                    </w:rPr>
                    <w:t>1.06g/ml；熔点：44-46℃；沸点：250℃。</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pct"/>
                  <w:vAlign w:val="center"/>
                </w:tcPr>
                <w:p>
                  <w:pPr>
                    <w:widowControl/>
                    <w:jc w:val="center"/>
                    <w:textAlignment w:val="center"/>
                    <w:rPr>
                      <w:szCs w:val="21"/>
                    </w:rPr>
                  </w:pPr>
                  <w:r>
                    <w:rPr>
                      <w:rFonts w:hint="eastAsia"/>
                      <w:szCs w:val="21"/>
                    </w:rPr>
                    <w:t>十二烷基苯磺酸</w:t>
                  </w:r>
                </w:p>
              </w:tc>
              <w:tc>
                <w:tcPr>
                  <w:tcW w:w="589" w:type="pct"/>
                  <w:vAlign w:val="center"/>
                </w:tcPr>
                <w:p>
                  <w:pPr>
                    <w:jc w:val="center"/>
                    <w:rPr>
                      <w:rFonts w:ascii="宋体" w:hAnsi="宋体" w:cs="宋体"/>
                      <w:kern w:val="0"/>
                      <w:szCs w:val="21"/>
                    </w:rPr>
                  </w:pPr>
                  <w:r>
                    <w:rPr>
                      <w:rFonts w:hint="eastAsia" w:ascii="宋体" w:hAnsi="宋体" w:cs="宋体"/>
                      <w:kern w:val="0"/>
                      <w:szCs w:val="21"/>
                    </w:rPr>
                    <w:t>/</w:t>
                  </w:r>
                </w:p>
              </w:tc>
              <w:tc>
                <w:tcPr>
                  <w:tcW w:w="3735" w:type="pct"/>
                  <w:vAlign w:val="center"/>
                </w:tcPr>
                <w:p>
                  <w:r>
                    <w:t>十二烷基苯磺酸是一种有机化合物，分子式为C</w:t>
                  </w:r>
                  <w:r>
                    <w:rPr>
                      <w:vertAlign w:val="subscript"/>
                    </w:rPr>
                    <w:t>18</w:t>
                  </w:r>
                  <w:r>
                    <w:t>H</w:t>
                  </w:r>
                  <w:r>
                    <w:rPr>
                      <w:vertAlign w:val="subscript"/>
                    </w:rPr>
                    <w:t>30</w:t>
                  </w:r>
                  <w:r>
                    <w:t>SO</w:t>
                  </w:r>
                  <w:r>
                    <w:rPr>
                      <w:vertAlign w:val="subscript"/>
                    </w:rPr>
                    <w:t>3</w:t>
                  </w:r>
                  <w:r>
                    <w:t>，淡黄色至棕色粘稠液体。相对分子质量326.49，溶于水，用水稀释时生热。稍溶于苯、二甲苯，易溶于甲醇、乙醇、丙醇、乙醚等有机溶剂。具有乳化、分散、去污等作用。</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pct"/>
                  <w:vAlign w:val="center"/>
                </w:tcPr>
                <w:p>
                  <w:pPr>
                    <w:widowControl/>
                    <w:jc w:val="center"/>
                    <w:textAlignment w:val="center"/>
                    <w:rPr>
                      <w:szCs w:val="21"/>
                    </w:rPr>
                  </w:pPr>
                  <w:r>
                    <w:rPr>
                      <w:rFonts w:hint="eastAsia"/>
                      <w:szCs w:val="21"/>
                    </w:rPr>
                    <w:t>硬脂酸</w:t>
                  </w:r>
                </w:p>
              </w:tc>
              <w:tc>
                <w:tcPr>
                  <w:tcW w:w="589" w:type="pct"/>
                  <w:vAlign w:val="center"/>
                </w:tcPr>
                <w:p>
                  <w:pPr>
                    <w:jc w:val="center"/>
                    <w:rPr>
                      <w:rFonts w:ascii="宋体" w:hAnsi="宋体" w:cs="宋体"/>
                      <w:kern w:val="0"/>
                      <w:szCs w:val="21"/>
                    </w:rPr>
                  </w:pPr>
                </w:p>
              </w:tc>
              <w:tc>
                <w:tcPr>
                  <w:tcW w:w="3735" w:type="pct"/>
                  <w:vAlign w:val="center"/>
                </w:tcPr>
                <w:p>
                  <w:r>
                    <w:t>白色蜡状透明固体或微黄色蜡状固体。能分散成粉末，微带牛油气味。不溶于水，稍溶于冷乙醇，加热时较易溶解。微溶于丙酮、苯，易溶于乙醚、氯仿、热乙醇、</w:t>
                  </w:r>
                  <w:r>
                    <w:fldChar w:fldCharType="begin"/>
                  </w:r>
                  <w:r>
                    <w:instrText xml:space="preserve"> HYPERLINK "https://baike.baidu.com/item/%E5%9B%9B%E6%B0%AF%E5%8C%96%E7%A2%B3/170601" \t "_blank" </w:instrText>
                  </w:r>
                  <w:r>
                    <w:fldChar w:fldCharType="separate"/>
                  </w:r>
                  <w:r>
                    <w:t>四氯化碳</w:t>
                  </w:r>
                  <w:r>
                    <w:fldChar w:fldCharType="end"/>
                  </w:r>
                  <w:r>
                    <w:t>、</w:t>
                  </w:r>
                  <w:r>
                    <w:fldChar w:fldCharType="begin"/>
                  </w:r>
                  <w:r>
                    <w:instrText xml:space="preserve"> HYPERLINK "https://baike.baidu.com/item/%E4%BA%8C%E7%A1%AB%E5%8C%96%E7%A2%B3/6032457" \t "_blank" </w:instrText>
                  </w:r>
                  <w:r>
                    <w:fldChar w:fldCharType="separate"/>
                  </w:r>
                  <w:r>
                    <w:t>二硫化碳</w:t>
                  </w:r>
                  <w:r>
                    <w:fldChar w:fldCharType="end"/>
                  </w:r>
                  <w:r>
                    <w:t>。由</w:t>
                  </w:r>
                  <w:r>
                    <w:fldChar w:fldCharType="begin"/>
                  </w:r>
                  <w:r>
                    <w:instrText xml:space="preserve"> HYPERLINK "https://baike.baidu.com/item/%E6%B2%B9%E8%84%82%E6%B0%B4%E8%A7%A3/5439358" \t "_blank" </w:instrText>
                  </w:r>
                  <w:r>
                    <w:fldChar w:fldCharType="separate"/>
                  </w:r>
                  <w:r>
                    <w:t>油脂水解</w:t>
                  </w:r>
                  <w:r>
                    <w:fldChar w:fldCharType="end"/>
                  </w:r>
                  <w:r>
                    <w:t>生产，主要用于生产硬脂酸盐。</w:t>
                  </w:r>
                </w:p>
              </w:tc>
            </w:tr>
            <w:tr>
              <w:tblPrEx>
                <w:tblBorders>
                  <w:top w:val="single" w:color="000000" w:sz="12" w:space="0"/>
                  <w:left w:val="none" w:color="auto" w:sz="0" w:space="0"/>
                  <w:bottom w:val="single" w:color="auto"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76" w:type="pct"/>
                  <w:vAlign w:val="center"/>
                </w:tcPr>
                <w:p>
                  <w:pPr>
                    <w:adjustRightInd w:val="0"/>
                    <w:snapToGrid w:val="0"/>
                    <w:jc w:val="center"/>
                    <w:rPr>
                      <w:szCs w:val="21"/>
                    </w:rPr>
                  </w:pPr>
                  <w:r>
                    <w:rPr>
                      <w:rFonts w:hint="eastAsia"/>
                      <w:szCs w:val="21"/>
                    </w:rPr>
                    <w:t>氩气</w:t>
                  </w:r>
                </w:p>
              </w:tc>
              <w:tc>
                <w:tcPr>
                  <w:tcW w:w="589" w:type="pct"/>
                  <w:vAlign w:val="center"/>
                </w:tcPr>
                <w:p>
                  <w:pPr>
                    <w:jc w:val="center"/>
                    <w:rPr>
                      <w:kern w:val="0"/>
                    </w:rPr>
                  </w:pPr>
                  <w:r>
                    <w:rPr>
                      <w:rFonts w:hint="eastAsia"/>
                      <w:kern w:val="0"/>
                    </w:rPr>
                    <w:t>/</w:t>
                  </w:r>
                </w:p>
              </w:tc>
              <w:tc>
                <w:tcPr>
                  <w:tcW w:w="3735" w:type="pct"/>
                  <w:vAlign w:val="center"/>
                </w:tcPr>
                <w:p>
                  <w:pPr>
                    <w:widowControl/>
                    <w:rPr>
                      <w:color w:val="000000"/>
                      <w:szCs w:val="21"/>
                      <w:shd w:val="clear" w:color="auto" w:fill="FFFFFF"/>
                    </w:rPr>
                  </w:pPr>
                  <w:r>
                    <w:rPr>
                      <w:rFonts w:hAnsi="宋体"/>
                      <w:color w:val="000000"/>
                      <w:szCs w:val="21"/>
                      <w:shd w:val="clear" w:color="auto" w:fill="FFFFFF"/>
                    </w:rPr>
                    <w:t>氩气是一种无色、无味的单原子气体，相对原子质量为</w:t>
                  </w:r>
                  <w:r>
                    <w:rPr>
                      <w:color w:val="000000"/>
                      <w:szCs w:val="21"/>
                      <w:shd w:val="clear" w:color="auto" w:fill="FFFFFF"/>
                    </w:rPr>
                    <w:t>39.948</w:t>
                  </w:r>
                  <w:r>
                    <w:rPr>
                      <w:rFonts w:hAnsi="宋体"/>
                      <w:color w:val="000000"/>
                      <w:szCs w:val="21"/>
                      <w:shd w:val="clear" w:color="auto" w:fill="FFFFFF"/>
                    </w:rPr>
                    <w:t>。一般由空气液化后，用</w:t>
                  </w:r>
                  <w:r>
                    <w:fldChar w:fldCharType="begin"/>
                  </w:r>
                  <w:r>
                    <w:instrText xml:space="preserve"> HYPERLINK "https://baike.baidu.com/item/%E5%88%86%E9%A6%8F%E6%B3%95/364124" \t "_blank" </w:instrText>
                  </w:r>
                  <w:r>
                    <w:fldChar w:fldCharType="separate"/>
                  </w:r>
                  <w:r>
                    <w:rPr>
                      <w:rFonts w:hAnsi="宋体"/>
                      <w:color w:val="000000"/>
                      <w:szCs w:val="21"/>
                    </w:rPr>
                    <w:t>分馏法</w:t>
                  </w:r>
                  <w:r>
                    <w:rPr>
                      <w:rFonts w:hAnsi="宋体"/>
                      <w:color w:val="000000"/>
                      <w:szCs w:val="21"/>
                    </w:rPr>
                    <w:fldChar w:fldCharType="end"/>
                  </w:r>
                  <w:r>
                    <w:rPr>
                      <w:rFonts w:hAnsi="宋体"/>
                      <w:color w:val="000000"/>
                      <w:szCs w:val="21"/>
                      <w:shd w:val="clear" w:color="auto" w:fill="FFFFFF"/>
                    </w:rPr>
                    <w:t>制取氩气。氩气的密度是空气的</w:t>
                  </w:r>
                  <w:r>
                    <w:rPr>
                      <w:color w:val="000000"/>
                      <w:szCs w:val="21"/>
                      <w:shd w:val="clear" w:color="auto" w:fill="FFFFFF"/>
                    </w:rPr>
                    <w:t>1.4</w:t>
                  </w:r>
                  <w:r>
                    <w:rPr>
                      <w:rFonts w:hAnsi="宋体"/>
                      <w:color w:val="000000"/>
                      <w:szCs w:val="21"/>
                      <w:shd w:val="clear" w:color="auto" w:fill="FFFFFF"/>
                    </w:rPr>
                    <w:t>倍，是氦气的</w:t>
                  </w:r>
                  <w:r>
                    <w:rPr>
                      <w:color w:val="000000"/>
                      <w:szCs w:val="21"/>
                      <w:shd w:val="clear" w:color="auto" w:fill="FFFFFF"/>
                    </w:rPr>
                    <w:t>10</w:t>
                  </w:r>
                  <w:r>
                    <w:rPr>
                      <w:rFonts w:hAnsi="宋体"/>
                      <w:color w:val="000000"/>
                      <w:szCs w:val="21"/>
                      <w:shd w:val="clear" w:color="auto" w:fill="FFFFFF"/>
                    </w:rPr>
                    <w:t>倍。氩气是一种</w:t>
                  </w:r>
                  <w:r>
                    <w:fldChar w:fldCharType="begin"/>
                  </w:r>
                  <w:r>
                    <w:instrText xml:space="preserve"> HYPERLINK "https://baike.baidu.com/item/%E6%83%B0%E6%80%A7%E6%B0%94%E4%BD%93/1836373" \t "_blank" </w:instrText>
                  </w:r>
                  <w:r>
                    <w:fldChar w:fldCharType="separate"/>
                  </w:r>
                  <w:r>
                    <w:rPr>
                      <w:rFonts w:hAnsi="宋体"/>
                      <w:color w:val="000000"/>
                      <w:szCs w:val="21"/>
                    </w:rPr>
                    <w:t>惰性气体</w:t>
                  </w:r>
                  <w:r>
                    <w:rPr>
                      <w:rFonts w:hAnsi="宋体"/>
                      <w:color w:val="000000"/>
                      <w:szCs w:val="21"/>
                    </w:rPr>
                    <w:fldChar w:fldCharType="end"/>
                  </w:r>
                  <w:r>
                    <w:rPr>
                      <w:rFonts w:hAnsi="宋体"/>
                      <w:color w:val="000000"/>
                      <w:szCs w:val="21"/>
                      <w:shd w:val="clear" w:color="auto" w:fill="FFFFFF"/>
                    </w:rPr>
                    <w:t>，在常温下与其他物质均不起化学反应，在高温下也不溶于</w:t>
                  </w:r>
                  <w:r>
                    <w:fldChar w:fldCharType="begin"/>
                  </w:r>
                  <w:r>
                    <w:instrText xml:space="preserve"> HYPERLINK "https://baike.baidu.com/item/%E6%B6%B2%E6%80%81%E9%87%91%E5%B1%9E/4809216" \t "_blank" </w:instrText>
                  </w:r>
                  <w:r>
                    <w:fldChar w:fldCharType="separate"/>
                  </w:r>
                  <w:r>
                    <w:rPr>
                      <w:rFonts w:hAnsi="宋体"/>
                      <w:color w:val="000000"/>
                      <w:szCs w:val="21"/>
                    </w:rPr>
                    <w:t>液态金属</w:t>
                  </w:r>
                  <w:r>
                    <w:rPr>
                      <w:rFonts w:hAnsi="宋体"/>
                      <w:color w:val="000000"/>
                      <w:szCs w:val="21"/>
                    </w:rPr>
                    <w:fldChar w:fldCharType="end"/>
                  </w:r>
                  <w:r>
                    <w:rPr>
                      <w:rFonts w:hAnsi="宋体"/>
                      <w:color w:val="000000"/>
                      <w:szCs w:val="21"/>
                      <w:shd w:val="clear" w:color="auto" w:fill="FFFFFF"/>
                    </w:rPr>
                    <w:t>中，在焊接有色金属时更能显示其优越性。可用于灯泡充气和对不锈钢、镁、铝等的电弧焊接，即</w:t>
                  </w:r>
                  <w:r>
                    <w:rPr>
                      <w:color w:val="000000"/>
                      <w:szCs w:val="21"/>
                      <w:shd w:val="clear" w:color="auto" w:fill="FFFFFF"/>
                    </w:rPr>
                    <w:t>“</w:t>
                  </w:r>
                  <w:r>
                    <w:fldChar w:fldCharType="begin"/>
                  </w:r>
                  <w:r>
                    <w:instrText xml:space="preserve"> HYPERLINK "https://baike.baidu.com/item/%E6%B0%A9%E5%BC%A7%E7%84%8A/5857853" \t "_blank" </w:instrText>
                  </w:r>
                  <w:r>
                    <w:fldChar w:fldCharType="separate"/>
                  </w:r>
                  <w:r>
                    <w:rPr>
                      <w:rFonts w:hAnsi="宋体"/>
                      <w:color w:val="000000"/>
                      <w:szCs w:val="21"/>
                    </w:rPr>
                    <w:t>氩弧焊</w:t>
                  </w:r>
                  <w:r>
                    <w:rPr>
                      <w:rFonts w:hAnsi="宋体"/>
                      <w:color w:val="000000"/>
                      <w:szCs w:val="21"/>
                    </w:rPr>
                    <w:fldChar w:fldCharType="end"/>
                  </w:r>
                  <w:r>
                    <w:rPr>
                      <w:color w:val="000000"/>
                      <w:szCs w:val="21"/>
                      <w:shd w:val="clear" w:color="auto" w:fill="FFFFFF"/>
                    </w:rPr>
                    <w:t>”</w:t>
                  </w:r>
                  <w:r>
                    <w:rPr>
                      <w:rFonts w:hAnsi="宋体"/>
                      <w:color w:val="000000"/>
                      <w:szCs w:val="21"/>
                      <w:shd w:val="clear" w:color="auto" w:fill="FFFFFF"/>
                    </w:rPr>
                    <w:t>。</w:t>
                  </w:r>
                </w:p>
              </w:tc>
            </w:tr>
          </w:tbl>
          <w:p>
            <w:pPr>
              <w:widowControl/>
              <w:spacing w:line="360" w:lineRule="auto"/>
              <w:jc w:val="left"/>
              <w:rPr>
                <w:b/>
                <w:bCs/>
                <w:sz w:val="24"/>
              </w:rPr>
            </w:pPr>
          </w:p>
          <w:p>
            <w:pPr>
              <w:widowControl/>
              <w:spacing w:line="360" w:lineRule="auto"/>
              <w:jc w:val="left"/>
              <w:rPr>
                <w:rFonts w:ascii="宋体" w:hAnsi="宋体"/>
                <w:b/>
                <w:bCs/>
                <w:sz w:val="24"/>
              </w:rPr>
            </w:pPr>
            <w:r>
              <w:rPr>
                <w:rFonts w:hint="eastAsia"/>
                <w:b/>
                <w:bCs/>
                <w:sz w:val="24"/>
              </w:rPr>
              <w:t>8</w:t>
            </w:r>
            <w:r>
              <w:rPr>
                <w:rFonts w:hint="eastAsia" w:ascii="宋体" w:hAnsi="宋体"/>
                <w:b/>
                <w:bCs/>
                <w:sz w:val="24"/>
              </w:rPr>
              <w:t>、给排水</w:t>
            </w:r>
          </w:p>
          <w:p>
            <w:pPr>
              <w:adjustRightInd w:val="0"/>
              <w:snapToGrid w:val="0"/>
              <w:spacing w:line="360" w:lineRule="auto"/>
              <w:ind w:firstLine="480" w:firstLineChars="200"/>
              <w:rPr>
                <w:sz w:val="24"/>
              </w:rPr>
            </w:pPr>
            <w:r>
              <w:rPr>
                <w:rFonts w:hint="eastAsia" w:ascii="宋体" w:hAnsi="宋体"/>
                <w:sz w:val="24"/>
              </w:rPr>
              <w:t>①</w:t>
            </w:r>
            <w:r>
              <w:rPr>
                <w:rFonts w:hint="eastAsia"/>
                <w:sz w:val="24"/>
              </w:rPr>
              <w:t>生活用水：项目拟用职工20人，年工作300天，一班制生产，厂内设食堂和员工宿舍，参照《常州市工业和城市生活用水定额》，厂区职工生活用水量以100L/d·人计，则生活用水消耗量为600t/a，生活污水的排放系数取80％，则项目生活污水的排放量为480t/a</w:t>
            </w:r>
            <w:r>
              <w:rPr>
                <w:sz w:val="24"/>
              </w:rPr>
              <w:t>。</w:t>
            </w:r>
          </w:p>
          <w:p>
            <w:pPr>
              <w:pStyle w:val="9"/>
              <w:spacing w:after="0" w:line="360" w:lineRule="auto"/>
              <w:ind w:left="0" w:leftChars="0" w:right="0" w:rightChars="0" w:firstLine="480" w:firstLineChars="200"/>
              <w:rPr>
                <w:rFonts w:ascii="Times New Roman" w:hAnsi="宋体"/>
                <w:sz w:val="24"/>
              </w:rPr>
            </w:pPr>
            <w:r>
              <w:rPr>
                <w:rFonts w:ascii="Times New Roman" w:hAnsi="宋体"/>
                <w:color w:val="000000"/>
                <w:sz w:val="24"/>
              </w:rPr>
              <w:t>②</w:t>
            </w:r>
            <w:r>
              <w:rPr>
                <w:rFonts w:ascii="Times New Roman" w:hAnsi="Times New Roman"/>
                <w:color w:val="000000"/>
                <w:sz w:val="24"/>
              </w:rPr>
              <w:t>食堂用水：</w:t>
            </w:r>
            <w:r>
              <w:rPr>
                <w:rFonts w:ascii="Times New Roman" w:hAnsi="宋体"/>
                <w:sz w:val="24"/>
              </w:rPr>
              <w:t>食堂每天用餐员工共约</w:t>
            </w:r>
            <w:r>
              <w:rPr>
                <w:rFonts w:ascii="Times New Roman" w:hAnsi="Times New Roman"/>
                <w:sz w:val="24"/>
              </w:rPr>
              <w:t>20</w:t>
            </w:r>
            <w:r>
              <w:rPr>
                <w:rFonts w:ascii="Times New Roman" w:hAnsi="宋体"/>
                <w:sz w:val="24"/>
              </w:rPr>
              <w:t>人次，按人均用水量</w:t>
            </w:r>
            <w:r>
              <w:rPr>
                <w:rFonts w:ascii="Times New Roman" w:hAnsi="Times New Roman"/>
                <w:sz w:val="24"/>
              </w:rPr>
              <w:t>10L/</w:t>
            </w:r>
            <w:r>
              <w:rPr>
                <w:rFonts w:ascii="Times New Roman" w:hAnsi="宋体"/>
                <w:sz w:val="24"/>
              </w:rPr>
              <w:t>人</w:t>
            </w:r>
            <w:r>
              <w:rPr>
                <w:rFonts w:ascii="Times New Roman" w:hAnsi="Times New Roman"/>
                <w:sz w:val="24"/>
              </w:rPr>
              <w:t>·</w:t>
            </w:r>
            <w:r>
              <w:rPr>
                <w:rFonts w:ascii="Times New Roman" w:hAnsi="宋体"/>
                <w:sz w:val="24"/>
              </w:rPr>
              <w:t>次计算，则总用水量为</w:t>
            </w:r>
            <w:r>
              <w:rPr>
                <w:rFonts w:ascii="Times New Roman" w:hAnsi="Times New Roman"/>
                <w:sz w:val="24"/>
              </w:rPr>
              <w:t>6</w:t>
            </w:r>
            <w:r>
              <w:rPr>
                <w:rFonts w:hint="eastAsia" w:ascii="Times New Roman" w:hAnsi="Times New Roman"/>
                <w:sz w:val="24"/>
              </w:rPr>
              <w:t>0</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/a</w:t>
            </w:r>
            <w:r>
              <w:rPr>
                <w:rFonts w:ascii="Times New Roman" w:hAnsi="宋体"/>
                <w:sz w:val="24"/>
              </w:rPr>
              <w:t>，以排放系数</w:t>
            </w:r>
            <w:r>
              <w:rPr>
                <w:rFonts w:ascii="Times New Roman" w:hAnsi="Times New Roman"/>
                <w:sz w:val="24"/>
              </w:rPr>
              <w:t>80%</w:t>
            </w:r>
            <w:r>
              <w:rPr>
                <w:rFonts w:ascii="Times New Roman" w:hAnsi="宋体"/>
                <w:sz w:val="24"/>
              </w:rPr>
              <w:t>计算，排水量为</w:t>
            </w:r>
            <w:r>
              <w:rPr>
                <w:rFonts w:hint="eastAsia" w:ascii="Times New Roman" w:hAnsi="Times New Roman"/>
                <w:sz w:val="24"/>
              </w:rPr>
              <w:t>48</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/a</w:t>
            </w:r>
            <w:r>
              <w:rPr>
                <w:rFonts w:ascii="Times New Roman" w:hAnsi="宋体"/>
                <w:sz w:val="24"/>
              </w:rPr>
              <w:t>。</w:t>
            </w:r>
          </w:p>
          <w:p>
            <w:pPr>
              <w:pStyle w:val="9"/>
              <w:spacing w:after="0" w:line="360" w:lineRule="auto"/>
              <w:ind w:left="0" w:leftChars="0" w:right="0" w:rightChars="0" w:firstLine="480" w:firstLineChars="200"/>
              <w:rPr>
                <w:rFonts w:ascii="Times New Roman" w:hAnsi="Times New Roman"/>
                <w:color w:val="000000"/>
                <w:sz w:val="24"/>
              </w:rPr>
            </w:pPr>
            <w:r>
              <w:rPr>
                <w:rFonts w:ascii="Times New Roman" w:hAnsi="宋体"/>
                <w:color w:val="000000"/>
                <w:sz w:val="24"/>
              </w:rPr>
              <w:t>③</w:t>
            </w:r>
            <w:r>
              <w:rPr>
                <w:rFonts w:ascii="Times New Roman" w:hAnsi="Times New Roman"/>
                <w:color w:val="000000"/>
                <w:sz w:val="24"/>
              </w:rPr>
              <w:t>研磨清洗用水：</w:t>
            </w:r>
            <w:r>
              <w:rPr>
                <w:rFonts w:ascii="Times New Roman" w:hAnsi="Times New Roman"/>
                <w:sz w:val="24"/>
              </w:rPr>
              <w:t>企业研磨清洗过程中需添加水、光亮剂和清洗剂，研磨清洗过程在离心机和磁力抛光机内进行，</w:t>
            </w:r>
            <w:r>
              <w:rPr>
                <w:rFonts w:ascii="Times New Roman"/>
                <w:color w:val="000000"/>
                <w:sz w:val="24"/>
              </w:rPr>
              <w:t>本项目设置</w:t>
            </w:r>
            <w:r>
              <w:rPr>
                <w:rFonts w:ascii="Times New Roman" w:hAnsi="Times New Roman"/>
                <w:color w:val="000000"/>
                <w:sz w:val="24"/>
              </w:rPr>
              <w:t>2</w:t>
            </w:r>
            <w:r>
              <w:rPr>
                <w:rFonts w:ascii="Times New Roman"/>
                <w:color w:val="000000"/>
                <w:sz w:val="24"/>
              </w:rPr>
              <w:t>台离心机和</w:t>
            </w:r>
            <w:r>
              <w:rPr>
                <w:rFonts w:ascii="Times New Roman" w:hAnsi="Times New Roman"/>
                <w:color w:val="000000"/>
                <w:sz w:val="24"/>
              </w:rPr>
              <w:t>1</w:t>
            </w:r>
            <w:r>
              <w:rPr>
                <w:rFonts w:ascii="Times New Roman"/>
                <w:color w:val="000000"/>
                <w:sz w:val="24"/>
              </w:rPr>
              <w:t>台磁力抛光机，离心机及磁力抛光机内部容积约为</w:t>
            </w:r>
            <w:r>
              <w:rPr>
                <w:rFonts w:ascii="Times New Roman" w:hAnsi="Times New Roman"/>
                <w:color w:val="000000"/>
                <w:sz w:val="24"/>
              </w:rPr>
              <w:t>0.15m</w:t>
            </w:r>
            <w:r>
              <w:rPr>
                <w:rFonts w:ascii="Times New Roman" w:hAnsi="Times New Roman"/>
                <w:color w:val="000000"/>
                <w:sz w:val="24"/>
                <w:vertAlign w:val="superscript"/>
              </w:rPr>
              <w:t>3</w:t>
            </w:r>
            <w:r>
              <w:rPr>
                <w:rFonts w:ascii="Times New Roman"/>
                <w:color w:val="000000"/>
                <w:sz w:val="24"/>
              </w:rPr>
              <w:t>（水深约</w:t>
            </w:r>
            <w:r>
              <w:rPr>
                <w:rFonts w:ascii="Times New Roman" w:hAnsi="Times New Roman"/>
                <w:color w:val="000000"/>
                <w:sz w:val="24"/>
              </w:rPr>
              <w:t>0.05m</w:t>
            </w:r>
            <w:r>
              <w:rPr>
                <w:rFonts w:ascii="Times New Roman" w:hAnsi="Times New Roman"/>
                <w:color w:val="000000"/>
                <w:sz w:val="24"/>
                <w:vertAlign w:val="superscript"/>
              </w:rPr>
              <w:t>3</w:t>
            </w:r>
            <w:r>
              <w:rPr>
                <w:rFonts w:ascii="Times New Roman"/>
                <w:color w:val="000000"/>
                <w:sz w:val="24"/>
              </w:rPr>
              <w:t>），</w:t>
            </w:r>
            <w:r>
              <w:rPr>
                <w:rFonts w:ascii="Times New Roman" w:hAnsi="Times New Roman"/>
                <w:sz w:val="24"/>
              </w:rPr>
              <w:t>研磨清洗用水循环使用，</w:t>
            </w:r>
            <w:r>
              <w:rPr>
                <w:rFonts w:ascii="Times New Roman"/>
                <w:color w:val="000000"/>
                <w:sz w:val="24"/>
              </w:rPr>
              <w:t>每天的补充用水量按水槽用水量的</w:t>
            </w:r>
            <w:r>
              <w:rPr>
                <w:rFonts w:hint="eastAsia" w:ascii="Times New Roman" w:hAnsi="Times New Roman"/>
                <w:color w:val="000000"/>
                <w:sz w:val="24"/>
                <w:lang w:val="en-US" w:eastAsia="zh-CN"/>
              </w:rPr>
              <w:t>5</w:t>
            </w:r>
            <w:r>
              <w:rPr>
                <w:rFonts w:ascii="Times New Roman" w:hAnsi="Times New Roman"/>
                <w:color w:val="000000"/>
                <w:sz w:val="24"/>
              </w:rPr>
              <w:t>%</w:t>
            </w:r>
            <w:r>
              <w:rPr>
                <w:rFonts w:ascii="Times New Roman"/>
                <w:color w:val="000000"/>
                <w:sz w:val="24"/>
              </w:rPr>
              <w:t>计算，则年补充水量约为</w:t>
            </w:r>
            <w:r>
              <w:rPr>
                <w:rFonts w:hint="eastAsia" w:ascii="Times New Roman" w:hAnsi="Times New Roman"/>
                <w:color w:val="000000"/>
                <w:sz w:val="24"/>
                <w:lang w:val="en-US" w:eastAsia="zh-CN"/>
              </w:rPr>
              <w:t>3*0.75=2.25</w:t>
            </w:r>
            <w:r>
              <w:rPr>
                <w:rFonts w:ascii="Times New Roman" w:hAnsi="Times New Roman"/>
                <w:color w:val="000000"/>
                <w:sz w:val="24"/>
              </w:rPr>
              <w:t>t</w:t>
            </w:r>
            <w:r>
              <w:rPr>
                <w:rFonts w:ascii="Times New Roman"/>
                <w:color w:val="000000"/>
                <w:sz w:val="24"/>
              </w:rPr>
              <w:t>；废液</w:t>
            </w:r>
            <w:r>
              <w:rPr>
                <w:rFonts w:ascii="Times New Roman" w:hAnsi="Times New Roman"/>
                <w:sz w:val="24"/>
              </w:rPr>
              <w:t>每2个月更换1次，1年更换6次，则用水量约为</w:t>
            </w:r>
            <w:r>
              <w:rPr>
                <w:rFonts w:hint="eastAsia" w:ascii="Times New Roman" w:hAnsi="Times New Roman"/>
                <w:sz w:val="24"/>
                <w:lang w:val="en-US" w:eastAsia="zh-CN"/>
              </w:rPr>
              <w:t>3*0.3=0.9</w:t>
            </w:r>
            <w:r>
              <w:rPr>
                <w:rFonts w:ascii="Times New Roman" w:hAnsi="Times New Roman"/>
                <w:sz w:val="24"/>
              </w:rPr>
              <w:t>t/a。因此本项目研磨清洗用水量为</w:t>
            </w:r>
            <w:r>
              <w:rPr>
                <w:rFonts w:hint="eastAsia" w:ascii="Times New Roman" w:hAnsi="Times New Roman"/>
                <w:sz w:val="24"/>
                <w:lang w:val="en-US" w:eastAsia="zh-CN"/>
              </w:rPr>
              <w:t>3.15</w:t>
            </w:r>
            <w:r>
              <w:rPr>
                <w:rFonts w:ascii="Times New Roman" w:hAnsi="Times New Roman"/>
                <w:sz w:val="24"/>
              </w:rPr>
              <w:t>t/a。</w:t>
            </w:r>
          </w:p>
          <w:p>
            <w:pPr>
              <w:adjustRightInd w:val="0"/>
              <w:snapToGrid w:val="0"/>
              <w:spacing w:line="360" w:lineRule="auto"/>
              <w:ind w:firstLine="480" w:firstLineChars="200"/>
              <w:rPr>
                <w:color w:val="000000"/>
                <w:sz w:val="24"/>
              </w:rPr>
            </w:pPr>
            <w:r>
              <w:rPr>
                <w:rFonts w:hAnsi="宋体"/>
                <w:color w:val="000000"/>
                <w:sz w:val="24"/>
              </w:rPr>
              <w:t>④</w:t>
            </w:r>
            <w:r>
              <w:rPr>
                <w:color w:val="000000"/>
                <w:sz w:val="24"/>
              </w:rPr>
              <w:t>水洗用水：企业水洗过程采用自来水，在清洗槽内进行，本项目设置1个清洗槽，清洗槽规格为1.4m*2.4m*0.2m（水深0.05m），清洗水循环使用，每天的补充用水量按水槽用水量的</w:t>
            </w:r>
            <w:r>
              <w:rPr>
                <w:rFonts w:hint="eastAsia"/>
                <w:color w:val="000000"/>
                <w:sz w:val="24"/>
                <w:lang w:val="en-US" w:eastAsia="zh-CN"/>
              </w:rPr>
              <w:t>5</w:t>
            </w:r>
            <w:r>
              <w:rPr>
                <w:color w:val="000000"/>
                <w:sz w:val="24"/>
              </w:rPr>
              <w:t>%计算，则年补充水量约为</w:t>
            </w:r>
            <w:r>
              <w:rPr>
                <w:rFonts w:hint="eastAsia"/>
                <w:color w:val="000000"/>
                <w:sz w:val="24"/>
                <w:lang w:val="en-US" w:eastAsia="zh-CN"/>
              </w:rPr>
              <w:t>2.52</w:t>
            </w:r>
            <w:r>
              <w:rPr>
                <w:color w:val="000000"/>
                <w:sz w:val="24"/>
              </w:rPr>
              <w:t>t；废液每2个月更换1次，1年更换6次，则用水量约为1.</w:t>
            </w:r>
            <w:r>
              <w:rPr>
                <w:rFonts w:hint="eastAsia"/>
                <w:color w:val="000000"/>
                <w:sz w:val="24"/>
              </w:rPr>
              <w:t>008t/a。因此本项目水洗用水为</w:t>
            </w:r>
            <w:r>
              <w:rPr>
                <w:rFonts w:hint="eastAsia"/>
                <w:color w:val="000000"/>
                <w:sz w:val="24"/>
                <w:lang w:val="en-US" w:eastAsia="zh-CN"/>
              </w:rPr>
              <w:t>3.528</w:t>
            </w:r>
            <w:r>
              <w:rPr>
                <w:rFonts w:hint="eastAsia"/>
                <w:color w:val="000000"/>
                <w:sz w:val="24"/>
              </w:rPr>
              <w:t>t/a。</w:t>
            </w:r>
          </w:p>
          <w:p>
            <w:pPr>
              <w:adjustRightInd w:val="0"/>
              <w:snapToGrid w:val="0"/>
              <w:spacing w:line="360" w:lineRule="auto"/>
              <w:ind w:firstLine="480" w:firstLineChars="200"/>
              <w:jc w:val="left"/>
              <w:rPr>
                <w:b/>
                <w:sz w:val="24"/>
              </w:rPr>
            </w:pPr>
            <w:r>
              <w:rPr>
                <w:rFonts w:hAnsi="宋体"/>
                <w:sz w:val="24"/>
              </w:rPr>
              <w:t>本项目水平衡图如下（单位：</w:t>
            </w:r>
            <w:r>
              <w:rPr>
                <w:sz w:val="24"/>
              </w:rPr>
              <w:t>t/a）：</w:t>
            </w:r>
            <w:r>
              <w:rPr>
                <w:rFonts w:ascii="宋体" w:hAnsi="宋体"/>
                <w:sz w:val="24"/>
              </w:rPr>
              <w:pict>
                <v:group id="_x0000_s1577" o:spid="_x0000_s1577" o:spt="203" style="height:329.4pt;width:430.35pt;" coordorigin="1655,2842" coordsize="8607,6588" editas="canvas">
                  <o:lock v:ext="edit"/>
                  <v:shape id="_x0000_s1578" o:spid="_x0000_s1578" o:spt="75" type="#_x0000_t75" style="position:absolute;left:1655;top:2842;height:6588;width:8607;" filled="f" o:preferrelative="f" stroked="f" coordsize="21600,21600">
                    <v:path/>
                    <v:fill on="f" focussize="0,0"/>
                    <v:stroke on="f" joinstyle="miter"/>
                    <v:imagedata o:title=""/>
                    <o:lock v:ext="edit" text="t" aspectratio="t"/>
                  </v:shape>
                  <v:shape id="_x0000_s1579" o:spid="_x0000_s1579" o:spt="202" type="#_x0000_t202" style="position:absolute;left:1792;top:5692;height:499;width:1044;" filled="f" stroked="f" coordsize="21600,21600">
                    <v:path/>
                    <v:fill on="f" focussize="0,0"/>
                    <v:stroke on="f" joinstyle="miter"/>
                    <v:imagedata o:title=""/>
                    <o:lock v:ext="edit"/>
                    <v:textbox>
                      <w:txbxContent>
                        <w:p>
                          <w:r>
                            <w:rPr>
                              <w:rFonts w:hint="eastAsia"/>
                            </w:rPr>
                            <w:t>自来水</w:t>
                          </w:r>
                        </w:p>
                      </w:txbxContent>
                    </v:textbox>
                  </v:shape>
                  <v:shape id="_x0000_s1580" o:spid="_x0000_s1580" o:spt="32" type="#_x0000_t32" style="position:absolute;left:3361;top:3853;height:1;width:709;" o:connectortype="straight" filled="f" coordsize="21600,21600">
                    <v:path arrowok="t"/>
                    <v:fill on="f" focussize="0,0"/>
                    <v:stroke endarrow="block"/>
                    <v:imagedata o:title=""/>
                    <o:lock v:ext="edit"/>
                  </v:shape>
                  <v:shape id="_x0000_s1581" o:spid="_x0000_s1581" o:spt="202" type="#_x0000_t202" style="position:absolute;left:4070;top:3681;height:416;width:1160;" coordsize="21600,21600">
                    <v:path/>
                    <v:fill focussize="0,0"/>
                    <v:stroke joinstyle="miter"/>
                    <v:imagedata o:title=""/>
                    <o:lock v:ext="edit"/>
                    <v:textbox>
                      <w:txbxContent>
                        <w:p>
                          <w:r>
                            <w:rPr>
                              <w:rFonts w:hint="eastAsia"/>
                            </w:rPr>
                            <w:t>生活用水</w:t>
                          </w:r>
                        </w:p>
                      </w:txbxContent>
                    </v:textbox>
                  </v:shape>
                  <v:shape id="_x0000_s1582" o:spid="_x0000_s1582" o:spt="202" type="#_x0000_t202" style="position:absolute;left:5297;top:7391;height:424;width:1473;" filled="f" stroked="f" coordsize="21600,21600">
                    <v:path/>
                    <v:fill on="f" focussize="0,0"/>
                    <v:stroke on="f" joinstyle="miter"/>
                    <v:imagedata o:title=""/>
                    <o:lock v:ext="edit"/>
                    <v:textbox>
                      <w:txbxContent>
                        <w:p>
                          <w:pPr>
                            <w:rPr>
                              <w:rFonts w:hint="default" w:eastAsia="宋体"/>
                              <w:lang w:val="en-US" w:eastAsia="zh-CN"/>
                            </w:rPr>
                          </w:pPr>
                          <w:r>
                            <w:rPr>
                              <w:rFonts w:hint="eastAsia"/>
                            </w:rPr>
                            <w:t>损耗</w:t>
                          </w:r>
                          <w:r>
                            <w:rPr>
                              <w:rFonts w:hint="eastAsia"/>
                              <w:lang w:val="en-US" w:eastAsia="zh-CN"/>
                            </w:rPr>
                            <w:t>2.52</w:t>
                          </w:r>
                        </w:p>
                      </w:txbxContent>
                    </v:textbox>
                  </v:shape>
                  <v:shape id="_x0000_s1583" o:spid="_x0000_s1583" o:spt="32" type="#_x0000_t32" style="position:absolute;left:4650;top:3324;flip:y;height:357;width:194;" o:connectortype="straight" filled="f" coordsize="21600,21600">
                    <v:path arrowok="t"/>
                    <v:fill on="f" focussize="0,0"/>
                    <v:stroke/>
                    <v:imagedata o:title=""/>
                    <o:lock v:ext="edit"/>
                  </v:shape>
                  <v:shape id="_x0000_s1584" o:spid="_x0000_s1584" o:spt="32" type="#_x0000_t32" style="position:absolute;left:4844;top:3324;height:226;width:2;" o:connectortype="straight" filled="f" coordsize="21600,21600">
                    <v:path arrowok="t"/>
                    <v:fill on="f" focussize="0,0"/>
                    <v:stroke/>
                    <v:imagedata o:title=""/>
                    <o:lock v:ext="edit"/>
                  </v:shape>
                  <v:shape id="_x0000_s1585" o:spid="_x0000_s1585" o:spt="32" type="#_x0000_t32" style="position:absolute;left:4844;top:3217;flip:y;height:333;width:213;" o:connectortype="straight" filled="f" coordsize="21600,21600">
                    <v:path arrowok="t"/>
                    <v:fill on="f" focussize="0,0"/>
                    <v:stroke endarrow="block"/>
                    <v:imagedata o:title=""/>
                    <o:lock v:ext="edit"/>
                  </v:shape>
                  <v:shape id="_x0000_s1586" o:spid="_x0000_s1586" o:spt="32" type="#_x0000_t32" style="position:absolute;left:5230;top:3854;height:2;width:709;" o:connectortype="straight" filled="f" coordsize="21600,21600">
                    <v:path arrowok="t"/>
                    <v:fill on="f" focussize="0,0"/>
                    <v:stroke endarrow="block"/>
                    <v:imagedata o:title=""/>
                    <o:lock v:ext="edit"/>
                  </v:shape>
                  <v:shape id="_x0000_s1587" o:spid="_x0000_s1587" o:spt="202" type="#_x0000_t202" style="position:absolute;left:5230;top:3483;height:426;width:774;" filled="f" stroked="f" coordsize="21600,21600">
                    <v:path/>
                    <v:fill on="f" focussize="0,0"/>
                    <v:stroke on="f" joinstyle="miter"/>
                    <v:imagedata o:title=""/>
                    <o:lock v:ext="edit"/>
                    <v:textbox>
                      <w:txbxContent>
                        <w:p>
                          <w:r>
                            <w:rPr>
                              <w:rFonts w:hint="eastAsia"/>
                            </w:rPr>
                            <w:t>480</w:t>
                          </w:r>
                        </w:p>
                      </w:txbxContent>
                    </v:textbox>
                  </v:shape>
                  <v:shape id="_x0000_s1588" o:spid="_x0000_s1588" o:spt="202" type="#_x0000_t202" style="position:absolute;left:5939;top:3505;height:667;width:1892;" coordsize="21600,21600">
                    <v:path/>
                    <v:fill focussize="0,0"/>
                    <v:stroke joinstyle="miter"/>
                    <v:imagedata o:title=""/>
                    <o:lock v:ext="edit"/>
                    <v:textbox>
                      <w:txbxContent>
                        <w:p>
                          <w:r>
                            <w:rPr>
                              <w:rFonts w:hint="eastAsia"/>
                            </w:rPr>
                            <w:t>武南污水处理厂</w:t>
                          </w:r>
                        </w:p>
                        <w:p>
                          <w:pPr>
                            <w:jc w:val="center"/>
                          </w:pPr>
                          <w:r>
                            <w:rPr>
                              <w:rFonts w:hint="eastAsia"/>
                            </w:rPr>
                            <w:t>480</w:t>
                          </w:r>
                        </w:p>
                      </w:txbxContent>
                    </v:textbox>
                  </v:shape>
                  <v:shape id="_x0000_s1589" o:spid="_x0000_s1589" o:spt="32" type="#_x0000_t32" style="position:absolute;left:7831;top:3852;height:1;width:708;" o:connectortype="straight" filled="f" coordsize="21600,21600">
                    <v:path arrowok="t"/>
                    <v:fill on="f" focussize="0,0"/>
                    <v:stroke endarrow="block"/>
                    <v:imagedata o:title=""/>
                    <o:lock v:ext="edit"/>
                  </v:shape>
                  <v:shape id="_x0000_s1590" o:spid="_x0000_s1590" o:spt="202" type="#_x0000_t202" style="position:absolute;left:8539;top:3483;height:878;width:1397;" filled="f" stroked="f" coordsize="21600,21600">
                    <v:path/>
                    <v:fill on="f" focussize="0,0"/>
                    <v:stroke on="f" joinstyle="miter"/>
                    <v:imagedata o:title=""/>
                    <o:lock v:ext="edit"/>
                    <v:textbox>
                      <w:txbxContent>
                        <w:p>
                          <w:r>
                            <w:rPr>
                              <w:rFonts w:hint="eastAsia"/>
                            </w:rPr>
                            <w:t>达标尾水排至武南河</w:t>
                          </w:r>
                        </w:p>
                      </w:txbxContent>
                    </v:textbox>
                  </v:shape>
                  <v:shape id="_x0000_s1591" o:spid="_x0000_s1591" o:spt="202" type="#_x0000_t202" style="position:absolute;left:5057;top:3066;height:417;width:1388;" filled="f" stroked="f" coordsize="21600,21600">
                    <v:path/>
                    <v:fill on="f" focussize="0,0"/>
                    <v:stroke on="f" joinstyle="miter"/>
                    <v:imagedata o:title=""/>
                    <o:lock v:ext="edit"/>
                    <v:textbox>
                      <w:txbxContent>
                        <w:p>
                          <w:r>
                            <w:rPr>
                              <w:rFonts w:hint="eastAsia"/>
                            </w:rPr>
                            <w:t>损耗120</w:t>
                          </w:r>
                        </w:p>
                      </w:txbxContent>
                    </v:textbox>
                  </v:shape>
                  <v:shape id="_x0000_s1592" o:spid="_x0000_s1592" o:spt="32" type="#_x0000_t32" style="position:absolute;left:3351;top:3852;height:4382;width:1;" o:connectortype="straight" filled="f" coordsize="21600,21600">
                    <v:path arrowok="t"/>
                    <v:fill on="f" focussize="0,0"/>
                    <v:stroke/>
                    <v:imagedata o:title=""/>
                    <o:lock v:ext="edit"/>
                  </v:shape>
                  <v:shape id="_x0000_s1593" o:spid="_x0000_s1593" o:spt="32" type="#_x0000_t32" style="position:absolute;left:3370;top:5131;height:1;width:675;" o:connectortype="straight" filled="f" coordsize="21600,21600">
                    <v:path arrowok="t"/>
                    <v:fill on="f" focussize="0,0"/>
                    <v:stroke endarrow="block"/>
                    <v:imagedata o:title=""/>
                    <o:lock v:ext="edit"/>
                  </v:shape>
                  <v:shape id="_x0000_s1594" o:spid="_x0000_s1594" o:spt="202" type="#_x0000_t202" style="position:absolute;left:4060;top:4906;height:416;width:1160;" coordsize="21600,21600">
                    <v:path/>
                    <v:fill focussize="0,0"/>
                    <v:stroke joinstyle="miter"/>
                    <v:imagedata o:title=""/>
                    <o:lock v:ext="edit"/>
                    <v:textbox>
                      <w:txbxContent>
                        <w:p>
                          <w:r>
                            <w:rPr>
                              <w:rFonts w:hint="eastAsia"/>
                            </w:rPr>
                            <w:t>食堂用水</w:t>
                          </w:r>
                        </w:p>
                      </w:txbxContent>
                    </v:textbox>
                  </v:shape>
                  <v:shape id="_x0000_s1595" o:spid="_x0000_s1595" o:spt="202" type="#_x0000_t202" style="position:absolute;left:3380;top:4707;height:424;width:775;" filled="f" stroked="f" coordsize="21600,21600">
                    <v:path/>
                    <v:fill on="f" focussize="0,0"/>
                    <v:stroke on="f" joinstyle="miter"/>
                    <v:imagedata o:title=""/>
                    <o:lock v:ext="edit"/>
                    <v:textbox>
                      <w:txbxContent>
                        <w:p>
                          <w:r>
                            <w:rPr>
                              <w:rFonts w:hint="eastAsia"/>
                            </w:rPr>
                            <w:t>60</w:t>
                          </w:r>
                        </w:p>
                      </w:txbxContent>
                    </v:textbox>
                  </v:shape>
                  <v:shape id="_x0000_s1596" o:spid="_x0000_s1596" o:spt="32" type="#_x0000_t32" style="position:absolute;left:2642;top:5900;height:1;width:709;" o:connectortype="straight" filled="f" coordsize="21600,21600">
                    <v:path arrowok="t"/>
                    <v:fill on="f" focussize="0,0"/>
                    <v:stroke endarrow="block"/>
                    <v:imagedata o:title=""/>
                    <o:lock v:ext="edit"/>
                  </v:shape>
                  <v:shape id="_x0000_s1597" o:spid="_x0000_s1597" o:spt="202" type="#_x0000_t202" style="position:absolute;left:2474;top:5546;height:424;width:1121;" filled="f" stroked="f" coordsize="21600,21600">
                    <v:path/>
                    <v:fill on="f" focussize="0,0"/>
                    <v:stroke on="f" joinstyle="miter"/>
                    <v:imagedata o:title=""/>
                    <o:lock v:ext="edit"/>
                    <v:textbox>
                      <w:txbxContent>
                        <w:p>
                          <w:pPr>
                            <w:rPr>
                              <w:rFonts w:hint="default" w:eastAsia="宋体"/>
                              <w:lang w:val="en-US" w:eastAsia="zh-CN"/>
                            </w:rPr>
                          </w:pPr>
                          <w:r>
                            <w:rPr>
                              <w:rFonts w:hint="eastAsia"/>
                            </w:rPr>
                            <w:t>66</w:t>
                          </w:r>
                          <w:r>
                            <w:rPr>
                              <w:rFonts w:hint="eastAsia"/>
                              <w:lang w:val="en-US" w:eastAsia="zh-CN"/>
                            </w:rPr>
                            <w:t>6.678</w:t>
                          </w:r>
                        </w:p>
                      </w:txbxContent>
                    </v:textbox>
                  </v:shape>
                  <v:shape id="_x0000_s1598" o:spid="_x0000_s1598" o:spt="202" type="#_x0000_t202" style="position:absolute;left:3366;top:3520;height:424;width:775;" filled="f" stroked="f" coordsize="21600,21600">
                    <v:path/>
                    <v:fill on="f" focussize="0,0"/>
                    <v:stroke on="f" joinstyle="miter"/>
                    <v:imagedata o:title=""/>
                    <o:lock v:ext="edit"/>
                    <v:textbox>
                      <w:txbxContent>
                        <w:p>
                          <w:r>
                            <w:rPr>
                              <w:rFonts w:hint="eastAsia"/>
                            </w:rPr>
                            <w:t>600</w:t>
                          </w:r>
                        </w:p>
                      </w:txbxContent>
                    </v:textbox>
                  </v:shape>
                  <v:shape id="_x0000_s1599" o:spid="_x0000_s1599" o:spt="32" type="#_x0000_t32" style="position:absolute;left:4890;top:4524;flip:y;height:357;width:194;" o:connectortype="straight" filled="f" coordsize="21600,21600">
                    <v:path arrowok="t"/>
                    <v:fill on="f" focussize="0,0"/>
                    <v:stroke/>
                    <v:imagedata o:title=""/>
                    <o:lock v:ext="edit"/>
                  </v:shape>
                  <v:shape id="_x0000_s1600" o:spid="_x0000_s1600" o:spt="32" type="#_x0000_t32" style="position:absolute;left:5084;top:4524;height:226;width:2;" o:connectortype="straight" filled="f" coordsize="21600,21600">
                    <v:path arrowok="t"/>
                    <v:fill on="f" focussize="0,0"/>
                    <v:stroke/>
                    <v:imagedata o:title=""/>
                    <o:lock v:ext="edit"/>
                  </v:shape>
                  <v:shape id="_x0000_s1601" o:spid="_x0000_s1601" o:spt="32" type="#_x0000_t32" style="position:absolute;left:5084;top:4417;flip:y;height:333;width:213;" o:connectortype="straight" filled="f" coordsize="21600,21600">
                    <v:path arrowok="t"/>
                    <v:fill on="f" focussize="0,0"/>
                    <v:stroke endarrow="block"/>
                    <v:imagedata o:title=""/>
                    <o:lock v:ext="edit"/>
                  </v:shape>
                  <v:shape id="_x0000_s1602" o:spid="_x0000_s1602" o:spt="202" type="#_x0000_t202" style="position:absolute;left:5297;top:4266;height:417;width:1388;" filled="f" stroked="f" coordsize="21600,21600">
                    <v:path/>
                    <v:fill on="f" focussize="0,0"/>
                    <v:stroke on="f" joinstyle="miter"/>
                    <v:imagedata o:title=""/>
                    <o:lock v:ext="edit"/>
                    <v:textbox>
                      <w:txbxContent>
                        <w:p>
                          <w:r>
                            <w:rPr>
                              <w:rFonts w:hint="eastAsia"/>
                            </w:rPr>
                            <w:t>损耗12</w:t>
                          </w:r>
                        </w:p>
                      </w:txbxContent>
                    </v:textbox>
                  </v:shape>
                  <v:shape id="_x0000_s1603" o:spid="_x0000_s1603" o:spt="39" type="#_x0000_t39" style="position:absolute;left:5348;top:6449;flip:x y;height:580;width:208;rotation:5898240f;" o:connectortype="curved" filled="f" coordsize="21600,21600" adj="-37385,35007,504173">
                    <v:path arrowok="t"/>
                    <v:fill on="f" focussize="0,0"/>
                    <v:stroke endarrow="block"/>
                    <v:imagedata o:title=""/>
                    <o:lock v:ext="edit"/>
                  </v:shape>
                  <v:shape id="_x0000_s1604" o:spid="_x0000_s1604" o:spt="32" type="#_x0000_t32" style="position:absolute;left:5220;top:5143;height:2;width:709;" o:connectortype="straight" filled="f" coordsize="21600,21600">
                    <v:path arrowok="t"/>
                    <v:fill on="f" focussize="0,0"/>
                    <v:stroke endarrow="block"/>
                    <v:imagedata o:title=""/>
                    <o:lock v:ext="edit"/>
                  </v:shape>
                  <v:shape id="_x0000_s1605" o:spid="_x0000_s1605" o:spt="202" type="#_x0000_t202" style="position:absolute;left:5220;top:4772;height:426;width:774;" filled="f" stroked="f" coordsize="21600,21600">
                    <v:path/>
                    <v:fill on="f" focussize="0,0"/>
                    <v:stroke on="f" joinstyle="miter"/>
                    <v:imagedata o:title=""/>
                    <o:lock v:ext="edit"/>
                    <v:textbox>
                      <w:txbxContent>
                        <w:p>
                          <w:r>
                            <w:rPr>
                              <w:rFonts w:hint="eastAsia"/>
                            </w:rPr>
                            <w:t>48</w:t>
                          </w:r>
                        </w:p>
                      </w:txbxContent>
                    </v:textbox>
                  </v:shape>
                  <v:shape id="_x0000_s1606" o:spid="_x0000_s1606" o:spt="202" type="#_x0000_t202" style="position:absolute;left:5929;top:4794;height:667;width:1892;" coordsize="21600,21600">
                    <v:path/>
                    <v:fill focussize="0,0"/>
                    <v:stroke joinstyle="miter"/>
                    <v:imagedata o:title=""/>
                    <o:lock v:ext="edit"/>
                    <v:textbox>
                      <w:txbxContent>
                        <w:p>
                          <w:r>
                            <w:rPr>
                              <w:rFonts w:hint="eastAsia"/>
                            </w:rPr>
                            <w:t>武南污水处理厂</w:t>
                          </w:r>
                        </w:p>
                        <w:p>
                          <w:pPr>
                            <w:jc w:val="center"/>
                          </w:pPr>
                          <w:r>
                            <w:rPr>
                              <w:rFonts w:hint="eastAsia"/>
                            </w:rPr>
                            <w:t>48</w:t>
                          </w:r>
                        </w:p>
                      </w:txbxContent>
                    </v:textbox>
                  </v:shape>
                  <v:shape id="_x0000_s1607" o:spid="_x0000_s1607" o:spt="32" type="#_x0000_t32" style="position:absolute;left:7821;top:5141;height:1;width:708;" o:connectortype="straight" filled="f" coordsize="21600,21600">
                    <v:path arrowok="t"/>
                    <v:fill on="f" focussize="0,0"/>
                    <v:stroke endarrow="block"/>
                    <v:imagedata o:title=""/>
                    <o:lock v:ext="edit"/>
                  </v:shape>
                  <v:shape id="_x0000_s1608" o:spid="_x0000_s1608" o:spt="202" type="#_x0000_t202" style="position:absolute;left:8529;top:4772;height:878;width:1397;" filled="f" stroked="f" coordsize="21600,21600">
                    <v:path/>
                    <v:fill on="f" focussize="0,0"/>
                    <v:stroke on="f" joinstyle="miter"/>
                    <v:imagedata o:title=""/>
                    <o:lock v:ext="edit"/>
                    <v:textbox>
                      <w:txbxContent>
                        <w:p>
                          <w:r>
                            <w:rPr>
                              <w:rFonts w:hint="eastAsia"/>
                            </w:rPr>
                            <w:t>达标尾水排至武南河</w:t>
                          </w:r>
                        </w:p>
                      </w:txbxContent>
                    </v:textbox>
                  </v:shape>
                  <v:shape id="_x0000_s1609" o:spid="_x0000_s1609" o:spt="32" type="#_x0000_t32" style="position:absolute;left:3370;top:6635;height:1;width:675;" o:connectortype="straight" filled="f" coordsize="21600,21600">
                    <v:path arrowok="t"/>
                    <v:fill on="f" focussize="0,0"/>
                    <v:stroke endarrow="block"/>
                    <v:imagedata o:title=""/>
                    <o:lock v:ext="edit"/>
                  </v:shape>
                  <v:shape id="_x0000_s1610" o:spid="_x0000_s1610" o:spt="202" type="#_x0000_t202" style="position:absolute;left:4060;top:6410;height:416;width:1646;" coordsize="21600,21600">
                    <v:path/>
                    <v:fill focussize="0,0"/>
                    <v:stroke joinstyle="miter"/>
                    <v:imagedata o:title=""/>
                    <o:lock v:ext="edit"/>
                    <v:textbox>
                      <w:txbxContent>
                        <w:p>
                          <w:pPr>
                            <w:jc w:val="center"/>
                          </w:pPr>
                          <w:r>
                            <w:rPr>
                              <w:rFonts w:hint="eastAsia"/>
                            </w:rPr>
                            <w:t>研磨清洗用水</w:t>
                          </w:r>
                        </w:p>
                      </w:txbxContent>
                    </v:textbox>
                  </v:shape>
                  <v:shape id="_x0000_s1611" o:spid="_x0000_s1611" o:spt="202" type="#_x0000_t202" style="position:absolute;left:3287;top:6307;height:424;width:775;" filled="f" stroked="f" coordsize="21600,21600">
                    <v:path/>
                    <v:fill on="f" focussize="0,0"/>
                    <v:stroke on="f" joinstyle="miter"/>
                    <v:imagedata o:title=""/>
                    <o:lock v:ext="edit"/>
                    <v:textbox>
                      <w:txbxContent>
                        <w:p>
                          <w:pPr>
                            <w:rPr>
                              <w:rFonts w:hint="default" w:eastAsia="宋体"/>
                              <w:lang w:val="en-US" w:eastAsia="zh-CN"/>
                            </w:rPr>
                          </w:pPr>
                          <w:r>
                            <w:rPr>
                              <w:rFonts w:hint="eastAsia"/>
                              <w:lang w:val="en-US" w:eastAsia="zh-CN"/>
                            </w:rPr>
                            <w:t>3.15</w:t>
                          </w:r>
                        </w:p>
                      </w:txbxContent>
                    </v:textbox>
                  </v:shape>
                  <v:shape id="_x0000_s1612" o:spid="_x0000_s1612" o:spt="32" type="#_x0000_t32" style="position:absolute;left:5026;top:6053;flip:y;height:357;width:194;" o:connectortype="straight" filled="f" coordsize="21600,21600">
                    <v:path arrowok="t"/>
                    <v:fill on="f" focussize="0,0"/>
                    <v:stroke/>
                    <v:imagedata o:title=""/>
                    <o:lock v:ext="edit"/>
                  </v:shape>
                  <v:shape id="_x0000_s1613" o:spid="_x0000_s1613" o:spt="32" type="#_x0000_t32" style="position:absolute;left:5220;top:6053;height:226;width:2;" o:connectortype="straight" filled="f" coordsize="21600,21600">
                    <v:path arrowok="t"/>
                    <v:fill on="f" focussize="0,0"/>
                    <v:stroke/>
                    <v:imagedata o:title=""/>
                    <o:lock v:ext="edit"/>
                  </v:shape>
                  <v:shape id="_x0000_s1614" o:spid="_x0000_s1614" o:spt="32" type="#_x0000_t32" style="position:absolute;left:5220;top:5946;flip:y;height:333;width:213;" o:connectortype="straight" filled="f" coordsize="21600,21600">
                    <v:path arrowok="t"/>
                    <v:fill on="f" focussize="0,0"/>
                    <v:stroke endarrow="block"/>
                    <v:imagedata o:title=""/>
                    <o:lock v:ext="edit"/>
                  </v:shape>
                  <v:shape id="_x0000_s1615" o:spid="_x0000_s1615" o:spt="202" type="#_x0000_t202" style="position:absolute;left:5433;top:5795;height:417;width:1388;" filled="f" stroked="f" coordsize="21600,21600">
                    <v:path/>
                    <v:fill on="f" focussize="0,0"/>
                    <v:stroke on="f" joinstyle="miter"/>
                    <v:imagedata o:title=""/>
                    <o:lock v:ext="edit"/>
                    <v:textbox>
                      <w:txbxContent>
                        <w:p>
                          <w:pPr>
                            <w:rPr>
                              <w:rFonts w:hint="default" w:eastAsia="宋体"/>
                              <w:lang w:val="en-US" w:eastAsia="zh-CN"/>
                            </w:rPr>
                          </w:pPr>
                          <w:r>
                            <w:rPr>
                              <w:rFonts w:hint="eastAsia"/>
                            </w:rPr>
                            <w:t>损耗</w:t>
                          </w:r>
                          <w:r>
                            <w:rPr>
                              <w:rFonts w:hint="eastAsia"/>
                              <w:lang w:val="en-US" w:eastAsia="zh-CN"/>
                            </w:rPr>
                            <w:t>2.25</w:t>
                          </w:r>
                        </w:p>
                      </w:txbxContent>
                    </v:textbox>
                  </v:shape>
                  <v:shape id="_x0000_s1616" o:spid="_x0000_s1616" o:spt="32" type="#_x0000_t32" style="position:absolute;left:5736;top:6552;height:2;width:709;" o:connectortype="straight" filled="f" coordsize="21600,21600">
                    <v:path arrowok="t"/>
                    <v:fill on="f" focussize="0,0"/>
                    <v:stroke endarrow="block"/>
                    <v:imagedata o:title=""/>
                    <o:lock v:ext="edit"/>
                  </v:shape>
                  <v:shape id="_x0000_s1617" o:spid="_x0000_s1617" o:spt="202" type="#_x0000_t202" style="position:absolute;left:5736;top:6212;height:426;width:774;" filled="f" stroked="f" coordsize="21600,21600">
                    <v:path/>
                    <v:fill on="f" focussize="0,0"/>
                    <v:stroke on="f" joinstyle="miter"/>
                    <v:imagedata o:title=""/>
                    <o:lock v:ext="edit"/>
                    <v:textbox>
                      <w:txbxContent>
                        <w:p>
                          <w:r>
                            <w:rPr>
                              <w:rFonts w:hint="eastAsia"/>
                            </w:rPr>
                            <w:t>0.9</w:t>
                          </w:r>
                        </w:p>
                      </w:txbxContent>
                    </v:textbox>
                  </v:shape>
                  <v:shape id="_x0000_s1618" o:spid="_x0000_s1618" o:spt="202" type="#_x0000_t202" style="position:absolute;left:6445;top:6212;height:878;width:1957;" filled="f" stroked="f" coordsize="21600,21600">
                    <v:path/>
                    <v:fill on="f" focussize="0,0"/>
                    <v:stroke on="f" joinstyle="miter"/>
                    <v:imagedata o:title=""/>
                    <o:lock v:ext="edit"/>
                    <v:textbox>
                      <w:txbxContent>
                        <w:p>
                          <w:r>
                            <w:rPr>
                              <w:rFonts w:hint="eastAsia"/>
                            </w:rPr>
                            <w:t>作为危废委托有资质单位处置</w:t>
                          </w:r>
                        </w:p>
                      </w:txbxContent>
                    </v:textbox>
                  </v:shape>
                  <v:shape id="_x0000_s1619" o:spid="_x0000_s1619" o:spt="202" type="#_x0000_t202" style="position:absolute;left:5293;top:8759;height:424;width:1473;" filled="f" stroked="f" coordsize="21600,21600">
                    <v:path/>
                    <v:fill on="f" focussize="0,0"/>
                    <v:stroke on="f" joinstyle="miter"/>
                    <v:imagedata o:title=""/>
                    <o:lock v:ext="edit"/>
                    <v:textbox>
                      <w:txbxContent>
                        <w:p>
                          <w:pPr>
                            <w:rPr>
                              <w:rFonts w:hint="default" w:eastAsia="宋体"/>
                              <w:lang w:val="en-US" w:eastAsia="zh-CN"/>
                            </w:rPr>
                          </w:pPr>
                          <w:r>
                            <w:rPr>
                              <w:rFonts w:hint="eastAsia"/>
                            </w:rPr>
                            <w:t>循环</w:t>
                          </w:r>
                          <w:r>
                            <w:rPr>
                              <w:rFonts w:hint="eastAsia"/>
                              <w:lang w:val="en-US" w:eastAsia="zh-CN"/>
                            </w:rPr>
                            <w:t>5040</w:t>
                          </w:r>
                        </w:p>
                      </w:txbxContent>
                    </v:textbox>
                  </v:shape>
                  <v:shape id="_x0000_s1620" o:spid="_x0000_s1620" o:spt="39" type="#_x0000_t39" style="position:absolute;left:5344;top:8045;flip:x y;height:580;width:208;rotation:5898240f;" o:connectortype="curved" filled="f" coordsize="21600,21600" adj="-37385,35007,504173">
                    <v:path arrowok="t"/>
                    <v:fill on="f" focussize="0,0"/>
                    <v:stroke endarrow="block"/>
                    <v:imagedata o:title=""/>
                    <o:lock v:ext="edit"/>
                  </v:shape>
                  <v:shape id="_x0000_s1621" o:spid="_x0000_s1621" o:spt="32" type="#_x0000_t32" style="position:absolute;left:3366;top:8231;height:1;width:675;" o:connectortype="straight" filled="f" coordsize="21600,21600">
                    <v:path arrowok="t"/>
                    <v:fill on="f" focussize="0,0"/>
                    <v:stroke endarrow="block"/>
                    <v:imagedata o:title=""/>
                    <o:lock v:ext="edit"/>
                  </v:shape>
                  <v:shape id="_x0000_s1622" o:spid="_x0000_s1622" o:spt="202" type="#_x0000_t202" style="position:absolute;left:4056;top:8006;height:416;width:1646;" coordsize="21600,21600">
                    <v:path/>
                    <v:fill focussize="0,0"/>
                    <v:stroke joinstyle="miter"/>
                    <v:imagedata o:title=""/>
                    <o:lock v:ext="edit"/>
                    <v:textbox>
                      <w:txbxContent>
                        <w:p>
                          <w:pPr>
                            <w:jc w:val="center"/>
                          </w:pPr>
                          <w:r>
                            <w:rPr>
                              <w:rFonts w:hint="eastAsia"/>
                            </w:rPr>
                            <w:t>水洗用水</w:t>
                          </w:r>
                        </w:p>
                      </w:txbxContent>
                    </v:textbox>
                  </v:shape>
                  <v:shape id="_x0000_s1623" o:spid="_x0000_s1623" o:spt="202" type="#_x0000_t202" style="position:absolute;left:3291;top:7903;height:424;width:775;" filled="f" stroked="f" coordsize="21600,21600">
                    <v:path/>
                    <v:fill on="f" focussize="0,0"/>
                    <v:stroke on="f" joinstyle="miter"/>
                    <v:imagedata o:title=""/>
                    <o:lock v:ext="edit"/>
                    <v:textbox>
                      <w:txbxContent>
                        <w:p>
                          <w:pPr>
                            <w:rPr>
                              <w:rFonts w:hint="default" w:eastAsia="宋体"/>
                              <w:lang w:val="en-US" w:eastAsia="zh-CN"/>
                            </w:rPr>
                          </w:pPr>
                          <w:r>
                            <w:rPr>
                              <w:rFonts w:hint="eastAsia"/>
                              <w:lang w:val="en-US" w:eastAsia="zh-CN"/>
                            </w:rPr>
                            <w:t>3.528</w:t>
                          </w:r>
                        </w:p>
                      </w:txbxContent>
                    </v:textbox>
                  </v:shape>
                  <v:shape id="_x0000_s1624" o:spid="_x0000_s1624" o:spt="32" type="#_x0000_t32" style="position:absolute;left:5022;top:7649;flip:y;height:357;width:194;" o:connectortype="straight" filled="f" coordsize="21600,21600">
                    <v:path arrowok="t"/>
                    <v:fill on="f" focussize="0,0"/>
                    <v:stroke/>
                    <v:imagedata o:title=""/>
                    <o:lock v:ext="edit"/>
                  </v:shape>
                  <v:shape id="_x0000_s1625" o:spid="_x0000_s1625" o:spt="32" type="#_x0000_t32" style="position:absolute;left:5216;top:7649;height:226;width:2;" o:connectortype="straight" filled="f" coordsize="21600,21600">
                    <v:path arrowok="t"/>
                    <v:fill on="f" focussize="0,0"/>
                    <v:stroke/>
                    <v:imagedata o:title=""/>
                    <o:lock v:ext="edit"/>
                  </v:shape>
                  <v:shape id="_x0000_s1626" o:spid="_x0000_s1626" o:spt="32" type="#_x0000_t32" style="position:absolute;left:5216;top:7542;flip:y;height:333;width:213;" o:connectortype="straight" filled="f" coordsize="21600,21600">
                    <v:path arrowok="t"/>
                    <v:fill on="f" focussize="0,0"/>
                    <v:stroke endarrow="block"/>
                    <v:imagedata o:title=""/>
                    <o:lock v:ext="edit"/>
                  </v:shape>
                  <v:shape id="_x0000_s1627" o:spid="_x0000_s1627" o:spt="202" type="#_x0000_t202" style="position:absolute;left:5993;top:6827;height:417;width:1388;" filled="f" stroked="f" coordsize="21600,21600">
                    <v:path/>
                    <v:fill on="f" focussize="0,0"/>
                    <v:stroke on="f" joinstyle="miter"/>
                    <v:imagedata o:title=""/>
                    <o:lock v:ext="edit"/>
                    <v:textbox>
                      <w:txbxContent>
                        <w:p>
                          <w:r>
                            <w:rPr>
                              <w:rFonts w:hint="eastAsia"/>
                            </w:rPr>
                            <w:t>循环</w:t>
                          </w:r>
                          <w:r>
                            <w:rPr>
                              <w:rFonts w:hint="eastAsia"/>
                              <w:lang w:val="en-US" w:eastAsia="zh-CN"/>
                            </w:rPr>
                            <w:t>45</w:t>
                          </w:r>
                          <w:r>
                            <w:rPr>
                              <w:rFonts w:hint="eastAsia"/>
                            </w:rPr>
                            <w:t>00</w:t>
                          </w:r>
                        </w:p>
                      </w:txbxContent>
                    </v:textbox>
                  </v:shape>
                  <v:shape id="_x0000_s1628" o:spid="_x0000_s1628" o:spt="32" type="#_x0000_t32" style="position:absolute;left:5732;top:8148;height:2;width:709;" o:connectortype="straight" filled="f" coordsize="21600,21600">
                    <v:path arrowok="t"/>
                    <v:fill on="f" focussize="0,0"/>
                    <v:stroke endarrow="block"/>
                    <v:imagedata o:title=""/>
                    <o:lock v:ext="edit"/>
                  </v:shape>
                  <v:shape id="_x0000_s1629" o:spid="_x0000_s1629" o:spt="202" type="#_x0000_t202" style="position:absolute;left:5732;top:7808;height:426;width:774;" filled="f" stroked="f" coordsize="21600,21600">
                    <v:path/>
                    <v:fill on="f" focussize="0,0"/>
                    <v:stroke on="f" joinstyle="miter"/>
                    <v:imagedata o:title=""/>
                    <o:lock v:ext="edit"/>
                    <v:textbox>
                      <w:txbxContent>
                        <w:p>
                          <w:r>
                            <w:rPr>
                              <w:rFonts w:hint="eastAsia"/>
                            </w:rPr>
                            <w:t>1.008</w:t>
                          </w:r>
                        </w:p>
                      </w:txbxContent>
                    </v:textbox>
                  </v:shape>
                  <v:shape id="_x0000_s1630" o:spid="_x0000_s1630" o:spt="202" type="#_x0000_t202" style="position:absolute;left:6441;top:7808;height:878;width:1957;" filled="f" stroked="f" coordsize="21600,21600">
                    <v:path/>
                    <v:fill on="f" focussize="0,0"/>
                    <v:stroke on="f" joinstyle="miter"/>
                    <v:imagedata o:title=""/>
                    <o:lock v:ext="edit"/>
                    <v:textbox>
                      <w:txbxContent>
                        <w:p>
                          <w:r>
                            <w:rPr>
                              <w:rFonts w:hint="eastAsia"/>
                            </w:rPr>
                            <w:t>作为危废委托有资质单位处置</w:t>
                          </w:r>
                        </w:p>
                      </w:txbxContent>
                    </v:textbox>
                  </v:shape>
                  <w10:wrap type="none"/>
                  <w10:anchorlock/>
                </v:group>
              </w:pict>
            </w:r>
          </w:p>
          <w:p>
            <w:pPr>
              <w:adjustRightInd w:val="0"/>
              <w:snapToGrid w:val="0"/>
              <w:spacing w:line="360" w:lineRule="auto"/>
              <w:jc w:val="center"/>
              <w:rPr>
                <w:b/>
                <w:sz w:val="24"/>
              </w:rPr>
            </w:pPr>
            <w:r>
              <w:rPr>
                <w:rFonts w:hint="eastAsia"/>
                <w:b/>
                <w:sz w:val="24"/>
              </w:rPr>
              <w:t>图2-1  项目水平衡图</w:t>
            </w:r>
          </w:p>
          <w:p>
            <w:pPr>
              <w:adjustRightInd w:val="0"/>
              <w:snapToGrid w:val="0"/>
              <w:spacing w:line="360" w:lineRule="auto"/>
              <w:rPr>
                <w:b/>
                <w:sz w:val="24"/>
              </w:rPr>
            </w:pPr>
            <w:r>
              <w:rPr>
                <w:rFonts w:hint="eastAsia"/>
                <w:b/>
                <w:sz w:val="24"/>
              </w:rPr>
              <w:t>9</w:t>
            </w:r>
            <w:r>
              <w:rPr>
                <w:b/>
                <w:sz w:val="24"/>
              </w:rPr>
              <w:t>、生产制度、职工人数</w:t>
            </w:r>
          </w:p>
          <w:p>
            <w:pPr>
              <w:spacing w:line="360" w:lineRule="auto"/>
              <w:ind w:firstLine="480" w:firstLineChars="200"/>
              <w:rPr>
                <w:sz w:val="24"/>
              </w:rPr>
            </w:pPr>
            <w:r>
              <w:rPr>
                <w:sz w:val="24"/>
              </w:rPr>
              <w:t>项目拟用职工2</w:t>
            </w:r>
            <w:r>
              <w:rPr>
                <w:rFonts w:hint="eastAsia"/>
                <w:sz w:val="24"/>
              </w:rPr>
              <w:t>0</w:t>
            </w:r>
            <w:r>
              <w:rPr>
                <w:sz w:val="24"/>
              </w:rPr>
              <w:t>人，一班制</w:t>
            </w:r>
            <w:r>
              <w:rPr>
                <w:rFonts w:hint="eastAsia"/>
                <w:sz w:val="24"/>
              </w:rPr>
              <w:t>9</w:t>
            </w:r>
            <w:r>
              <w:rPr>
                <w:sz w:val="24"/>
              </w:rPr>
              <w:t>小时生产，年工作日约300天，年工作2</w:t>
            </w:r>
            <w:r>
              <w:rPr>
                <w:rFonts w:hint="eastAsia"/>
                <w:sz w:val="24"/>
              </w:rPr>
              <w:t>7</w:t>
            </w:r>
            <w:r>
              <w:rPr>
                <w:sz w:val="24"/>
              </w:rPr>
              <w:t>00小时。厂</w:t>
            </w:r>
            <w:r>
              <w:rPr>
                <w:rFonts w:hint="eastAsia"/>
                <w:sz w:val="24"/>
              </w:rPr>
              <w:t>区内设食堂和员工宿舍，不设</w:t>
            </w:r>
            <w:r>
              <w:rPr>
                <w:sz w:val="24"/>
              </w:rPr>
              <w:t>浴室</w:t>
            </w:r>
            <w:r>
              <w:rPr>
                <w:rFonts w:hint="eastAsia"/>
                <w:sz w:val="24"/>
              </w:rPr>
              <w:t>等其他生活设施</w:t>
            </w:r>
            <w:r>
              <w:rPr>
                <w:sz w:val="24"/>
              </w:rPr>
              <w:t>。</w:t>
            </w:r>
          </w:p>
          <w:p>
            <w:pPr>
              <w:adjustRightInd w:val="0"/>
              <w:snapToGrid w:val="0"/>
              <w:spacing w:line="360" w:lineRule="auto"/>
              <w:rPr>
                <w:b/>
                <w:sz w:val="24"/>
              </w:rPr>
            </w:pPr>
            <w:r>
              <w:rPr>
                <w:rFonts w:hint="eastAsia"/>
                <w:b/>
                <w:sz w:val="24"/>
              </w:rPr>
              <w:t>10</w:t>
            </w:r>
            <w:r>
              <w:rPr>
                <w:b/>
                <w:sz w:val="24"/>
              </w:rPr>
              <w:t>、厂区平面布置</w:t>
            </w:r>
          </w:p>
          <w:p>
            <w:pPr>
              <w:adjustRightInd w:val="0"/>
              <w:snapToGrid w:val="0"/>
              <w:spacing w:line="360" w:lineRule="auto"/>
              <w:ind w:firstLine="480" w:firstLineChars="200"/>
              <w:rPr>
                <w:color w:val="FF0000"/>
              </w:rPr>
            </w:pPr>
            <w:r>
              <w:rPr>
                <w:rFonts w:hint="eastAsia"/>
                <w:sz w:val="24"/>
              </w:rPr>
              <w:t>本项目租赁常州市武进新谊色织有限公司1056平方米厂房，项目一楼为车加工车间，二楼从北至南为研磨清洗区、车加工区、焊接区、办公室、食堂</w:t>
            </w:r>
            <w:r>
              <w:rPr>
                <w:rFonts w:hint="eastAsia"/>
                <w:sz w:val="24"/>
                <w:lang w:eastAsia="zh-CN"/>
              </w:rPr>
              <w:t>，三楼为住宿区</w:t>
            </w:r>
            <w:r>
              <w:rPr>
                <w:rFonts w:hint="eastAsia"/>
                <w:sz w:val="24"/>
              </w:rPr>
              <w:t>。</w:t>
            </w:r>
            <w:r>
              <w:rPr>
                <w:sz w:val="24"/>
              </w:rPr>
              <w:t>建设项目厂区平面布置图见附图3。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7" w:hRule="atLeast"/>
          <w:jc w:val="center"/>
        </w:trPr>
        <w:tc>
          <w:tcPr>
            <w:tcW w:w="392" w:type="dxa"/>
            <w:vAlign w:val="center"/>
          </w:tcPr>
          <w:p>
            <w:pPr>
              <w:pStyle w:val="19"/>
              <w:adjustRightInd w:val="0"/>
              <w:snapToGrid w:val="0"/>
              <w:spacing w:before="0" w:beforeAutospacing="0" w:after="0" w:afterAutospacing="0"/>
              <w:jc w:val="center"/>
              <w:rPr>
                <w:rFonts w:cs="宋体"/>
                <w:sz w:val="21"/>
                <w:szCs w:val="21"/>
              </w:rPr>
            </w:pPr>
            <w:r>
              <w:rPr>
                <w:rFonts w:hint="eastAsia" w:cs="宋体"/>
                <w:sz w:val="21"/>
                <w:szCs w:val="21"/>
              </w:rPr>
              <w:t>工艺流程和产排污环节</w:t>
            </w:r>
          </w:p>
        </w:tc>
        <w:tc>
          <w:tcPr>
            <w:tcW w:w="8668" w:type="dxa"/>
          </w:tcPr>
          <w:p>
            <w:pPr>
              <w:adjustRightInd w:val="0"/>
              <w:snapToGrid w:val="0"/>
              <w:rPr>
                <w:rFonts w:ascii="宋体" w:hAnsi="宋体"/>
                <w:b/>
                <w:bCs/>
                <w:sz w:val="24"/>
              </w:rPr>
            </w:pPr>
            <w:r>
              <w:rPr>
                <w:rFonts w:ascii="宋体"/>
                <w:b/>
                <w:sz w:val="20"/>
              </w:rPr>
              <w:pict>
                <v:group id="_x0000_s1631" o:spid="_x0000_s1631" o:spt="203" style="position:absolute;left:0pt;margin-left:0pt;margin-top:21.85pt;height:351.75pt;width:417.5pt;mso-wrap-distance-bottom:0pt;mso-wrap-distance-left:9pt;mso-wrap-distance-right:9pt;mso-wrap-distance-top:0pt;z-index:251664384;mso-width-relative:page;mso-height-relative:page;" coordorigin="1579,3135" coordsize="8350,7035" editas="canvas">
                  <o:lock v:ext="edit"/>
                  <v:shape id="_x0000_s1632" o:spid="_x0000_s1632" o:spt="75" type="#_x0000_t75" style="position:absolute;left:1579;top:3135;height:7035;width:8350;" filled="f" o:preferrelative="f" stroked="f" coordsize="21600,21600">
                    <v:path/>
                    <v:fill on="f" focussize="0,0"/>
                    <v:stroke on="f" joinstyle="miter"/>
                    <v:imagedata o:title=""/>
                    <o:lock v:ext="edit" text="t" aspectratio="t"/>
                  </v:shape>
                  <v:shape id="_x0000_s1633" o:spid="_x0000_s1633" o:spt="202" type="#_x0000_t202" style="position:absolute;left:5251;top:7880;height:439;width:962;" filled="f" coordsize="21600,21600">
                    <v:path/>
                    <v:fill on="f" focussize="0,0"/>
                    <v:stroke joinstyle="miter"/>
                    <v:imagedata o:title=""/>
                    <o:lock v:ext="edit"/>
                    <v:textbox>
                      <w:txbxContent>
                        <w:p>
                          <w:pPr>
                            <w:jc w:val="center"/>
                          </w:pPr>
                          <w:r>
                            <w:rPr>
                              <w:rFonts w:hint="eastAsia"/>
                            </w:rPr>
                            <w:t>检验</w:t>
                          </w:r>
                        </w:p>
                      </w:txbxContent>
                    </v:textbox>
                  </v:shape>
                  <v:shape id="_x0000_s1634" o:spid="_x0000_s1634" o:spt="32" type="#_x0000_t32" style="position:absolute;left:5723;top:8319;height:453;width:1;" o:connectortype="straight" filled="f" coordsize="21600,21600">
                    <v:path arrowok="t"/>
                    <v:fill on="f" focussize="0,0"/>
                    <v:stroke endarrow="block"/>
                    <v:imagedata o:title=""/>
                    <o:lock v:ext="edit"/>
                  </v:shape>
                  <v:shape id="_x0000_s1635" o:spid="_x0000_s1635" o:spt="202" type="#_x0000_t202" style="position:absolute;left:5251;top:8870;height:439;width:962;" filled="f" stroked="f" coordsize="21600,21600">
                    <v:path/>
                    <v:fill on="f" focussize="0,0"/>
                    <v:stroke on="f" joinstyle="miter"/>
                    <v:imagedata o:title=""/>
                    <o:lock v:ext="edit"/>
                    <v:textbox>
                      <w:txbxContent>
                        <w:p>
                          <w:pPr>
                            <w:jc w:val="center"/>
                          </w:pPr>
                          <w:r>
                            <w:rPr>
                              <w:rFonts w:hint="eastAsia"/>
                            </w:rPr>
                            <w:t>成品</w:t>
                          </w:r>
                        </w:p>
                      </w:txbxContent>
                    </v:textbox>
                  </v:shape>
                  <v:shape id="文本框 11" o:spid="_x0000_s1636" o:spt="202" type="#_x0000_t202" style="position:absolute;left:7531;top:8400;height:1044;width:2201;" filled="f" stroked="f" coordsize="21600,21600" o:gfxdata="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v3Wkv9YAAAAIAQAADwAAAAAAAAABACAA&#10;AAAiAAAAZHJzL2Rvd25yZXYueG1sUEsBAhQAFAAAAAgAh07iQGLGDridAQAADwMAAA4AAAAAAAAA&#10;AQAgAAAAJQEAAGRycy9lMm9Eb2MueG1sUEsFBgAAAAAGAAYAWQEAADQFAAAAAA==&#10;">
                    <v:path/>
                    <v:fill on="f" focussize="0,0"/>
                    <v:stroke on="f" joinstyle="miter"/>
                    <v:imagedata o:title=""/>
                    <o:lock v:ext="edit"/>
                    <v:textbox>
                      <w:txbxContent>
                        <w:p>
                          <w:pPr>
                            <w:rPr>
                              <w:rFonts w:ascii="宋体" w:hAnsi="宋体" w:cs="宋体"/>
                              <w:szCs w:val="21"/>
                            </w:rPr>
                          </w:pPr>
                          <w:r>
                            <w:rPr>
                              <w:rFonts w:hint="eastAsia" w:ascii="宋体" w:hAnsi="宋体" w:cs="宋体"/>
                              <w:szCs w:val="21"/>
                            </w:rPr>
                            <w:t>注：</w:t>
                          </w:r>
                          <w:r>
                            <w:rPr>
                              <w:szCs w:val="21"/>
                            </w:rPr>
                            <w:t>S</w:t>
                          </w:r>
                          <w:r>
                            <w:rPr>
                              <w:rFonts w:hAnsi="宋体"/>
                              <w:szCs w:val="21"/>
                            </w:rPr>
                            <w:t>固体废物</w:t>
                          </w:r>
                        </w:p>
                      </w:txbxContent>
                    </v:textbox>
                  </v:shape>
                  <v:shape id="文本框 26" o:spid="_x0000_s1637" o:spt="202" type="#_x0000_t202" style="position:absolute;left:3916;top:9444;height:444;width:4140;" filled="f" stroked="f" coordsize="21600,21600" o:gfxdata="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">
                    <v:path/>
                    <v:fill on="f" focussize="0,0"/>
                    <v:stroke on="f" joinstyle="miter"/>
                    <v:imagedata o:title=""/>
                    <o:lock v:ext="edit"/>
                    <v:textbox>
                      <w:txbxContent>
                        <w:p>
                          <w:pPr>
                            <w:rPr>
                              <w:rFonts w:ascii="宋体" w:hAnsi="宋体" w:cs="宋体"/>
                              <w:b/>
                              <w:bCs/>
                              <w:sz w:val="24"/>
                            </w:rPr>
                          </w:pPr>
                          <w:r>
                            <w:rPr>
                              <w:rFonts w:hint="eastAsia" w:ascii="宋体" w:hAnsi="宋体" w:cs="宋体"/>
                              <w:b/>
                              <w:bCs/>
                              <w:sz w:val="24"/>
                            </w:rPr>
                            <w:t>图</w:t>
                          </w:r>
                          <w:r>
                            <w:rPr>
                              <w:b/>
                              <w:bCs/>
                              <w:sz w:val="24"/>
                            </w:rPr>
                            <w:t xml:space="preserve">2-2 </w:t>
                          </w:r>
                          <w:r>
                            <w:rPr>
                              <w:rFonts w:hint="eastAsia" w:ascii="宋体" w:hAnsi="宋体" w:cs="宋体"/>
                              <w:b/>
                              <w:bCs/>
                              <w:sz w:val="24"/>
                            </w:rPr>
                            <w:t>连接器生产工艺流程图</w:t>
                          </w:r>
                        </w:p>
                      </w:txbxContent>
                    </v:textbox>
                  </v:shape>
                  <v:shape id="_x0000_s1638" o:spid="_x0000_s1638" o:spt="32" type="#_x0000_t32" style="position:absolute;left:6213;top:8100;height:1;width:401;" o:connectortype="straight" filled="f" coordsize="21600,21600">
                    <v:path arrowok="t"/>
                    <v:fill on="f" focussize="0,0"/>
                    <v:stroke dashstyle="dash" endarrow="block"/>
                    <v:imagedata o:title=""/>
                    <o:lock v:ext="edit"/>
                  </v:shape>
                  <v:shape id="_x0000_s1639" o:spid="_x0000_s1639" o:spt="202" type="#_x0000_t202" style="position:absolute;left:6502;top:7880;height:439;width:1516;" filled="f" stroked="f" coordsize="21600,21600">
                    <v:path/>
                    <v:fill on="f" focussize="0,0"/>
                    <v:stroke on="f" joinstyle="miter"/>
                    <v:imagedata o:title=""/>
                    <o:lock v:ext="edit"/>
                    <v:textbox>
                      <w:txbxContent>
                        <w:p>
                          <w:pPr>
                            <w:jc w:val="center"/>
                          </w:pPr>
                          <w:r>
                            <w:rPr>
                              <w:rFonts w:hint="eastAsia"/>
                            </w:rPr>
                            <w:t>S5不合格品</w:t>
                          </w:r>
                        </w:p>
                        <w:p>
                          <w:pPr>
                            <w:pStyle w:val="2"/>
                            <w:ind w:left="-84" w:firstLine="560"/>
                          </w:pPr>
                        </w:p>
                      </w:txbxContent>
                    </v:textbox>
                  </v:shape>
                  <v:shape id="_x0000_s1640" o:spid="_x0000_s1640" o:spt="32" type="#_x0000_t32" style="position:absolute;left:5712;top:5641;height:453;width:1;" o:connectortype="straight" filled="f" coordsize="21600,21600">
                    <v:path arrowok="t"/>
                    <v:fill on="f" focussize="0,0"/>
                    <v:stroke endarrow="block"/>
                    <v:imagedata o:title=""/>
                    <o:lock v:ext="edit"/>
                  </v:shape>
                  <v:shape id="_x0000_s1641" o:spid="_x0000_s1641" o:spt="202" type="#_x0000_t202" style="position:absolute;left:5134;top:5202;height:439;width:1185;" filled="f" coordsize="21600,21600">
                    <v:path/>
                    <v:fill on="f" focussize="0,0"/>
                    <v:stroke joinstyle="miter"/>
                    <v:imagedata o:title=""/>
                    <o:lock v:ext="edit"/>
                    <v:textbox>
                      <w:txbxContent>
                        <w:p>
                          <w:pPr>
                            <w:jc w:val="center"/>
                          </w:pPr>
                          <w:r>
                            <w:rPr>
                              <w:rFonts w:hint="eastAsia"/>
                            </w:rPr>
                            <w:t>研磨清洗</w:t>
                          </w:r>
                        </w:p>
                      </w:txbxContent>
                    </v:textbox>
                  </v:shape>
                  <v:shape id="_x0000_s1642" o:spid="_x0000_s1642" o:spt="32" type="#_x0000_t32" style="position:absolute;left:6357;top:5403;height:1;width:401;" o:connectortype="straight" filled="f" coordsize="21600,21600">
                    <v:path arrowok="t"/>
                    <v:fill on="f" focussize="0,0"/>
                    <v:stroke dashstyle="dash" endarrow="block"/>
                    <v:imagedata o:title=""/>
                    <o:lock v:ext="edit"/>
                  </v:shape>
                  <v:shape id="_x0000_s1643" o:spid="_x0000_s1643" o:spt="32" type="#_x0000_t32" style="position:absolute;left:4713;top:5415;height:1;width:401;" o:connectortype="straight" filled="f" coordsize="21600,21600">
                    <v:path arrowok="t"/>
                    <v:fill on="f" focussize="0,0"/>
                    <v:stroke endarrow="block"/>
                    <v:imagedata o:title=""/>
                    <o:lock v:ext="edit"/>
                  </v:shape>
                  <v:shape id="_x0000_s1644" o:spid="_x0000_s1644" o:spt="32" type="#_x0000_t32" style="position:absolute;left:5732;top:4640;height:562;width:4;" o:connectortype="straight" filled="f" coordsize="21600,21600">
                    <v:path arrowok="t"/>
                    <v:fill on="f" focussize="0,0"/>
                    <v:stroke endarrow="block"/>
                    <v:imagedata o:title=""/>
                    <o:lock v:ext="edit"/>
                  </v:shape>
                  <v:shape id="_x0000_s1645" o:spid="_x0000_s1645" o:spt="202" type="#_x0000_t202" style="position:absolute;left:3313;top:5102;height:658;width:1472;" filled="f" stroked="f" coordsize="21600,21600">
                    <v:path/>
                    <v:fill on="f" focussize="0,0"/>
                    <v:stroke on="f" joinstyle="miter"/>
                    <v:imagedata o:title=""/>
                    <o:lock v:ext="edit"/>
                    <v:textbox>
                      <w:txbxContent>
                        <w:p>
                          <w:pPr>
                            <w:jc w:val="center"/>
                          </w:pPr>
                          <w:r>
                            <w:rPr>
                              <w:rFonts w:hint="eastAsia"/>
                            </w:rPr>
                            <w:t>清洗剂、水、光亮剂</w:t>
                          </w:r>
                        </w:p>
                        <w:p>
                          <w:pPr>
                            <w:jc w:val="center"/>
                          </w:pPr>
                        </w:p>
                      </w:txbxContent>
                    </v:textbox>
                  </v:shape>
                  <v:shape id="_x0000_s1646" o:spid="_x0000_s1646" o:spt="202" type="#_x0000_t202" style="position:absolute;left:6508;top:5187;height:459;width:1690;" filled="f" stroked="f" coordsize="21600,21600">
                    <v:path/>
                    <v:fill on="f" focussize="0,0"/>
                    <v:stroke on="f" joinstyle="miter"/>
                    <v:imagedata o:title=""/>
                    <o:lock v:ext="edit"/>
                    <v:textbox>
                      <w:txbxContent>
                        <w:p>
                          <w:pPr>
                            <w:jc w:val="center"/>
                          </w:pPr>
                          <w:r>
                            <w:rPr>
                              <w:rFonts w:hint="eastAsia"/>
                            </w:rPr>
                            <w:t>S3清洗废液</w:t>
                          </w:r>
                        </w:p>
                        <w:p>
                          <w:pPr>
                            <w:pStyle w:val="2"/>
                            <w:ind w:left="0" w:leftChars="0" w:firstLine="383" w:firstLineChars="137"/>
                          </w:pPr>
                        </w:p>
                      </w:txbxContent>
                    </v:textbox>
                  </v:shape>
                  <v:shape id="_x0000_s1647" o:spid="_x0000_s1647" o:spt="202" type="#_x0000_t202" style="position:absolute;left:5251;top:4201;height:439;width:962;" filled="f" coordsize="21600,21600">
                    <v:path/>
                    <v:fill on="f" focussize="0,0"/>
                    <v:stroke joinstyle="miter"/>
                    <v:imagedata o:title=""/>
                    <o:lock v:ext="edit"/>
                    <v:textbox>
                      <w:txbxContent>
                        <w:p>
                          <w:pPr>
                            <w:jc w:val="center"/>
                          </w:pPr>
                          <w:r>
                            <w:rPr>
                              <w:rFonts w:hint="eastAsia"/>
                            </w:rPr>
                            <w:t>车加工</w:t>
                          </w:r>
                        </w:p>
                      </w:txbxContent>
                    </v:textbox>
                  </v:shape>
                  <v:shape id="_x0000_s1648" o:spid="_x0000_s1648" o:spt="202" type="#_x0000_t202" style="position:absolute;left:4920;top:3317;height:461;width:1564;" filled="f" stroked="f" coordsize="21600,21600">
                    <v:path/>
                    <v:fill on="f" focussize="0,0"/>
                    <v:stroke on="f" joinstyle="miter"/>
                    <v:imagedata o:title=""/>
                    <o:lock v:ext="edit"/>
                    <v:textbox>
                      <w:txbxContent>
                        <w:p>
                          <w:pPr>
                            <w:pStyle w:val="2"/>
                            <w:spacing w:before="0" w:beforeAutospacing="0" w:after="0" w:afterAutospacing="0" w:line="240" w:lineRule="auto"/>
                            <w:ind w:left="0" w:leftChars="0" w:right="0" w:firstLine="0" w:firstLineChars="0"/>
                            <w:jc w:val="center"/>
                            <w:rPr>
                              <w:rFonts w:ascii="Times New Roman" w:hAnsi="Times New Roman" w:eastAsia="宋体" w:cs="Times New Roman"/>
                              <w:sz w:val="21"/>
                              <w:szCs w:val="24"/>
                            </w:rPr>
                          </w:pPr>
                          <w:r>
                            <w:rPr>
                              <w:rFonts w:hint="eastAsia" w:ascii="Times New Roman" w:hAnsi="Times New Roman" w:eastAsia="宋体" w:cs="Times New Roman"/>
                              <w:sz w:val="21"/>
                              <w:szCs w:val="24"/>
                            </w:rPr>
                            <w:t>铜棒、锡铅铜</w:t>
                          </w:r>
                        </w:p>
                      </w:txbxContent>
                    </v:textbox>
                  </v:shape>
                  <v:shape id="_x0000_s1649" o:spid="_x0000_s1649" o:spt="32" type="#_x0000_t32" style="position:absolute;left:5713;top:3778;height:453;width:1;" o:connectortype="straight" filled="f" coordsize="21600,21600">
                    <v:path arrowok="t"/>
                    <v:fill on="f" focussize="0,0"/>
                    <v:stroke endarrow="block"/>
                    <v:imagedata o:title=""/>
                    <o:lock v:ext="edit"/>
                  </v:shape>
                  <v:shape id="_x0000_s1650" o:spid="_x0000_s1650" o:spt="202" type="#_x0000_t202" style="position:absolute;left:5251;top:6094;height:439;width:924;" filled="f" coordsize="21600,21600">
                    <v:path/>
                    <v:fill on="f" focussize="0,0"/>
                    <v:stroke joinstyle="miter"/>
                    <v:imagedata o:title=""/>
                    <o:lock v:ext="edit"/>
                    <v:textbox>
                      <w:txbxContent>
                        <w:p>
                          <w:pPr>
                            <w:jc w:val="center"/>
                          </w:pPr>
                          <w:r>
                            <w:rPr>
                              <w:rFonts w:hint="eastAsia"/>
                            </w:rPr>
                            <w:t>水洗</w:t>
                          </w:r>
                        </w:p>
                      </w:txbxContent>
                    </v:textbox>
                  </v:shape>
                  <v:shape id="_x0000_s1651" o:spid="_x0000_s1651" o:spt="32" type="#_x0000_t32" style="position:absolute;left:6199;top:6295;height:1;width:401;" o:connectortype="straight" filled="f" coordsize="21600,21600">
                    <v:path arrowok="t"/>
                    <v:fill on="f" focussize="0,0"/>
                    <v:stroke dashstyle="dash" endarrow="block"/>
                    <v:imagedata o:title=""/>
                    <o:lock v:ext="edit"/>
                  </v:shape>
                  <v:shape id="_x0000_s1652" o:spid="_x0000_s1652" o:spt="32" type="#_x0000_t32" style="position:absolute;left:4809;top:6306;height:1;width:401;" o:connectortype="straight" filled="f" coordsize="21600,21600">
                    <v:path arrowok="t"/>
                    <v:fill on="f" focussize="0,0"/>
                    <v:stroke endarrow="block"/>
                    <v:imagedata o:title=""/>
                    <o:lock v:ext="edit"/>
                  </v:shape>
                  <v:shape id="_x0000_s1653" o:spid="_x0000_s1653" o:spt="202" type="#_x0000_t202" style="position:absolute;left:3613;top:4201;height:425;width:1307;" filled="f" stroked="f" coordsize="21600,21600">
                    <v:path/>
                    <v:fill on="f" focussize="0,0"/>
                    <v:stroke on="f" joinstyle="miter"/>
                    <v:imagedata o:title=""/>
                    <o:lock v:ext="edit"/>
                    <v:textbox>
                      <w:txbxContent>
                        <w:p>
                          <w:pPr>
                            <w:jc w:val="center"/>
                          </w:pPr>
                          <w:r>
                            <w:rPr>
                              <w:rFonts w:hint="eastAsia"/>
                            </w:rPr>
                            <w:t>切削油</w:t>
                          </w:r>
                        </w:p>
                      </w:txbxContent>
                    </v:textbox>
                  </v:shape>
                  <v:shape id="_x0000_s1654" o:spid="_x0000_s1654" o:spt="202" type="#_x0000_t202" style="position:absolute;left:6374;top:6067;height:564;width:1728;" filled="f" stroked="f" coordsize="21600,21600">
                    <v:path/>
                    <v:fill on="f" focussize="0,0"/>
                    <v:stroke on="f" joinstyle="miter"/>
                    <v:imagedata o:title=""/>
                    <o:lock v:ext="edit"/>
                    <v:textbox>
                      <w:txbxContent>
                        <w:p>
                          <w:pPr>
                            <w:jc w:val="center"/>
                          </w:pPr>
                          <w:r>
                            <w:rPr>
                              <w:rFonts w:hint="eastAsia"/>
                            </w:rPr>
                            <w:t>S4清洗废液</w:t>
                          </w:r>
                        </w:p>
                        <w:p>
                          <w:pPr>
                            <w:pStyle w:val="2"/>
                            <w:ind w:left="-84" w:firstLine="560"/>
                          </w:pPr>
                        </w:p>
                      </w:txbxContent>
                    </v:textbox>
                  </v:shape>
                  <v:shape id="_x0000_s1655" o:spid="_x0000_s1655" o:spt="32" type="#_x0000_t32" style="position:absolute;left:5712;top:6535;height:453;width:1;" o:connectortype="straight" filled="f" coordsize="21600,21600">
                    <v:path arrowok="t"/>
                    <v:fill on="f" focussize="0,0"/>
                    <v:stroke endarrow="block"/>
                    <v:imagedata o:title=""/>
                    <o:lock v:ext="edit"/>
                  </v:shape>
                  <v:shape id="_x0000_s1656" o:spid="_x0000_s1656" o:spt="202" type="#_x0000_t202" style="position:absolute;left:5251;top:6988;height:439;width:924;" filled="f" coordsize="21600,21600">
                    <v:path/>
                    <v:fill on="f" focussize="0,0"/>
                    <v:stroke joinstyle="miter"/>
                    <v:imagedata o:title=""/>
                    <o:lock v:ext="edit"/>
                    <v:textbox>
                      <w:txbxContent>
                        <w:p>
                          <w:pPr>
                            <w:jc w:val="center"/>
                          </w:pPr>
                          <w:r>
                            <w:rPr>
                              <w:rFonts w:hint="eastAsia"/>
                            </w:rPr>
                            <w:t>烘干</w:t>
                          </w:r>
                        </w:p>
                      </w:txbxContent>
                    </v:textbox>
                  </v:shape>
                  <v:shape id="_x0000_s1657" o:spid="_x0000_s1657" o:spt="32" type="#_x0000_t32" style="position:absolute;left:4821;top:7200;height:1;width:401;" o:connectortype="straight" filled="f" coordsize="21600,21600">
                    <v:path arrowok="t"/>
                    <v:fill on="f" focussize="0,0"/>
                    <v:stroke endarrow="block"/>
                    <v:imagedata o:title=""/>
                    <o:lock v:ext="edit"/>
                  </v:shape>
                  <v:shape id="_x0000_s1658" o:spid="_x0000_s1658" o:spt="202" type="#_x0000_t202" style="position:absolute;left:3706;top:6984;height:457;width:1307;" filled="f" stroked="f" coordsize="21600,21600">
                    <v:path/>
                    <v:fill on="f" focussize="0,0"/>
                    <v:stroke on="f" joinstyle="miter"/>
                    <v:imagedata o:title=""/>
                    <o:lock v:ext="edit"/>
                    <v:textbox>
                      <w:txbxContent>
                        <w:p>
                          <w:pPr>
                            <w:jc w:val="center"/>
                          </w:pPr>
                          <w:r>
                            <w:rPr>
                              <w:rFonts w:hint="eastAsia"/>
                            </w:rPr>
                            <w:t>电加热</w:t>
                          </w:r>
                        </w:p>
                        <w:p>
                          <w:pPr>
                            <w:jc w:val="center"/>
                          </w:pPr>
                        </w:p>
                      </w:txbxContent>
                    </v:textbox>
                  </v:shape>
                  <v:shape id="_x0000_s1659" o:spid="_x0000_s1659" o:spt="32" type="#_x0000_t32" style="position:absolute;left:5711;top:7427;height:453;width:1;" o:connectortype="straight" filled="f" coordsize="21600,21600">
                    <v:path arrowok="t"/>
                    <v:fill on="f" focussize="0,0"/>
                    <v:stroke endarrow="block"/>
                    <v:imagedata o:title=""/>
                    <o:lock v:ext="edit"/>
                  </v:shape>
                  <v:shape id="_x0000_s1660" o:spid="_x0000_s1660" o:spt="32" type="#_x0000_t32" style="position:absolute;left:4850;top:4406;height:1;width:401;" o:connectortype="straight" filled="f" coordsize="21600,21600">
                    <v:path arrowok="t"/>
                    <v:fill on="f" focussize="0,0"/>
                    <v:stroke endarrow="block"/>
                    <v:imagedata o:title=""/>
                    <o:lock v:ext="edit"/>
                  </v:shape>
                  <v:shape id="_x0000_s1661" o:spid="_x0000_s1661" o:spt="202" type="#_x0000_t202" style="position:absolute;left:4006;top:6055;height:468;width:936;" filled="f" stroked="f" coordsize="21600,21600">
                    <v:path/>
                    <v:fill on="f" focussize="0,0"/>
                    <v:stroke on="f" joinstyle="miter"/>
                    <v:imagedata o:title=""/>
                    <o:lock v:ext="edit"/>
                    <v:textbox>
                      <w:txbxContent>
                        <w:p>
                          <w:pPr>
                            <w:jc w:val="center"/>
                          </w:pPr>
                          <w:r>
                            <w:rPr>
                              <w:rFonts w:hint="eastAsia"/>
                            </w:rPr>
                            <w:t>水</w:t>
                          </w:r>
                        </w:p>
                      </w:txbxContent>
                    </v:textbox>
                  </v:shape>
                  <v:shape id="_x0000_s1662" o:spid="_x0000_s1662" o:spt="32" type="#_x0000_t32" style="position:absolute;left:6206;top:4423;height:1;width:401;" o:connectortype="straight" filled="f" coordsize="21600,21600">
                    <v:path arrowok="t"/>
                    <v:fill on="f" focussize="0,0"/>
                    <v:stroke dashstyle="dash" endarrow="block"/>
                    <v:imagedata o:title=""/>
                    <o:lock v:ext="edit"/>
                  </v:shape>
                  <v:shape id="_x0000_s1663" o:spid="_x0000_s1663" o:spt="202" type="#_x0000_t202" style="position:absolute;left:6153;top:4085;height:800;width:2204;" filled="f" stroked="f" coordsize="21600,21600">
                    <v:path/>
                    <v:fill on="f" focussize="0,0"/>
                    <v:stroke on="f" joinstyle="miter"/>
                    <v:imagedata o:title=""/>
                    <o:lock v:ext="edit"/>
                    <v:textbox>
                      <w:txbxContent>
                        <w:p>
                          <w:pPr>
                            <w:jc w:val="center"/>
                          </w:pPr>
                          <w:r>
                            <w:t>S1</w:t>
                          </w:r>
                          <w:r>
                            <w:rPr>
                              <w:rFonts w:hAnsi="宋体"/>
                            </w:rPr>
                            <w:t>边角料</w:t>
                          </w:r>
                        </w:p>
                        <w:p>
                          <w:pPr>
                            <w:pStyle w:val="2"/>
                            <w:spacing w:before="0" w:beforeAutospacing="0" w:after="0" w:afterAutospacing="0" w:line="240" w:lineRule="auto"/>
                            <w:ind w:left="0" w:leftChars="0" w:right="0"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S2</w:t>
                          </w:r>
                          <w:r>
                            <w:rPr>
                              <w:rFonts w:ascii="Times New Roman" w:eastAsia="宋体" w:cs="Times New Roman"/>
                              <w:sz w:val="21"/>
                              <w:szCs w:val="21"/>
                            </w:rPr>
                            <w:t>废切削</w:t>
                          </w:r>
                          <w:r>
                            <w:rPr>
                              <w:rFonts w:hint="eastAsia" w:ascii="Times New Roman" w:eastAsia="宋体" w:cs="Times New Roman"/>
                              <w:sz w:val="21"/>
                              <w:szCs w:val="21"/>
                            </w:rPr>
                            <w:t>油</w:t>
                          </w:r>
                        </w:p>
                        <w:p>
                          <w:pPr>
                            <w:pStyle w:val="2"/>
                            <w:ind w:left="-84" w:firstLine="560"/>
                            <w:rPr>
                              <w:rFonts w:eastAsia="宋体"/>
                            </w:rPr>
                          </w:pPr>
                        </w:p>
                      </w:txbxContent>
                    </v:textbox>
                  </v:shape>
                  <w10:wrap type="square"/>
                </v:group>
              </w:pict>
            </w:r>
            <w:r>
              <w:rPr>
                <w:rFonts w:ascii="宋体"/>
                <w:b/>
                <w:sz w:val="20"/>
              </w:rPr>
              <w:pict>
                <v:line id="直线 751" o:spid="_x0000_s1131" o:spt="20" style="position:absolute;left:0pt;margin-left:0pt;margin-top:897pt;height:0pt;width:451.5pt;z-index:251663360;mso-width-relative:page;mso-height-relative:page;" coordsize="21600,21600" o:gfxdata="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9511NQAAAAK&#10;AQAADwAAAAAAAAABACAAAAAiAAAAZHJzL2Rvd25yZXYueG1sUEsBAhQAFAAAAAgAh07iQOO6po7n&#10;AQAA4AMAAA4AAAAAAAAAAQAgAAAAIwEAAGRycy9lMm9Eb2MueG1sUEsFBgAAAAAGAAYAWQEAAHwF&#10;AAAAAA==&#10;">
                  <v:path arrowok="t"/>
                  <v:fill focussize="0,0"/>
                  <v:stroke/>
                  <v:imagedata o:title=""/>
                  <o:lock v:ext="edit"/>
                </v:line>
              </w:pict>
            </w:r>
            <w:r>
              <w:rPr>
                <w:rFonts w:hint="eastAsia" w:ascii="宋体" w:hAnsi="宋体"/>
                <w:b/>
                <w:bCs/>
                <w:sz w:val="24"/>
              </w:rPr>
              <w:t>工艺流程简述（图示）：</w:t>
            </w:r>
          </w:p>
          <w:p>
            <w:pPr>
              <w:adjustRightInd w:val="0"/>
              <w:snapToGrid w:val="0"/>
              <w:spacing w:line="360" w:lineRule="auto"/>
              <w:ind w:firstLine="482" w:firstLineChars="200"/>
              <w:rPr>
                <w:rFonts w:ascii="宋体" w:hAnsi="宋体"/>
                <w:b/>
                <w:sz w:val="24"/>
              </w:rPr>
            </w:pPr>
            <w:r>
              <w:rPr>
                <w:rFonts w:hint="eastAsia" w:ascii="宋体" w:hAnsi="宋体"/>
                <w:b/>
                <w:sz w:val="24"/>
              </w:rPr>
              <w:t>工艺流程说明：</w:t>
            </w:r>
          </w:p>
          <w:p>
            <w:pPr>
              <w:autoSpaceDE w:val="0"/>
              <w:spacing w:line="360" w:lineRule="auto"/>
              <w:ind w:firstLine="482" w:firstLineChars="200"/>
              <w:rPr>
                <w:sz w:val="24"/>
              </w:rPr>
            </w:pPr>
            <w:r>
              <w:rPr>
                <w:rFonts w:hint="eastAsia"/>
                <w:b/>
                <w:sz w:val="24"/>
              </w:rPr>
              <w:t>车加工：</w:t>
            </w:r>
            <w:r>
              <w:rPr>
                <w:rFonts w:hint="eastAsia"/>
                <w:sz w:val="24"/>
              </w:rPr>
              <w:t>外购的铜棒、锡铅铜需先采用车床、钻床对内外圆柱面、圆锥面、圆弧面、端面、螺纹等进行车加工处理。车</w:t>
            </w:r>
            <w:r>
              <w:rPr>
                <w:sz w:val="24"/>
              </w:rPr>
              <w:t>加工过程中</w:t>
            </w:r>
            <w:r>
              <w:rPr>
                <w:rFonts w:hint="eastAsia"/>
                <w:sz w:val="24"/>
              </w:rPr>
              <w:t>需</w:t>
            </w:r>
            <w:r>
              <w:rPr>
                <w:sz w:val="24"/>
              </w:rPr>
              <w:t>使用切削</w:t>
            </w:r>
            <w:r>
              <w:rPr>
                <w:rFonts w:hint="eastAsia"/>
                <w:sz w:val="24"/>
              </w:rPr>
              <w:t>油，以</w:t>
            </w:r>
            <w:r>
              <w:rPr>
                <w:sz w:val="24"/>
              </w:rPr>
              <w:t>起到降温、润滑及清洁的作用，切削</w:t>
            </w:r>
            <w:r>
              <w:rPr>
                <w:rFonts w:hint="eastAsia"/>
                <w:sz w:val="24"/>
              </w:rPr>
              <w:t>油</w:t>
            </w:r>
            <w:r>
              <w:rPr>
                <w:sz w:val="24"/>
              </w:rPr>
              <w:t>循环使用，使用过程中，部分蒸发损耗，需定期添加，且每年更换一次。此工序产生</w:t>
            </w:r>
            <w:r>
              <w:rPr>
                <w:rFonts w:hint="eastAsia"/>
                <w:sz w:val="24"/>
              </w:rPr>
              <w:t>废边角料</w:t>
            </w:r>
            <w:r>
              <w:rPr>
                <w:sz w:val="24"/>
              </w:rPr>
              <w:t>（S</w:t>
            </w:r>
            <w:r>
              <w:rPr>
                <w:rFonts w:hint="eastAsia"/>
                <w:sz w:val="24"/>
              </w:rPr>
              <w:t>1</w:t>
            </w:r>
            <w:r>
              <w:rPr>
                <w:sz w:val="24"/>
              </w:rPr>
              <w:t>）和废切削油（S</w:t>
            </w:r>
            <w:r>
              <w:rPr>
                <w:rFonts w:hint="eastAsia"/>
                <w:sz w:val="24"/>
              </w:rPr>
              <w:t>2</w:t>
            </w:r>
            <w:r>
              <w:rPr>
                <w:sz w:val="24"/>
              </w:rPr>
              <w:t>）。</w:t>
            </w:r>
          </w:p>
          <w:p>
            <w:pPr>
              <w:autoSpaceDE w:val="0"/>
              <w:spacing w:line="360" w:lineRule="auto"/>
              <w:ind w:firstLine="482" w:firstLineChars="200"/>
              <w:rPr>
                <w:sz w:val="24"/>
              </w:rPr>
            </w:pPr>
            <w:r>
              <w:rPr>
                <w:rFonts w:hint="eastAsia"/>
                <w:b/>
                <w:sz w:val="24"/>
              </w:rPr>
              <w:t>研磨清洗：</w:t>
            </w:r>
            <w:r>
              <w:rPr>
                <w:rFonts w:hint="eastAsia"/>
                <w:sz w:val="24"/>
              </w:rPr>
              <w:t>车加工后的半成品需放入离心机和</w:t>
            </w:r>
            <w:r>
              <w:rPr>
                <w:rFonts w:hint="eastAsia"/>
                <w:sz w:val="24"/>
                <w:lang w:eastAsia="zh-CN"/>
              </w:rPr>
              <w:t>磁力</w:t>
            </w:r>
            <w:r>
              <w:rPr>
                <w:rFonts w:hint="eastAsia"/>
                <w:sz w:val="24"/>
              </w:rPr>
              <w:t>抛光机内进行研磨清洗，该过程需添加水、清洗剂和光亮剂，以起到去除表面油迹，增加产品亮度的作用。研磨清洗水循环使用，定期更换，该工序会产生清洗废液（S3）。</w:t>
            </w:r>
          </w:p>
          <w:p>
            <w:pPr>
              <w:autoSpaceDE w:val="0"/>
              <w:spacing w:line="360" w:lineRule="auto"/>
              <w:ind w:firstLine="482" w:firstLineChars="200"/>
              <w:rPr>
                <w:sz w:val="24"/>
              </w:rPr>
            </w:pPr>
            <w:r>
              <w:rPr>
                <w:rFonts w:hint="eastAsia"/>
                <w:b/>
                <w:sz w:val="24"/>
              </w:rPr>
              <w:t>水洗：</w:t>
            </w:r>
            <w:r>
              <w:rPr>
                <w:rFonts w:hint="eastAsia"/>
                <w:sz w:val="24"/>
              </w:rPr>
              <w:t>研磨清洗后的部件需再放入装有自来水的清洗槽（1.4m*2.4m*0.2m）内进行水洗，以去除表面残留的清洗液。水洗方式为人工水洗，水洗水循环使用，定期更换，此工序会产生清洗废液（S4）。</w:t>
            </w:r>
          </w:p>
          <w:p>
            <w:pPr>
              <w:autoSpaceDE w:val="0"/>
              <w:spacing w:line="360" w:lineRule="auto"/>
              <w:ind w:firstLine="482" w:firstLineChars="200"/>
              <w:rPr>
                <w:sz w:val="24"/>
              </w:rPr>
            </w:pPr>
            <w:r>
              <w:rPr>
                <w:rFonts w:hint="eastAsia"/>
                <w:b/>
                <w:sz w:val="24"/>
              </w:rPr>
              <w:t>烘干：</w:t>
            </w:r>
            <w:r>
              <w:rPr>
                <w:rFonts w:hint="eastAsia"/>
                <w:sz w:val="24"/>
              </w:rPr>
              <w:t>水洗后的部件需放入电烤箱内进行烘干处理，以去除表面的水迹，电烤箱采用电作为能源，加热温度约为100℃。</w:t>
            </w:r>
          </w:p>
          <w:p>
            <w:pPr>
              <w:spacing w:line="360" w:lineRule="auto"/>
              <w:ind w:firstLine="482" w:firstLineChars="200"/>
              <w:rPr>
                <w:sz w:val="24"/>
              </w:rPr>
            </w:pPr>
            <w:r>
              <w:rPr>
                <w:rFonts w:hint="eastAsia"/>
                <w:b/>
                <w:sz w:val="24"/>
              </w:rPr>
              <w:t>检验包装：</w:t>
            </w:r>
            <w:r>
              <w:rPr>
                <w:rFonts w:hint="eastAsia"/>
                <w:sz w:val="24"/>
              </w:rPr>
              <w:t>烘干后的部件通过人工检验放入仓库存储，该过程会产生不合格品（S5）。</w:t>
            </w:r>
          </w:p>
          <w:p>
            <w:pPr>
              <w:spacing w:line="360" w:lineRule="auto"/>
              <w:ind w:firstLine="480" w:firstLineChars="200"/>
              <w:rPr>
                <w:sz w:val="24"/>
              </w:rPr>
            </w:pPr>
            <w:r>
              <w:rPr>
                <w:rFonts w:hint="eastAsia"/>
                <w:sz w:val="24"/>
              </w:rPr>
              <w:t>企业车加工前后需采用焊接机对部分原料进行焊接处理，以达到修补的目的，焊接采用氩弧焊工艺，使用焊丝，该过程会产生焊接烟尘（G1）。</w:t>
            </w: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p>
            <w:pPr>
              <w:pStyle w:val="2"/>
              <w:adjustRightInd w:val="0"/>
              <w:snapToGrid w:val="0"/>
              <w:spacing w:before="0" w:beforeAutospacing="0" w:after="0" w:afterAutospacing="0" w:line="240" w:lineRule="auto"/>
              <w:ind w:left="0" w:leftChars="0" w:right="0" w:firstLine="0" w:firstLineChars="0"/>
              <w:jc w:val="center"/>
              <w:rPr>
                <w:rFonts w:ascii="Times New Roman" w:hAnsi="Times New Roman" w:eastAsia="宋体" w:cs="Times New Roman"/>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392" w:type="dxa"/>
            <w:vAlign w:val="center"/>
          </w:tcPr>
          <w:p>
            <w:pPr>
              <w:pStyle w:val="19"/>
              <w:adjustRightInd w:val="0"/>
              <w:snapToGrid w:val="0"/>
              <w:spacing w:before="0" w:beforeAutospacing="0" w:after="0" w:afterAutospacing="0"/>
              <w:jc w:val="center"/>
              <w:rPr>
                <w:rFonts w:cs="宋体"/>
                <w:sz w:val="21"/>
                <w:szCs w:val="21"/>
              </w:rPr>
            </w:pPr>
            <w:r>
              <w:rPr>
                <w:rFonts w:hint="eastAsia" w:cs="宋体"/>
                <w:bCs/>
                <w:kern w:val="2"/>
                <w:sz w:val="21"/>
                <w:szCs w:val="21"/>
              </w:rPr>
              <w:t>与项目有关的原有环境污染问题</w:t>
            </w:r>
          </w:p>
        </w:tc>
        <w:tc>
          <w:tcPr>
            <w:tcW w:w="8668" w:type="dxa"/>
          </w:tcPr>
          <w:p>
            <w:pPr>
              <w:pStyle w:val="13"/>
              <w:adjustRightInd w:val="0"/>
              <w:snapToGrid w:val="0"/>
              <w:spacing w:line="360" w:lineRule="auto"/>
            </w:pPr>
            <w:r>
              <w:rPr>
                <w:rFonts w:ascii="Times New Roman" w:hAnsi="Times New Roman"/>
                <w:szCs w:val="24"/>
              </w:rPr>
              <w:t>本项目为新建项目，</w:t>
            </w:r>
            <w:r>
              <w:rPr>
                <w:rFonts w:ascii="Times New Roman" w:hAnsi="宋体"/>
              </w:rPr>
              <w:t>租赁常州市武进新谊色织有限公司</w:t>
            </w:r>
            <w:r>
              <w:rPr>
                <w:rFonts w:ascii="Times New Roman" w:hAnsi="Times New Roman"/>
              </w:rPr>
              <w:t>10</w:t>
            </w:r>
            <w:r>
              <w:rPr>
                <w:rFonts w:hint="eastAsia" w:ascii="Times New Roman" w:hAnsi="Times New Roman"/>
              </w:rPr>
              <w:t>56</w:t>
            </w:r>
            <w:r>
              <w:rPr>
                <w:rFonts w:ascii="Times New Roman" w:hAnsi="Times New Roman"/>
              </w:rPr>
              <w:t>平方米生产车间</w:t>
            </w:r>
            <w:r>
              <w:rPr>
                <w:rFonts w:ascii="Times New Roman" w:hAnsi="Times New Roman"/>
                <w:szCs w:val="24"/>
              </w:rPr>
              <w:t>。</w:t>
            </w:r>
            <w:r>
              <w:rPr>
                <w:rFonts w:ascii="Times New Roman" w:hAnsi="宋体"/>
              </w:rPr>
              <w:t>常州市武进新谊色织有限公司</w:t>
            </w:r>
            <w:r>
              <w:rPr>
                <w:rFonts w:hint="eastAsia" w:ascii="Times New Roman" w:hAnsi="宋体"/>
              </w:rPr>
              <w:t>成立于1999年10月13日，主要经营：</w:t>
            </w:r>
            <w:r>
              <w:rPr>
                <w:rFonts w:ascii="Times New Roman" w:hAnsi="宋体"/>
              </w:rPr>
              <w:t>织布，绒纱制造、加工。</w:t>
            </w:r>
            <w:r>
              <w:t>根据房东提供信息，</w:t>
            </w:r>
            <w:r>
              <w:rPr>
                <w:szCs w:val="24"/>
              </w:rPr>
              <w:t>该厂房建成后未发生过环境污染事件</w:t>
            </w:r>
            <w:r>
              <w:rPr>
                <w:rFonts w:hint="eastAsia"/>
                <w:szCs w:val="24"/>
              </w:rPr>
              <w:t>。</w:t>
            </w:r>
            <w:r>
              <w:rPr>
                <w:szCs w:val="24"/>
              </w:rPr>
              <w:t>根据现场勘查，</w:t>
            </w:r>
            <w:r>
              <w:t>项目车间环境良好，无原有遗留环境问题。</w:t>
            </w:r>
          </w:p>
          <w:p>
            <w:pPr>
              <w:adjustRightInd w:val="0"/>
              <w:spacing w:line="360" w:lineRule="auto"/>
              <w:ind w:firstLine="480" w:firstLineChars="200"/>
              <w:rPr>
                <w:sz w:val="24"/>
              </w:rPr>
            </w:pPr>
            <w:r>
              <w:rPr>
                <w:sz w:val="24"/>
              </w:rPr>
              <w:t>本项目与其依托关系如下：</w:t>
            </w:r>
          </w:p>
          <w:p>
            <w:pPr>
              <w:adjustRightInd w:val="0"/>
              <w:spacing w:line="360" w:lineRule="auto"/>
              <w:ind w:firstLine="480" w:firstLineChars="200"/>
              <w:rPr>
                <w:sz w:val="24"/>
              </w:rPr>
            </w:pPr>
            <w:r>
              <w:rPr>
                <w:sz w:val="24"/>
              </w:rPr>
              <w:t>（1）依托厂区内的自来水管网、供电线路，不单独设置配电站。</w:t>
            </w:r>
          </w:p>
          <w:p>
            <w:pPr>
              <w:adjustRightInd w:val="0"/>
              <w:spacing w:line="360" w:lineRule="auto"/>
              <w:ind w:firstLine="480" w:firstLineChars="200"/>
              <w:rPr>
                <w:sz w:val="24"/>
              </w:rPr>
            </w:pPr>
            <w:r>
              <w:rPr>
                <w:sz w:val="24"/>
              </w:rPr>
              <w:t>（2）雨水排放依托厂区内已建成的雨水管网及排放口，</w:t>
            </w:r>
            <w:r>
              <w:rPr>
                <w:rFonts w:hint="eastAsia"/>
                <w:sz w:val="24"/>
              </w:rPr>
              <w:t>食堂废水和</w:t>
            </w:r>
            <w:r>
              <w:rPr>
                <w:sz w:val="24"/>
              </w:rPr>
              <w:t>生活污水排放依托厂区内已建成的污水管网及排放口；污水管网和污水排口一旦发生环境污染事件，</w:t>
            </w:r>
            <w:r>
              <w:rPr>
                <w:rFonts w:hint="eastAsia"/>
                <w:sz w:val="24"/>
              </w:rPr>
              <w:t>由</w:t>
            </w:r>
            <w:r>
              <w:rPr>
                <w:sz w:val="24"/>
              </w:rPr>
              <w:t>常州</w:t>
            </w:r>
            <w:r>
              <w:rPr>
                <w:rFonts w:hint="eastAsia"/>
                <w:sz w:val="24"/>
              </w:rPr>
              <w:t>市润伦机械</w:t>
            </w:r>
            <w:r>
              <w:rPr>
                <w:sz w:val="24"/>
              </w:rPr>
              <w:t>有限公司承担主体责任。</w:t>
            </w:r>
          </w:p>
          <w:p>
            <w:pPr>
              <w:adjustRightInd w:val="0"/>
              <w:spacing w:line="360" w:lineRule="auto"/>
              <w:ind w:firstLine="480" w:firstLineChars="200"/>
              <w:rPr>
                <w:sz w:val="24"/>
              </w:rPr>
            </w:pPr>
            <w:r>
              <w:rPr>
                <w:sz w:val="24"/>
              </w:rPr>
              <w:t>（3）消防设施依托厂区内消防栓。</w:t>
            </w:r>
          </w:p>
          <w:p>
            <w:pPr>
              <w:pStyle w:val="13"/>
              <w:adjustRightInd w:val="0"/>
              <w:snapToGrid w:val="0"/>
              <w:spacing w:line="360" w:lineRule="auto"/>
              <w:rPr>
                <w:rFonts w:ascii="Times New Roman" w:hAnsi="宋体"/>
              </w:rPr>
            </w:pPr>
            <w:r>
              <w:t>经现场勘察，现场未进行项目建设，近两年内未引起环境污染事故及污染纠纷，厂区内已实现</w:t>
            </w:r>
            <w:r>
              <w:rPr>
                <w:rFonts w:hint="eastAsia"/>
              </w:rPr>
              <w:t>“</w:t>
            </w:r>
            <w:r>
              <w:t>清污分流、雨污分流</w:t>
            </w:r>
            <w:r>
              <w:rPr>
                <w:rFonts w:hint="eastAsia"/>
              </w:rPr>
              <w:t>”</w:t>
            </w:r>
            <w:r>
              <w:t>，</w:t>
            </w:r>
            <w:r>
              <w:rPr>
                <w:rFonts w:hint="eastAsia"/>
                <w:szCs w:val="21"/>
              </w:rPr>
              <w:t>食堂废水经隔油池处理后与</w:t>
            </w:r>
            <w:r>
              <w:rPr>
                <w:szCs w:val="21"/>
              </w:rPr>
              <w:t>生活污水</w:t>
            </w:r>
            <w:r>
              <w:t>接管至武南污水处理厂集中处理，目前项目所在地未发现明显环境问题。</w:t>
            </w:r>
          </w:p>
        </w:tc>
      </w:tr>
    </w:tbl>
    <w:p>
      <w:pPr>
        <w:pStyle w:val="19"/>
        <w:jc w:val="center"/>
        <w:rPr>
          <w:rFonts w:ascii="黑体" w:hAnsi="黑体" w:eastAsia="黑体"/>
          <w:snapToGrid w:val="0"/>
          <w:sz w:val="36"/>
          <w:szCs w:val="36"/>
        </w:rPr>
        <w:sectPr>
          <w:footerReference r:id="rId9" w:type="default"/>
          <w:pgSz w:w="11906" w:h="16838"/>
          <w:pgMar w:top="1701" w:right="1531" w:bottom="1701" w:left="1531" w:header="851" w:footer="851" w:gutter="0"/>
          <w:cols w:space="720" w:num="1"/>
          <w:docGrid w:linePitch="312" w:charSpace="0"/>
        </w:sectPr>
      </w:pPr>
    </w:p>
    <w:p>
      <w:pPr>
        <w:pStyle w:val="19"/>
        <w:adjustRightInd w:val="0"/>
        <w:snapToGrid w:val="0"/>
        <w:spacing w:before="0" w:beforeAutospacing="0" w:after="0" w:afterAutospacing="0" w:line="14" w:lineRule="auto"/>
        <w:jc w:val="center"/>
        <w:outlineLvl w:val="0"/>
        <w:rPr>
          <w:rFonts w:ascii="黑体" w:hAnsi="黑体" w:eastAsia="黑体"/>
          <w:snapToGrid w:val="0"/>
          <w:sz w:val="30"/>
          <w:szCs w:val="30"/>
        </w:rPr>
      </w:pPr>
    </w:p>
    <w:p>
      <w:pPr>
        <w:pStyle w:val="19"/>
        <w:spacing w:before="0" w:beforeAutospacing="0" w:after="0" w:afterAutospacing="0"/>
        <w:jc w:val="center"/>
        <w:outlineLvl w:val="0"/>
        <w:rPr>
          <w:rFonts w:ascii="黑体" w:hAnsi="黑体" w:eastAsia="黑体"/>
          <w:snapToGrid w:val="0"/>
          <w:sz w:val="30"/>
          <w:szCs w:val="30"/>
        </w:rPr>
      </w:pPr>
      <w:bookmarkStart w:id="8" w:name="_Toc104298941"/>
      <w:bookmarkStart w:id="9" w:name="_Toc104299248"/>
      <w:r>
        <w:rPr>
          <w:rFonts w:hint="eastAsia" w:ascii="黑体" w:hAnsi="黑体" w:eastAsia="黑体"/>
          <w:snapToGrid w:val="0"/>
          <w:sz w:val="30"/>
          <w:szCs w:val="30"/>
        </w:rPr>
        <w:t>三、区域环境质量现状、环境保护目标及评价标准</w:t>
      </w:r>
      <w:bookmarkEnd w:id="8"/>
      <w:bookmarkEnd w:id="9"/>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0"/>
        <w:gridCol w:w="81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800" w:type="dxa"/>
            <w:vAlign w:val="center"/>
          </w:tcPr>
          <w:p>
            <w:pPr>
              <w:adjustRightInd w:val="0"/>
              <w:snapToGrid w:val="0"/>
              <w:jc w:val="center"/>
              <w:rPr>
                <w:rFonts w:ascii="宋体" w:hAnsi="宋体" w:cs="宋体"/>
                <w:kern w:val="0"/>
                <w:szCs w:val="21"/>
              </w:rPr>
            </w:pPr>
            <w:r>
              <w:rPr>
                <w:rFonts w:hint="eastAsia" w:ascii="宋体" w:hAnsi="宋体" w:cs="宋体"/>
                <w:kern w:val="0"/>
                <w:szCs w:val="21"/>
              </w:rPr>
              <w:t>区域</w:t>
            </w:r>
          </w:p>
          <w:p>
            <w:pPr>
              <w:adjustRightInd w:val="0"/>
              <w:snapToGrid w:val="0"/>
              <w:jc w:val="center"/>
              <w:rPr>
                <w:rFonts w:ascii="宋体" w:hAnsi="宋体" w:cs="宋体"/>
                <w:kern w:val="0"/>
                <w:szCs w:val="21"/>
              </w:rPr>
            </w:pPr>
            <w:r>
              <w:rPr>
                <w:rFonts w:hint="eastAsia" w:ascii="宋体" w:hAnsi="宋体" w:cs="宋体"/>
                <w:kern w:val="0"/>
                <w:szCs w:val="21"/>
              </w:rPr>
              <w:t>环境</w:t>
            </w:r>
          </w:p>
          <w:p>
            <w:pPr>
              <w:adjustRightInd w:val="0"/>
              <w:snapToGrid w:val="0"/>
              <w:jc w:val="center"/>
              <w:rPr>
                <w:rFonts w:ascii="宋体" w:hAnsi="宋体" w:cs="宋体"/>
                <w:kern w:val="0"/>
                <w:szCs w:val="21"/>
              </w:rPr>
            </w:pPr>
            <w:r>
              <w:rPr>
                <w:rFonts w:hint="eastAsia" w:ascii="宋体" w:hAnsi="宋体" w:cs="宋体"/>
                <w:kern w:val="0"/>
                <w:szCs w:val="21"/>
              </w:rPr>
              <w:t>质量</w:t>
            </w:r>
          </w:p>
          <w:p>
            <w:pPr>
              <w:adjustRightInd w:val="0"/>
              <w:snapToGrid w:val="0"/>
              <w:jc w:val="center"/>
              <w:rPr>
                <w:rFonts w:ascii="宋体" w:hAnsi="宋体" w:cs="宋体"/>
                <w:kern w:val="0"/>
                <w:szCs w:val="21"/>
              </w:rPr>
            </w:pPr>
            <w:r>
              <w:rPr>
                <w:rFonts w:hint="eastAsia" w:ascii="宋体" w:hAnsi="宋体" w:cs="宋体"/>
                <w:kern w:val="0"/>
                <w:szCs w:val="21"/>
              </w:rPr>
              <w:t>现状</w:t>
            </w:r>
          </w:p>
        </w:tc>
        <w:tc>
          <w:tcPr>
            <w:tcW w:w="8190" w:type="dxa"/>
            <w:vAlign w:val="center"/>
          </w:tcPr>
          <w:p>
            <w:pPr>
              <w:spacing w:line="360" w:lineRule="auto"/>
              <w:rPr>
                <w:b/>
                <w:bCs/>
                <w:sz w:val="24"/>
              </w:rPr>
            </w:pPr>
            <w:r>
              <w:rPr>
                <w:b/>
                <w:bCs/>
                <w:sz w:val="24"/>
              </w:rPr>
              <w:t>1</w:t>
            </w:r>
            <w:r>
              <w:rPr>
                <w:rFonts w:hint="eastAsia"/>
                <w:b/>
                <w:bCs/>
                <w:sz w:val="24"/>
              </w:rPr>
              <w:t>、</w:t>
            </w:r>
            <w:r>
              <w:rPr>
                <w:b/>
                <w:bCs/>
                <w:sz w:val="24"/>
              </w:rPr>
              <w:t>环境空气质量现状</w:t>
            </w:r>
          </w:p>
          <w:p>
            <w:pPr>
              <w:spacing w:line="360" w:lineRule="auto"/>
              <w:ind w:firstLine="480" w:firstLineChars="200"/>
              <w:rPr>
                <w:sz w:val="24"/>
              </w:rPr>
            </w:pPr>
            <w:r>
              <w:rPr>
                <w:sz w:val="24"/>
              </w:rPr>
              <w:t>（1）区域达标判定</w:t>
            </w:r>
          </w:p>
          <w:p>
            <w:pPr>
              <w:spacing w:line="360" w:lineRule="auto"/>
              <w:ind w:firstLine="480" w:firstLineChars="200"/>
              <w:rPr>
                <w:sz w:val="24"/>
                <w:szCs w:val="22"/>
              </w:rPr>
            </w:pPr>
            <w:r>
              <w:rPr>
                <w:sz w:val="24"/>
                <w:szCs w:val="22"/>
              </w:rPr>
              <w:t>根据《环境影响评价技术导则大气环境》（HJ2.2-2018），项目所在区域达标情况判定优先采用国家或地方生态环境主管部门公开发布的环境质量报告或环境质量报告书中的数据或结论。</w:t>
            </w:r>
          </w:p>
          <w:p>
            <w:pPr>
              <w:spacing w:line="360" w:lineRule="auto"/>
              <w:ind w:firstLine="480" w:firstLineChars="200"/>
              <w:rPr>
                <w:sz w:val="24"/>
                <w:szCs w:val="22"/>
              </w:rPr>
            </w:pPr>
            <w:r>
              <w:rPr>
                <w:sz w:val="24"/>
                <w:szCs w:val="22"/>
              </w:rPr>
              <w:t>本次评价选取20</w:t>
            </w:r>
            <w:r>
              <w:rPr>
                <w:rFonts w:hint="eastAsia"/>
                <w:sz w:val="24"/>
                <w:szCs w:val="22"/>
              </w:rPr>
              <w:t>20</w:t>
            </w:r>
            <w:r>
              <w:rPr>
                <w:sz w:val="24"/>
                <w:szCs w:val="22"/>
              </w:rPr>
              <w:t>年作为评价基准年，根据《</w:t>
            </w:r>
            <w:r>
              <w:rPr>
                <w:rFonts w:hint="eastAsia"/>
                <w:sz w:val="24"/>
                <w:szCs w:val="22"/>
              </w:rPr>
              <w:t>2020年常州市生态环境状况公报</w:t>
            </w:r>
            <w:r>
              <w:rPr>
                <w:sz w:val="24"/>
                <w:szCs w:val="22"/>
              </w:rPr>
              <w:t>》项目所在区域常州市各评价因子数据见表</w:t>
            </w:r>
            <w:r>
              <w:rPr>
                <w:rFonts w:hint="eastAsia"/>
                <w:sz w:val="24"/>
                <w:szCs w:val="22"/>
              </w:rPr>
              <w:t>3-1</w:t>
            </w:r>
            <w:r>
              <w:rPr>
                <w:sz w:val="24"/>
                <w:szCs w:val="22"/>
              </w:rPr>
              <w:t>。</w:t>
            </w:r>
          </w:p>
          <w:p>
            <w:pPr>
              <w:jc w:val="center"/>
              <w:rPr>
                <w:b/>
                <w:sz w:val="24"/>
              </w:rPr>
            </w:pPr>
            <w:r>
              <w:rPr>
                <w:b/>
                <w:sz w:val="24"/>
              </w:rPr>
              <w:t>表</w:t>
            </w:r>
            <w:r>
              <w:rPr>
                <w:rFonts w:hint="eastAsia"/>
                <w:b/>
                <w:sz w:val="24"/>
              </w:rPr>
              <w:t>3-1</w:t>
            </w:r>
            <w:r>
              <w:rPr>
                <w:b/>
                <w:sz w:val="24"/>
              </w:rPr>
              <w:t xml:space="preserve"> 环境空气质量现状</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79" w:type="dxa"/>
                <w:bottom w:w="0" w:type="dxa"/>
                <w:right w:w="79" w:type="dxa"/>
              </w:tblCellMar>
            </w:tblPr>
            <w:tblGrid>
              <w:gridCol w:w="596"/>
              <w:gridCol w:w="754"/>
              <w:gridCol w:w="2261"/>
              <w:gridCol w:w="1352"/>
              <w:gridCol w:w="1143"/>
              <w:gridCol w:w="972"/>
              <w:gridCol w:w="89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4" w:type="pct"/>
                  <w:vAlign w:val="center"/>
                </w:tcPr>
                <w:p>
                  <w:pPr>
                    <w:snapToGrid w:val="0"/>
                    <w:jc w:val="center"/>
                    <w:rPr>
                      <w:b/>
                      <w:szCs w:val="21"/>
                    </w:rPr>
                  </w:pPr>
                  <w:r>
                    <w:rPr>
                      <w:b/>
                      <w:szCs w:val="21"/>
                    </w:rPr>
                    <w:t>区域</w:t>
                  </w:r>
                </w:p>
              </w:tc>
              <w:tc>
                <w:tcPr>
                  <w:tcW w:w="473" w:type="pct"/>
                  <w:vAlign w:val="center"/>
                </w:tcPr>
                <w:p>
                  <w:pPr>
                    <w:snapToGrid w:val="0"/>
                    <w:jc w:val="center"/>
                    <w:rPr>
                      <w:b/>
                      <w:szCs w:val="21"/>
                    </w:rPr>
                  </w:pPr>
                  <w:r>
                    <w:rPr>
                      <w:b/>
                      <w:szCs w:val="21"/>
                    </w:rPr>
                    <w:t>评价因子</w:t>
                  </w:r>
                </w:p>
              </w:tc>
              <w:tc>
                <w:tcPr>
                  <w:tcW w:w="1418" w:type="pct"/>
                  <w:vAlign w:val="center"/>
                </w:tcPr>
                <w:p>
                  <w:pPr>
                    <w:snapToGrid w:val="0"/>
                    <w:jc w:val="center"/>
                    <w:rPr>
                      <w:b/>
                      <w:szCs w:val="21"/>
                      <w:vertAlign w:val="subscript"/>
                    </w:rPr>
                  </w:pPr>
                  <w:r>
                    <w:rPr>
                      <w:b/>
                      <w:szCs w:val="21"/>
                    </w:rPr>
                    <w:t>平均时段</w:t>
                  </w:r>
                </w:p>
              </w:tc>
              <w:tc>
                <w:tcPr>
                  <w:tcW w:w="848" w:type="pct"/>
                  <w:vAlign w:val="center"/>
                </w:tcPr>
                <w:p>
                  <w:pPr>
                    <w:snapToGrid w:val="0"/>
                    <w:jc w:val="center"/>
                    <w:rPr>
                      <w:b/>
                      <w:szCs w:val="21"/>
                    </w:rPr>
                  </w:pPr>
                  <w:r>
                    <w:rPr>
                      <w:b/>
                      <w:szCs w:val="21"/>
                    </w:rPr>
                    <w:t>现状浓度（ug/m</w:t>
                  </w:r>
                  <w:r>
                    <w:rPr>
                      <w:b/>
                      <w:szCs w:val="21"/>
                      <w:vertAlign w:val="superscript"/>
                    </w:rPr>
                    <w:t>3</w:t>
                  </w:r>
                  <w:r>
                    <w:rPr>
                      <w:b/>
                      <w:szCs w:val="21"/>
                    </w:rPr>
                    <w:t>）</w:t>
                  </w:r>
                </w:p>
              </w:tc>
              <w:tc>
                <w:tcPr>
                  <w:tcW w:w="717" w:type="pct"/>
                  <w:vAlign w:val="center"/>
                </w:tcPr>
                <w:p>
                  <w:pPr>
                    <w:snapToGrid w:val="0"/>
                    <w:jc w:val="center"/>
                    <w:rPr>
                      <w:b/>
                      <w:szCs w:val="21"/>
                    </w:rPr>
                  </w:pPr>
                  <w:r>
                    <w:rPr>
                      <w:b/>
                      <w:szCs w:val="21"/>
                    </w:rPr>
                    <w:t>标准值（ug/m</w:t>
                  </w:r>
                  <w:r>
                    <w:rPr>
                      <w:b/>
                      <w:szCs w:val="21"/>
                      <w:vertAlign w:val="superscript"/>
                    </w:rPr>
                    <w:t>3</w:t>
                  </w:r>
                  <w:r>
                    <w:rPr>
                      <w:b/>
                      <w:szCs w:val="21"/>
                    </w:rPr>
                    <w:t>）</w:t>
                  </w:r>
                </w:p>
              </w:tc>
              <w:tc>
                <w:tcPr>
                  <w:tcW w:w="609" w:type="pct"/>
                  <w:vAlign w:val="center"/>
                </w:tcPr>
                <w:p>
                  <w:pPr>
                    <w:snapToGrid w:val="0"/>
                    <w:jc w:val="center"/>
                    <w:rPr>
                      <w:b/>
                      <w:szCs w:val="21"/>
                    </w:rPr>
                  </w:pPr>
                  <w:r>
                    <w:rPr>
                      <w:b/>
                      <w:szCs w:val="21"/>
                    </w:rPr>
                    <w:t>超标</w:t>
                  </w:r>
                </w:p>
                <w:p>
                  <w:pPr>
                    <w:snapToGrid w:val="0"/>
                    <w:jc w:val="center"/>
                    <w:rPr>
                      <w:b/>
                      <w:szCs w:val="21"/>
                    </w:rPr>
                  </w:pPr>
                  <w:r>
                    <w:rPr>
                      <w:b/>
                      <w:szCs w:val="21"/>
                    </w:rPr>
                    <w:t>倍数</w:t>
                  </w:r>
                </w:p>
              </w:tc>
              <w:tc>
                <w:tcPr>
                  <w:tcW w:w="561" w:type="pct"/>
                  <w:vAlign w:val="center"/>
                </w:tcPr>
                <w:p>
                  <w:pPr>
                    <w:snapToGrid w:val="0"/>
                    <w:jc w:val="center"/>
                    <w:rPr>
                      <w:b/>
                      <w:szCs w:val="21"/>
                    </w:rPr>
                  </w:pPr>
                  <w:r>
                    <w:rPr>
                      <w:b/>
                      <w:szCs w:val="21"/>
                    </w:rPr>
                    <w:t>达标</w:t>
                  </w:r>
                </w:p>
                <w:p>
                  <w:pPr>
                    <w:snapToGrid w:val="0"/>
                    <w:jc w:val="center"/>
                    <w:rPr>
                      <w:b/>
                      <w:szCs w:val="21"/>
                    </w:rPr>
                  </w:pPr>
                  <w:r>
                    <w:rPr>
                      <w:b/>
                      <w:szCs w:val="21"/>
                    </w:rPr>
                    <w:t>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4" w:type="pct"/>
                  <w:vMerge w:val="restart"/>
                  <w:vAlign w:val="center"/>
                </w:tcPr>
                <w:p>
                  <w:pPr>
                    <w:adjustRightInd w:val="0"/>
                    <w:snapToGrid w:val="0"/>
                    <w:ind w:right="92"/>
                    <w:jc w:val="center"/>
                  </w:pPr>
                  <w:r>
                    <w:t>常</w:t>
                  </w:r>
                  <w:r>
                    <w:rPr>
                      <w:bCs/>
                      <w:szCs w:val="21"/>
                    </w:rPr>
                    <w:t>州</w:t>
                  </w:r>
                  <w:r>
                    <w:t>全市</w:t>
                  </w:r>
                </w:p>
                <w:p>
                  <w:pPr>
                    <w:pStyle w:val="9"/>
                    <w:ind w:left="1470" w:right="1470"/>
                    <w:jc w:val="center"/>
                    <w:rPr>
                      <w:rFonts w:ascii="Times New Roman" w:hAnsi="Times New Roman"/>
                    </w:rPr>
                  </w:pPr>
                </w:p>
              </w:tc>
              <w:tc>
                <w:tcPr>
                  <w:tcW w:w="473" w:type="pct"/>
                  <w:vMerge w:val="restart"/>
                  <w:vAlign w:val="center"/>
                </w:tcPr>
                <w:p>
                  <w:pPr>
                    <w:adjustRightInd w:val="0"/>
                    <w:snapToGrid w:val="0"/>
                    <w:ind w:right="92"/>
                    <w:jc w:val="center"/>
                    <w:rPr>
                      <w:bCs/>
                      <w:szCs w:val="21"/>
                    </w:rPr>
                  </w:pPr>
                  <w:r>
                    <w:rPr>
                      <w:bCs/>
                      <w:szCs w:val="21"/>
                    </w:rPr>
                    <w:t>SO</w:t>
                  </w:r>
                  <w:r>
                    <w:rPr>
                      <w:bCs/>
                      <w:szCs w:val="21"/>
                      <w:vertAlign w:val="subscript"/>
                    </w:rPr>
                    <w:t>2</w:t>
                  </w:r>
                </w:p>
              </w:tc>
              <w:tc>
                <w:tcPr>
                  <w:tcW w:w="1418" w:type="pct"/>
                  <w:vAlign w:val="center"/>
                </w:tcPr>
                <w:p>
                  <w:pPr>
                    <w:snapToGrid w:val="0"/>
                    <w:jc w:val="center"/>
                    <w:rPr>
                      <w:bCs/>
                      <w:szCs w:val="21"/>
                    </w:rPr>
                  </w:pPr>
                  <w:r>
                    <w:rPr>
                      <w:bCs/>
                      <w:szCs w:val="21"/>
                    </w:rPr>
                    <w:t>年均值</w:t>
                  </w:r>
                </w:p>
              </w:tc>
              <w:tc>
                <w:tcPr>
                  <w:tcW w:w="848" w:type="pct"/>
                  <w:vAlign w:val="center"/>
                </w:tcPr>
                <w:p>
                  <w:pPr>
                    <w:snapToGrid w:val="0"/>
                    <w:jc w:val="center"/>
                    <w:rPr>
                      <w:bCs/>
                      <w:szCs w:val="21"/>
                    </w:rPr>
                  </w:pPr>
                  <w:r>
                    <w:rPr>
                      <w:bCs/>
                      <w:szCs w:val="21"/>
                    </w:rPr>
                    <w:t>9</w:t>
                  </w:r>
                </w:p>
              </w:tc>
              <w:tc>
                <w:tcPr>
                  <w:tcW w:w="717" w:type="pct"/>
                  <w:vAlign w:val="center"/>
                </w:tcPr>
                <w:p>
                  <w:pPr>
                    <w:snapToGrid w:val="0"/>
                    <w:jc w:val="center"/>
                    <w:rPr>
                      <w:bCs/>
                      <w:szCs w:val="21"/>
                    </w:rPr>
                  </w:pPr>
                  <w:r>
                    <w:rPr>
                      <w:bCs/>
                      <w:szCs w:val="21"/>
                    </w:rPr>
                    <w:t>60</w:t>
                  </w:r>
                </w:p>
              </w:tc>
              <w:tc>
                <w:tcPr>
                  <w:tcW w:w="609" w:type="pct"/>
                  <w:vAlign w:val="center"/>
                </w:tcPr>
                <w:p>
                  <w:pPr>
                    <w:snapToGrid w:val="0"/>
                    <w:jc w:val="center"/>
                    <w:rPr>
                      <w:bCs/>
                      <w:szCs w:val="21"/>
                    </w:rPr>
                  </w:pPr>
                  <w:r>
                    <w:rPr>
                      <w:bCs/>
                      <w:szCs w:val="21"/>
                    </w:rPr>
                    <w:t>/</w:t>
                  </w:r>
                </w:p>
              </w:tc>
              <w:tc>
                <w:tcPr>
                  <w:tcW w:w="561" w:type="pct"/>
                  <w:vAlign w:val="center"/>
                </w:tcPr>
                <w:p>
                  <w:pPr>
                    <w:snapToGrid w:val="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4" w:type="pct"/>
                  <w:vMerge w:val="continue"/>
                  <w:vAlign w:val="center"/>
                </w:tcPr>
                <w:p>
                  <w:pPr>
                    <w:pStyle w:val="9"/>
                    <w:ind w:left="1470" w:right="1470"/>
                    <w:jc w:val="center"/>
                    <w:rPr>
                      <w:rFonts w:ascii="Times New Roman" w:hAnsi="Times New Roman"/>
                    </w:rPr>
                  </w:pPr>
                </w:p>
              </w:tc>
              <w:tc>
                <w:tcPr>
                  <w:tcW w:w="473" w:type="pct"/>
                  <w:vMerge w:val="continue"/>
                  <w:vAlign w:val="center"/>
                </w:tcPr>
                <w:p>
                  <w:pPr>
                    <w:adjustRightInd w:val="0"/>
                    <w:snapToGrid w:val="0"/>
                    <w:ind w:right="92"/>
                    <w:jc w:val="center"/>
                    <w:rPr>
                      <w:bCs/>
                      <w:szCs w:val="21"/>
                    </w:rPr>
                  </w:pPr>
                </w:p>
              </w:tc>
              <w:tc>
                <w:tcPr>
                  <w:tcW w:w="1418" w:type="pct"/>
                  <w:vAlign w:val="center"/>
                </w:tcPr>
                <w:p>
                  <w:pPr>
                    <w:snapToGrid w:val="0"/>
                    <w:jc w:val="center"/>
                    <w:rPr>
                      <w:bCs/>
                      <w:szCs w:val="21"/>
                    </w:rPr>
                  </w:pPr>
                  <w:r>
                    <w:rPr>
                      <w:bCs/>
                      <w:szCs w:val="21"/>
                    </w:rPr>
                    <w:t>日均值浓度范围</w:t>
                  </w:r>
                </w:p>
              </w:tc>
              <w:tc>
                <w:tcPr>
                  <w:tcW w:w="848" w:type="pct"/>
                  <w:vAlign w:val="center"/>
                </w:tcPr>
                <w:p>
                  <w:pPr>
                    <w:snapToGrid w:val="0"/>
                    <w:jc w:val="center"/>
                    <w:rPr>
                      <w:bCs/>
                      <w:szCs w:val="21"/>
                    </w:rPr>
                  </w:pPr>
                  <w:r>
                    <w:rPr>
                      <w:bCs/>
                      <w:szCs w:val="21"/>
                    </w:rPr>
                    <w:t>6～18</w:t>
                  </w:r>
                </w:p>
              </w:tc>
              <w:tc>
                <w:tcPr>
                  <w:tcW w:w="717" w:type="pct"/>
                  <w:vAlign w:val="center"/>
                </w:tcPr>
                <w:p>
                  <w:pPr>
                    <w:snapToGrid w:val="0"/>
                    <w:jc w:val="center"/>
                    <w:rPr>
                      <w:bCs/>
                      <w:szCs w:val="21"/>
                    </w:rPr>
                  </w:pPr>
                  <w:r>
                    <w:rPr>
                      <w:bCs/>
                      <w:szCs w:val="21"/>
                    </w:rPr>
                    <w:t>150</w:t>
                  </w:r>
                </w:p>
              </w:tc>
              <w:tc>
                <w:tcPr>
                  <w:tcW w:w="609" w:type="pct"/>
                  <w:vAlign w:val="center"/>
                </w:tcPr>
                <w:p>
                  <w:pPr>
                    <w:snapToGrid w:val="0"/>
                    <w:jc w:val="center"/>
                    <w:rPr>
                      <w:bCs/>
                      <w:szCs w:val="21"/>
                    </w:rPr>
                  </w:pPr>
                  <w:r>
                    <w:rPr>
                      <w:bCs/>
                      <w:szCs w:val="21"/>
                    </w:rPr>
                    <w:t>/</w:t>
                  </w:r>
                </w:p>
              </w:tc>
              <w:tc>
                <w:tcPr>
                  <w:tcW w:w="561" w:type="pct"/>
                  <w:vAlign w:val="center"/>
                </w:tcPr>
                <w:p>
                  <w:pPr>
                    <w:snapToGrid w:val="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74" w:type="pct"/>
                  <w:vMerge w:val="continue"/>
                  <w:vAlign w:val="center"/>
                </w:tcPr>
                <w:p>
                  <w:pPr>
                    <w:adjustRightInd w:val="0"/>
                    <w:snapToGrid w:val="0"/>
                    <w:ind w:right="92"/>
                    <w:jc w:val="center"/>
                    <w:rPr>
                      <w:bCs/>
                      <w:szCs w:val="21"/>
                    </w:rPr>
                  </w:pPr>
                </w:p>
              </w:tc>
              <w:tc>
                <w:tcPr>
                  <w:tcW w:w="473" w:type="pct"/>
                  <w:vMerge w:val="restart"/>
                  <w:vAlign w:val="center"/>
                </w:tcPr>
                <w:p>
                  <w:pPr>
                    <w:adjustRightInd w:val="0"/>
                    <w:snapToGrid w:val="0"/>
                    <w:ind w:right="92"/>
                    <w:jc w:val="center"/>
                    <w:rPr>
                      <w:bCs/>
                      <w:szCs w:val="21"/>
                    </w:rPr>
                  </w:pPr>
                  <w:r>
                    <w:rPr>
                      <w:bCs/>
                      <w:szCs w:val="21"/>
                    </w:rPr>
                    <w:t>NO</w:t>
                  </w:r>
                  <w:r>
                    <w:rPr>
                      <w:bCs/>
                      <w:szCs w:val="21"/>
                      <w:vertAlign w:val="subscript"/>
                    </w:rPr>
                    <w:t>2</w:t>
                  </w:r>
                </w:p>
              </w:tc>
              <w:tc>
                <w:tcPr>
                  <w:tcW w:w="1418" w:type="pct"/>
                  <w:vAlign w:val="center"/>
                </w:tcPr>
                <w:p>
                  <w:pPr>
                    <w:snapToGrid w:val="0"/>
                    <w:jc w:val="center"/>
                    <w:rPr>
                      <w:bCs/>
                      <w:szCs w:val="21"/>
                    </w:rPr>
                  </w:pPr>
                  <w:r>
                    <w:rPr>
                      <w:bCs/>
                      <w:szCs w:val="21"/>
                    </w:rPr>
                    <w:t>年均值</w:t>
                  </w:r>
                </w:p>
              </w:tc>
              <w:tc>
                <w:tcPr>
                  <w:tcW w:w="848" w:type="pct"/>
                  <w:vAlign w:val="center"/>
                </w:tcPr>
                <w:p>
                  <w:pPr>
                    <w:snapToGrid w:val="0"/>
                    <w:jc w:val="center"/>
                    <w:rPr>
                      <w:bCs/>
                      <w:szCs w:val="21"/>
                    </w:rPr>
                  </w:pPr>
                  <w:r>
                    <w:rPr>
                      <w:bCs/>
                      <w:szCs w:val="21"/>
                    </w:rPr>
                    <w:t>35</w:t>
                  </w:r>
                </w:p>
              </w:tc>
              <w:tc>
                <w:tcPr>
                  <w:tcW w:w="717" w:type="pct"/>
                  <w:vAlign w:val="center"/>
                </w:tcPr>
                <w:p>
                  <w:pPr>
                    <w:snapToGrid w:val="0"/>
                    <w:jc w:val="center"/>
                    <w:rPr>
                      <w:bCs/>
                      <w:szCs w:val="21"/>
                    </w:rPr>
                  </w:pPr>
                  <w:r>
                    <w:rPr>
                      <w:bCs/>
                      <w:szCs w:val="21"/>
                    </w:rPr>
                    <w:t>40</w:t>
                  </w:r>
                </w:p>
              </w:tc>
              <w:tc>
                <w:tcPr>
                  <w:tcW w:w="609" w:type="pct"/>
                  <w:vAlign w:val="center"/>
                </w:tcPr>
                <w:p>
                  <w:pPr>
                    <w:snapToGrid w:val="0"/>
                    <w:jc w:val="center"/>
                    <w:rPr>
                      <w:bCs/>
                      <w:szCs w:val="21"/>
                    </w:rPr>
                  </w:pPr>
                  <w:r>
                    <w:rPr>
                      <w:bCs/>
                      <w:szCs w:val="21"/>
                    </w:rPr>
                    <w:t>/</w:t>
                  </w:r>
                </w:p>
              </w:tc>
              <w:tc>
                <w:tcPr>
                  <w:tcW w:w="561" w:type="pct"/>
                  <w:vAlign w:val="center"/>
                </w:tcPr>
                <w:p>
                  <w:pPr>
                    <w:snapToGrid w:val="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4" w:type="pct"/>
                  <w:vMerge w:val="continue"/>
                  <w:vAlign w:val="center"/>
                </w:tcPr>
                <w:p>
                  <w:pPr>
                    <w:adjustRightInd w:val="0"/>
                    <w:snapToGrid w:val="0"/>
                    <w:ind w:right="92"/>
                    <w:jc w:val="center"/>
                    <w:rPr>
                      <w:bCs/>
                      <w:szCs w:val="21"/>
                    </w:rPr>
                  </w:pPr>
                </w:p>
              </w:tc>
              <w:tc>
                <w:tcPr>
                  <w:tcW w:w="473" w:type="pct"/>
                  <w:vMerge w:val="continue"/>
                  <w:vAlign w:val="center"/>
                </w:tcPr>
                <w:p>
                  <w:pPr>
                    <w:adjustRightInd w:val="0"/>
                    <w:snapToGrid w:val="0"/>
                    <w:ind w:right="92"/>
                    <w:jc w:val="center"/>
                    <w:rPr>
                      <w:bCs/>
                      <w:szCs w:val="21"/>
                    </w:rPr>
                  </w:pPr>
                </w:p>
              </w:tc>
              <w:tc>
                <w:tcPr>
                  <w:tcW w:w="1418" w:type="pct"/>
                  <w:vAlign w:val="center"/>
                </w:tcPr>
                <w:p>
                  <w:pPr>
                    <w:snapToGrid w:val="0"/>
                    <w:jc w:val="center"/>
                    <w:rPr>
                      <w:b/>
                      <w:szCs w:val="21"/>
                    </w:rPr>
                  </w:pPr>
                  <w:r>
                    <w:rPr>
                      <w:b/>
                      <w:szCs w:val="21"/>
                    </w:rPr>
                    <w:t>日均值浓度范围</w:t>
                  </w:r>
                </w:p>
              </w:tc>
              <w:tc>
                <w:tcPr>
                  <w:tcW w:w="848" w:type="pct"/>
                  <w:vAlign w:val="center"/>
                </w:tcPr>
                <w:p>
                  <w:pPr>
                    <w:snapToGrid w:val="0"/>
                    <w:jc w:val="center"/>
                    <w:rPr>
                      <w:b/>
                      <w:szCs w:val="21"/>
                    </w:rPr>
                  </w:pPr>
                  <w:r>
                    <w:rPr>
                      <w:b/>
                      <w:szCs w:val="21"/>
                    </w:rPr>
                    <w:t>10～100</w:t>
                  </w:r>
                </w:p>
              </w:tc>
              <w:tc>
                <w:tcPr>
                  <w:tcW w:w="717" w:type="pct"/>
                  <w:vAlign w:val="center"/>
                </w:tcPr>
                <w:p>
                  <w:pPr>
                    <w:snapToGrid w:val="0"/>
                    <w:jc w:val="center"/>
                    <w:rPr>
                      <w:b/>
                      <w:szCs w:val="21"/>
                    </w:rPr>
                  </w:pPr>
                  <w:r>
                    <w:rPr>
                      <w:b/>
                      <w:szCs w:val="21"/>
                    </w:rPr>
                    <w:t>80</w:t>
                  </w:r>
                </w:p>
              </w:tc>
              <w:tc>
                <w:tcPr>
                  <w:tcW w:w="609" w:type="pct"/>
                  <w:vAlign w:val="center"/>
                </w:tcPr>
                <w:p>
                  <w:pPr>
                    <w:snapToGrid w:val="0"/>
                    <w:jc w:val="center"/>
                    <w:rPr>
                      <w:b/>
                      <w:szCs w:val="21"/>
                    </w:rPr>
                  </w:pPr>
                  <w:r>
                    <w:rPr>
                      <w:b/>
                      <w:szCs w:val="21"/>
                    </w:rPr>
                    <w:t>0.25</w:t>
                  </w:r>
                </w:p>
              </w:tc>
              <w:tc>
                <w:tcPr>
                  <w:tcW w:w="561" w:type="pct"/>
                  <w:vAlign w:val="center"/>
                </w:tcPr>
                <w:p>
                  <w:pPr>
                    <w:snapToGrid w:val="0"/>
                    <w:jc w:val="center"/>
                    <w:rPr>
                      <w:b/>
                      <w:szCs w:val="21"/>
                    </w:rPr>
                  </w:pPr>
                  <w:r>
                    <w:rPr>
                      <w:b/>
                      <w:szCs w:val="21"/>
                    </w:rPr>
                    <w:t>超标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74" w:type="pct"/>
                  <w:vMerge w:val="continue"/>
                  <w:vAlign w:val="center"/>
                </w:tcPr>
                <w:p>
                  <w:pPr>
                    <w:adjustRightInd w:val="0"/>
                    <w:snapToGrid w:val="0"/>
                    <w:ind w:right="92"/>
                    <w:jc w:val="center"/>
                    <w:rPr>
                      <w:bCs/>
                      <w:szCs w:val="21"/>
                    </w:rPr>
                  </w:pPr>
                </w:p>
              </w:tc>
              <w:tc>
                <w:tcPr>
                  <w:tcW w:w="473" w:type="pct"/>
                  <w:vMerge w:val="restart"/>
                  <w:vAlign w:val="center"/>
                </w:tcPr>
                <w:p>
                  <w:pPr>
                    <w:adjustRightInd w:val="0"/>
                    <w:snapToGrid w:val="0"/>
                    <w:ind w:right="92"/>
                    <w:jc w:val="center"/>
                    <w:rPr>
                      <w:bCs/>
                      <w:szCs w:val="21"/>
                    </w:rPr>
                  </w:pPr>
                  <w:r>
                    <w:rPr>
                      <w:bCs/>
                      <w:szCs w:val="21"/>
                    </w:rPr>
                    <w:t>PM</w:t>
                  </w:r>
                  <w:r>
                    <w:rPr>
                      <w:bCs/>
                      <w:szCs w:val="21"/>
                      <w:vertAlign w:val="subscript"/>
                    </w:rPr>
                    <w:t>10</w:t>
                  </w:r>
                </w:p>
              </w:tc>
              <w:tc>
                <w:tcPr>
                  <w:tcW w:w="1418" w:type="pct"/>
                  <w:vAlign w:val="center"/>
                </w:tcPr>
                <w:p>
                  <w:pPr>
                    <w:snapToGrid w:val="0"/>
                    <w:jc w:val="center"/>
                    <w:rPr>
                      <w:bCs/>
                      <w:szCs w:val="21"/>
                    </w:rPr>
                  </w:pPr>
                  <w:r>
                    <w:rPr>
                      <w:bCs/>
                      <w:szCs w:val="21"/>
                    </w:rPr>
                    <w:t>年均值</w:t>
                  </w:r>
                </w:p>
              </w:tc>
              <w:tc>
                <w:tcPr>
                  <w:tcW w:w="848" w:type="pct"/>
                  <w:vAlign w:val="center"/>
                </w:tcPr>
                <w:p>
                  <w:pPr>
                    <w:snapToGrid w:val="0"/>
                    <w:jc w:val="center"/>
                    <w:rPr>
                      <w:bCs/>
                      <w:szCs w:val="21"/>
                    </w:rPr>
                  </w:pPr>
                  <w:r>
                    <w:rPr>
                      <w:bCs/>
                      <w:szCs w:val="21"/>
                    </w:rPr>
                    <w:t>61</w:t>
                  </w:r>
                </w:p>
              </w:tc>
              <w:tc>
                <w:tcPr>
                  <w:tcW w:w="717" w:type="pct"/>
                  <w:vAlign w:val="center"/>
                </w:tcPr>
                <w:p>
                  <w:pPr>
                    <w:snapToGrid w:val="0"/>
                    <w:jc w:val="center"/>
                    <w:rPr>
                      <w:bCs/>
                      <w:szCs w:val="21"/>
                    </w:rPr>
                  </w:pPr>
                  <w:r>
                    <w:rPr>
                      <w:bCs/>
                      <w:szCs w:val="21"/>
                    </w:rPr>
                    <w:t>70</w:t>
                  </w:r>
                </w:p>
              </w:tc>
              <w:tc>
                <w:tcPr>
                  <w:tcW w:w="609" w:type="pct"/>
                  <w:vAlign w:val="center"/>
                </w:tcPr>
                <w:p>
                  <w:pPr>
                    <w:snapToGrid w:val="0"/>
                    <w:jc w:val="center"/>
                    <w:rPr>
                      <w:bCs/>
                      <w:szCs w:val="21"/>
                    </w:rPr>
                  </w:pPr>
                  <w:r>
                    <w:rPr>
                      <w:bCs/>
                      <w:szCs w:val="21"/>
                    </w:rPr>
                    <w:t>/</w:t>
                  </w:r>
                </w:p>
              </w:tc>
              <w:tc>
                <w:tcPr>
                  <w:tcW w:w="561" w:type="pct"/>
                  <w:vAlign w:val="center"/>
                </w:tcPr>
                <w:p>
                  <w:pPr>
                    <w:snapToGrid w:val="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4" w:type="pct"/>
                  <w:vMerge w:val="continue"/>
                  <w:vAlign w:val="center"/>
                </w:tcPr>
                <w:p>
                  <w:pPr>
                    <w:adjustRightInd w:val="0"/>
                    <w:snapToGrid w:val="0"/>
                    <w:ind w:right="92"/>
                    <w:jc w:val="center"/>
                    <w:rPr>
                      <w:bCs/>
                      <w:szCs w:val="21"/>
                    </w:rPr>
                  </w:pPr>
                </w:p>
              </w:tc>
              <w:tc>
                <w:tcPr>
                  <w:tcW w:w="473" w:type="pct"/>
                  <w:vMerge w:val="continue"/>
                  <w:vAlign w:val="center"/>
                </w:tcPr>
                <w:p>
                  <w:pPr>
                    <w:adjustRightInd w:val="0"/>
                    <w:snapToGrid w:val="0"/>
                    <w:ind w:right="92"/>
                    <w:jc w:val="center"/>
                    <w:rPr>
                      <w:bCs/>
                      <w:szCs w:val="21"/>
                    </w:rPr>
                  </w:pPr>
                </w:p>
              </w:tc>
              <w:tc>
                <w:tcPr>
                  <w:tcW w:w="1418" w:type="pct"/>
                  <w:vAlign w:val="center"/>
                </w:tcPr>
                <w:p>
                  <w:pPr>
                    <w:snapToGrid w:val="0"/>
                    <w:jc w:val="center"/>
                    <w:rPr>
                      <w:b/>
                      <w:szCs w:val="21"/>
                    </w:rPr>
                  </w:pPr>
                  <w:r>
                    <w:rPr>
                      <w:b/>
                      <w:szCs w:val="21"/>
                    </w:rPr>
                    <w:t>日均值浓度范围</w:t>
                  </w:r>
                </w:p>
              </w:tc>
              <w:tc>
                <w:tcPr>
                  <w:tcW w:w="848" w:type="pct"/>
                  <w:vAlign w:val="center"/>
                </w:tcPr>
                <w:p>
                  <w:pPr>
                    <w:snapToGrid w:val="0"/>
                    <w:jc w:val="center"/>
                    <w:rPr>
                      <w:b/>
                      <w:szCs w:val="21"/>
                    </w:rPr>
                  </w:pPr>
                  <w:r>
                    <w:rPr>
                      <w:b/>
                      <w:szCs w:val="21"/>
                    </w:rPr>
                    <w:t>11～201</w:t>
                  </w:r>
                </w:p>
              </w:tc>
              <w:tc>
                <w:tcPr>
                  <w:tcW w:w="717" w:type="pct"/>
                  <w:vAlign w:val="center"/>
                </w:tcPr>
                <w:p>
                  <w:pPr>
                    <w:snapToGrid w:val="0"/>
                    <w:jc w:val="center"/>
                    <w:rPr>
                      <w:b/>
                      <w:szCs w:val="21"/>
                    </w:rPr>
                  </w:pPr>
                  <w:r>
                    <w:rPr>
                      <w:b/>
                      <w:szCs w:val="21"/>
                    </w:rPr>
                    <w:t>150</w:t>
                  </w:r>
                </w:p>
              </w:tc>
              <w:tc>
                <w:tcPr>
                  <w:tcW w:w="609" w:type="pct"/>
                  <w:vAlign w:val="center"/>
                </w:tcPr>
                <w:p>
                  <w:pPr>
                    <w:snapToGrid w:val="0"/>
                    <w:jc w:val="center"/>
                    <w:rPr>
                      <w:b/>
                      <w:szCs w:val="21"/>
                    </w:rPr>
                  </w:pPr>
                  <w:r>
                    <w:rPr>
                      <w:b/>
                      <w:szCs w:val="21"/>
                    </w:rPr>
                    <w:t>0.34</w:t>
                  </w:r>
                </w:p>
              </w:tc>
              <w:tc>
                <w:tcPr>
                  <w:tcW w:w="561" w:type="pct"/>
                  <w:vAlign w:val="center"/>
                </w:tcPr>
                <w:p>
                  <w:pPr>
                    <w:snapToGrid w:val="0"/>
                    <w:jc w:val="center"/>
                    <w:rPr>
                      <w:b/>
                      <w:szCs w:val="21"/>
                    </w:rPr>
                  </w:pPr>
                  <w:r>
                    <w:rPr>
                      <w:b/>
                      <w:szCs w:val="21"/>
                    </w:rPr>
                    <w:t>超标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4" w:type="pct"/>
                  <w:vMerge w:val="continue"/>
                  <w:vAlign w:val="center"/>
                </w:tcPr>
                <w:p>
                  <w:pPr>
                    <w:adjustRightInd w:val="0"/>
                    <w:snapToGrid w:val="0"/>
                    <w:ind w:right="92"/>
                    <w:jc w:val="center"/>
                    <w:rPr>
                      <w:bCs/>
                      <w:szCs w:val="21"/>
                    </w:rPr>
                  </w:pPr>
                </w:p>
              </w:tc>
              <w:tc>
                <w:tcPr>
                  <w:tcW w:w="473" w:type="pct"/>
                  <w:vMerge w:val="restart"/>
                  <w:vAlign w:val="center"/>
                </w:tcPr>
                <w:p>
                  <w:pPr>
                    <w:adjustRightInd w:val="0"/>
                    <w:snapToGrid w:val="0"/>
                    <w:ind w:right="92"/>
                    <w:jc w:val="center"/>
                    <w:rPr>
                      <w:bCs/>
                      <w:szCs w:val="21"/>
                    </w:rPr>
                  </w:pPr>
                  <w:r>
                    <w:rPr>
                      <w:bCs/>
                      <w:szCs w:val="21"/>
                    </w:rPr>
                    <w:t>PM</w:t>
                  </w:r>
                  <w:r>
                    <w:rPr>
                      <w:bCs/>
                      <w:szCs w:val="21"/>
                      <w:vertAlign w:val="subscript"/>
                    </w:rPr>
                    <w:t>2.5</w:t>
                  </w:r>
                </w:p>
              </w:tc>
              <w:tc>
                <w:tcPr>
                  <w:tcW w:w="1418" w:type="pct"/>
                  <w:vAlign w:val="center"/>
                </w:tcPr>
                <w:p>
                  <w:pPr>
                    <w:snapToGrid w:val="0"/>
                    <w:jc w:val="center"/>
                    <w:rPr>
                      <w:b/>
                      <w:szCs w:val="21"/>
                    </w:rPr>
                  </w:pPr>
                  <w:r>
                    <w:rPr>
                      <w:b/>
                      <w:szCs w:val="21"/>
                    </w:rPr>
                    <w:t>年均值</w:t>
                  </w:r>
                </w:p>
              </w:tc>
              <w:tc>
                <w:tcPr>
                  <w:tcW w:w="848" w:type="pct"/>
                  <w:vAlign w:val="center"/>
                </w:tcPr>
                <w:p>
                  <w:pPr>
                    <w:snapToGrid w:val="0"/>
                    <w:jc w:val="center"/>
                    <w:rPr>
                      <w:b/>
                      <w:szCs w:val="21"/>
                    </w:rPr>
                  </w:pPr>
                  <w:r>
                    <w:rPr>
                      <w:b/>
                      <w:szCs w:val="21"/>
                    </w:rPr>
                    <w:t>39</w:t>
                  </w:r>
                </w:p>
              </w:tc>
              <w:tc>
                <w:tcPr>
                  <w:tcW w:w="717" w:type="pct"/>
                  <w:vAlign w:val="center"/>
                </w:tcPr>
                <w:p>
                  <w:pPr>
                    <w:snapToGrid w:val="0"/>
                    <w:jc w:val="center"/>
                    <w:rPr>
                      <w:b/>
                      <w:szCs w:val="21"/>
                    </w:rPr>
                  </w:pPr>
                  <w:r>
                    <w:rPr>
                      <w:b/>
                      <w:szCs w:val="21"/>
                    </w:rPr>
                    <w:t>35</w:t>
                  </w:r>
                </w:p>
              </w:tc>
              <w:tc>
                <w:tcPr>
                  <w:tcW w:w="609" w:type="pct"/>
                  <w:vAlign w:val="center"/>
                </w:tcPr>
                <w:p>
                  <w:pPr>
                    <w:snapToGrid w:val="0"/>
                    <w:jc w:val="center"/>
                    <w:rPr>
                      <w:b/>
                      <w:szCs w:val="21"/>
                    </w:rPr>
                  </w:pPr>
                  <w:r>
                    <w:rPr>
                      <w:b/>
                      <w:szCs w:val="21"/>
                    </w:rPr>
                    <w:t>0.11</w:t>
                  </w:r>
                </w:p>
              </w:tc>
              <w:tc>
                <w:tcPr>
                  <w:tcW w:w="561" w:type="pct"/>
                  <w:vAlign w:val="center"/>
                </w:tcPr>
                <w:p>
                  <w:pPr>
                    <w:snapToGrid w:val="0"/>
                    <w:jc w:val="center"/>
                    <w:rPr>
                      <w:b/>
                      <w:szCs w:val="21"/>
                    </w:rPr>
                  </w:pPr>
                  <w:r>
                    <w:rPr>
                      <w:b/>
                      <w:szCs w:val="21"/>
                    </w:rPr>
                    <w:t>超标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4" w:type="pct"/>
                  <w:vMerge w:val="continue"/>
                  <w:vAlign w:val="center"/>
                </w:tcPr>
                <w:p>
                  <w:pPr>
                    <w:adjustRightInd w:val="0"/>
                    <w:snapToGrid w:val="0"/>
                    <w:ind w:right="92"/>
                    <w:jc w:val="center"/>
                    <w:rPr>
                      <w:bCs/>
                      <w:szCs w:val="21"/>
                    </w:rPr>
                  </w:pPr>
                </w:p>
              </w:tc>
              <w:tc>
                <w:tcPr>
                  <w:tcW w:w="473" w:type="pct"/>
                  <w:vMerge w:val="continue"/>
                  <w:vAlign w:val="center"/>
                </w:tcPr>
                <w:p>
                  <w:pPr>
                    <w:adjustRightInd w:val="0"/>
                    <w:snapToGrid w:val="0"/>
                    <w:ind w:right="92"/>
                    <w:jc w:val="center"/>
                    <w:rPr>
                      <w:bCs/>
                      <w:szCs w:val="21"/>
                    </w:rPr>
                  </w:pPr>
                </w:p>
              </w:tc>
              <w:tc>
                <w:tcPr>
                  <w:tcW w:w="1418" w:type="pct"/>
                  <w:vAlign w:val="center"/>
                </w:tcPr>
                <w:p>
                  <w:pPr>
                    <w:snapToGrid w:val="0"/>
                    <w:jc w:val="center"/>
                    <w:rPr>
                      <w:b/>
                      <w:szCs w:val="21"/>
                    </w:rPr>
                  </w:pPr>
                  <w:r>
                    <w:rPr>
                      <w:b/>
                      <w:szCs w:val="21"/>
                    </w:rPr>
                    <w:t>日均值浓度范围</w:t>
                  </w:r>
                </w:p>
              </w:tc>
              <w:tc>
                <w:tcPr>
                  <w:tcW w:w="848" w:type="pct"/>
                  <w:vAlign w:val="center"/>
                </w:tcPr>
                <w:p>
                  <w:pPr>
                    <w:snapToGrid w:val="0"/>
                    <w:jc w:val="center"/>
                    <w:rPr>
                      <w:b/>
                      <w:szCs w:val="21"/>
                    </w:rPr>
                  </w:pPr>
                  <w:r>
                    <w:rPr>
                      <w:b/>
                      <w:szCs w:val="21"/>
                    </w:rPr>
                    <w:t>8～159</w:t>
                  </w:r>
                </w:p>
              </w:tc>
              <w:tc>
                <w:tcPr>
                  <w:tcW w:w="717" w:type="pct"/>
                  <w:vAlign w:val="center"/>
                </w:tcPr>
                <w:p>
                  <w:pPr>
                    <w:snapToGrid w:val="0"/>
                    <w:jc w:val="center"/>
                    <w:rPr>
                      <w:b/>
                      <w:szCs w:val="21"/>
                    </w:rPr>
                  </w:pPr>
                  <w:r>
                    <w:rPr>
                      <w:b/>
                      <w:szCs w:val="21"/>
                    </w:rPr>
                    <w:t>75</w:t>
                  </w:r>
                </w:p>
              </w:tc>
              <w:tc>
                <w:tcPr>
                  <w:tcW w:w="609" w:type="pct"/>
                  <w:vAlign w:val="center"/>
                </w:tcPr>
                <w:p>
                  <w:pPr>
                    <w:snapToGrid w:val="0"/>
                    <w:jc w:val="center"/>
                    <w:rPr>
                      <w:b/>
                      <w:szCs w:val="21"/>
                    </w:rPr>
                  </w:pPr>
                  <w:r>
                    <w:rPr>
                      <w:b/>
                      <w:szCs w:val="21"/>
                    </w:rPr>
                    <w:t>1.12</w:t>
                  </w:r>
                </w:p>
              </w:tc>
              <w:tc>
                <w:tcPr>
                  <w:tcW w:w="561" w:type="pct"/>
                  <w:vAlign w:val="center"/>
                </w:tcPr>
                <w:p>
                  <w:pPr>
                    <w:snapToGrid w:val="0"/>
                    <w:jc w:val="center"/>
                    <w:rPr>
                      <w:b/>
                      <w:szCs w:val="21"/>
                    </w:rPr>
                  </w:pPr>
                  <w:r>
                    <w:rPr>
                      <w:b/>
                      <w:szCs w:val="21"/>
                    </w:rPr>
                    <w:t>超标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74" w:type="pct"/>
                  <w:vMerge w:val="continue"/>
                  <w:vAlign w:val="center"/>
                </w:tcPr>
                <w:p>
                  <w:pPr>
                    <w:adjustRightInd w:val="0"/>
                    <w:snapToGrid w:val="0"/>
                    <w:ind w:right="92"/>
                    <w:jc w:val="center"/>
                    <w:rPr>
                      <w:bCs/>
                      <w:szCs w:val="21"/>
                    </w:rPr>
                  </w:pPr>
                </w:p>
              </w:tc>
              <w:tc>
                <w:tcPr>
                  <w:tcW w:w="473" w:type="pct"/>
                  <w:vMerge w:val="restart"/>
                  <w:vAlign w:val="center"/>
                </w:tcPr>
                <w:p>
                  <w:pPr>
                    <w:adjustRightInd w:val="0"/>
                    <w:snapToGrid w:val="0"/>
                    <w:ind w:right="92"/>
                    <w:jc w:val="center"/>
                    <w:rPr>
                      <w:bCs/>
                      <w:szCs w:val="21"/>
                    </w:rPr>
                  </w:pPr>
                  <w:r>
                    <w:rPr>
                      <w:bCs/>
                      <w:szCs w:val="21"/>
                    </w:rPr>
                    <w:t>CO</w:t>
                  </w:r>
                </w:p>
              </w:tc>
              <w:tc>
                <w:tcPr>
                  <w:tcW w:w="1418" w:type="pct"/>
                  <w:vAlign w:val="center"/>
                </w:tcPr>
                <w:p>
                  <w:pPr>
                    <w:snapToGrid w:val="0"/>
                    <w:jc w:val="center"/>
                    <w:rPr>
                      <w:bCs/>
                      <w:szCs w:val="21"/>
                    </w:rPr>
                  </w:pPr>
                  <w:r>
                    <w:rPr>
                      <w:bCs/>
                      <w:szCs w:val="21"/>
                    </w:rPr>
                    <w:t>日均值的第95百分位数</w:t>
                  </w:r>
                </w:p>
              </w:tc>
              <w:tc>
                <w:tcPr>
                  <w:tcW w:w="848" w:type="pct"/>
                  <w:vAlign w:val="center"/>
                </w:tcPr>
                <w:p>
                  <w:pPr>
                    <w:snapToGrid w:val="0"/>
                    <w:jc w:val="center"/>
                    <w:rPr>
                      <w:bCs/>
                      <w:szCs w:val="21"/>
                    </w:rPr>
                  </w:pPr>
                  <w:r>
                    <w:rPr>
                      <w:bCs/>
                      <w:szCs w:val="21"/>
                    </w:rPr>
                    <w:t>1200</w:t>
                  </w:r>
                </w:p>
              </w:tc>
              <w:tc>
                <w:tcPr>
                  <w:tcW w:w="717" w:type="pct"/>
                  <w:vAlign w:val="center"/>
                </w:tcPr>
                <w:p>
                  <w:pPr>
                    <w:snapToGrid w:val="0"/>
                    <w:jc w:val="center"/>
                    <w:rPr>
                      <w:bCs/>
                      <w:szCs w:val="21"/>
                    </w:rPr>
                  </w:pPr>
                  <w:r>
                    <w:rPr>
                      <w:bCs/>
                      <w:szCs w:val="21"/>
                    </w:rPr>
                    <w:t>4000</w:t>
                  </w:r>
                </w:p>
              </w:tc>
              <w:tc>
                <w:tcPr>
                  <w:tcW w:w="609" w:type="pct"/>
                  <w:vAlign w:val="center"/>
                </w:tcPr>
                <w:p>
                  <w:pPr>
                    <w:snapToGrid w:val="0"/>
                    <w:jc w:val="center"/>
                    <w:rPr>
                      <w:bCs/>
                      <w:szCs w:val="21"/>
                    </w:rPr>
                  </w:pPr>
                  <w:r>
                    <w:rPr>
                      <w:bCs/>
                      <w:szCs w:val="21"/>
                    </w:rPr>
                    <w:t>/</w:t>
                  </w:r>
                </w:p>
              </w:tc>
              <w:tc>
                <w:tcPr>
                  <w:tcW w:w="561" w:type="pct"/>
                  <w:vAlign w:val="center"/>
                </w:tcPr>
                <w:p>
                  <w:pPr>
                    <w:snapToGrid w:val="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cantSplit/>
                <w:trHeight w:val="340" w:hRule="atLeast"/>
                <w:jc w:val="center"/>
              </w:trPr>
              <w:tc>
                <w:tcPr>
                  <w:tcW w:w="374" w:type="pct"/>
                  <w:vMerge w:val="continue"/>
                  <w:vAlign w:val="center"/>
                </w:tcPr>
                <w:p>
                  <w:pPr>
                    <w:adjustRightInd w:val="0"/>
                    <w:snapToGrid w:val="0"/>
                    <w:ind w:right="92"/>
                    <w:jc w:val="center"/>
                    <w:rPr>
                      <w:bCs/>
                      <w:szCs w:val="21"/>
                    </w:rPr>
                  </w:pPr>
                </w:p>
              </w:tc>
              <w:tc>
                <w:tcPr>
                  <w:tcW w:w="473" w:type="pct"/>
                  <w:vMerge w:val="continue"/>
                  <w:vAlign w:val="center"/>
                </w:tcPr>
                <w:p>
                  <w:pPr>
                    <w:adjustRightInd w:val="0"/>
                    <w:snapToGrid w:val="0"/>
                    <w:ind w:right="92"/>
                    <w:jc w:val="center"/>
                    <w:rPr>
                      <w:bCs/>
                      <w:szCs w:val="21"/>
                    </w:rPr>
                  </w:pPr>
                </w:p>
              </w:tc>
              <w:tc>
                <w:tcPr>
                  <w:tcW w:w="1418" w:type="pct"/>
                  <w:vAlign w:val="center"/>
                </w:tcPr>
                <w:p>
                  <w:pPr>
                    <w:snapToGrid w:val="0"/>
                    <w:jc w:val="center"/>
                    <w:rPr>
                      <w:bCs/>
                      <w:szCs w:val="21"/>
                    </w:rPr>
                  </w:pPr>
                  <w:r>
                    <w:rPr>
                      <w:bCs/>
                      <w:szCs w:val="21"/>
                    </w:rPr>
                    <w:t>日均值浓度范围</w:t>
                  </w:r>
                </w:p>
              </w:tc>
              <w:tc>
                <w:tcPr>
                  <w:tcW w:w="848" w:type="pct"/>
                  <w:vAlign w:val="center"/>
                </w:tcPr>
                <w:p>
                  <w:pPr>
                    <w:snapToGrid w:val="0"/>
                    <w:jc w:val="center"/>
                    <w:rPr>
                      <w:bCs/>
                      <w:szCs w:val="21"/>
                    </w:rPr>
                  </w:pPr>
                  <w:r>
                    <w:rPr>
                      <w:bCs/>
                      <w:szCs w:val="21"/>
                    </w:rPr>
                    <w:t>500～1700</w:t>
                  </w:r>
                </w:p>
              </w:tc>
              <w:tc>
                <w:tcPr>
                  <w:tcW w:w="717" w:type="pct"/>
                  <w:vAlign w:val="center"/>
                </w:tcPr>
                <w:p>
                  <w:pPr>
                    <w:snapToGrid w:val="0"/>
                    <w:jc w:val="center"/>
                    <w:rPr>
                      <w:bCs/>
                      <w:szCs w:val="21"/>
                    </w:rPr>
                  </w:pPr>
                  <w:r>
                    <w:rPr>
                      <w:bCs/>
                      <w:szCs w:val="21"/>
                    </w:rPr>
                    <w:t>4000</w:t>
                  </w:r>
                </w:p>
              </w:tc>
              <w:tc>
                <w:tcPr>
                  <w:tcW w:w="609" w:type="pct"/>
                  <w:vAlign w:val="center"/>
                </w:tcPr>
                <w:p>
                  <w:pPr>
                    <w:snapToGrid w:val="0"/>
                    <w:jc w:val="center"/>
                    <w:rPr>
                      <w:bCs/>
                      <w:szCs w:val="21"/>
                    </w:rPr>
                  </w:pPr>
                  <w:r>
                    <w:rPr>
                      <w:bCs/>
                      <w:szCs w:val="21"/>
                    </w:rPr>
                    <w:t>/</w:t>
                  </w:r>
                </w:p>
              </w:tc>
              <w:tc>
                <w:tcPr>
                  <w:tcW w:w="561" w:type="pct"/>
                  <w:vAlign w:val="center"/>
                </w:tcPr>
                <w:p>
                  <w:pPr>
                    <w:snapToGrid w:val="0"/>
                    <w:jc w:val="center"/>
                    <w:rPr>
                      <w:bCs/>
                      <w:szCs w:val="21"/>
                    </w:rPr>
                  </w:pPr>
                  <w:r>
                    <w:rPr>
                      <w:bCs/>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374" w:type="pct"/>
                  <w:vMerge w:val="continue"/>
                  <w:vAlign w:val="center"/>
                </w:tcPr>
                <w:p>
                  <w:pPr>
                    <w:adjustRightInd w:val="0"/>
                    <w:snapToGrid w:val="0"/>
                    <w:ind w:right="92"/>
                    <w:jc w:val="center"/>
                    <w:rPr>
                      <w:bCs/>
                      <w:szCs w:val="21"/>
                    </w:rPr>
                  </w:pPr>
                </w:p>
              </w:tc>
              <w:tc>
                <w:tcPr>
                  <w:tcW w:w="473" w:type="pct"/>
                  <w:vAlign w:val="center"/>
                </w:tcPr>
                <w:p>
                  <w:pPr>
                    <w:adjustRightInd w:val="0"/>
                    <w:snapToGrid w:val="0"/>
                    <w:ind w:right="92"/>
                    <w:jc w:val="center"/>
                    <w:rPr>
                      <w:bCs/>
                      <w:szCs w:val="21"/>
                    </w:rPr>
                  </w:pPr>
                  <w:r>
                    <w:rPr>
                      <w:bCs/>
                      <w:szCs w:val="21"/>
                    </w:rPr>
                    <w:t>O</w:t>
                  </w:r>
                  <w:r>
                    <w:rPr>
                      <w:bCs/>
                      <w:szCs w:val="21"/>
                      <w:vertAlign w:val="subscript"/>
                    </w:rPr>
                    <w:t>3</w:t>
                  </w:r>
                </w:p>
              </w:tc>
              <w:tc>
                <w:tcPr>
                  <w:tcW w:w="1418" w:type="pct"/>
                  <w:vAlign w:val="center"/>
                </w:tcPr>
                <w:p>
                  <w:pPr>
                    <w:snapToGrid w:val="0"/>
                    <w:jc w:val="center"/>
                    <w:rPr>
                      <w:b/>
                      <w:szCs w:val="21"/>
                    </w:rPr>
                  </w:pPr>
                  <w:r>
                    <w:rPr>
                      <w:b/>
                      <w:szCs w:val="21"/>
                    </w:rPr>
                    <w:t>日最大8h滑动平均值第90百分位数</w:t>
                  </w:r>
                </w:p>
              </w:tc>
              <w:tc>
                <w:tcPr>
                  <w:tcW w:w="848" w:type="pct"/>
                  <w:vAlign w:val="center"/>
                </w:tcPr>
                <w:p>
                  <w:pPr>
                    <w:snapToGrid w:val="0"/>
                    <w:jc w:val="center"/>
                    <w:rPr>
                      <w:b/>
                      <w:szCs w:val="21"/>
                    </w:rPr>
                  </w:pPr>
                  <w:r>
                    <w:rPr>
                      <w:b/>
                      <w:szCs w:val="21"/>
                    </w:rPr>
                    <w:t>167</w:t>
                  </w:r>
                </w:p>
              </w:tc>
              <w:tc>
                <w:tcPr>
                  <w:tcW w:w="717" w:type="pct"/>
                  <w:vAlign w:val="center"/>
                </w:tcPr>
                <w:p>
                  <w:pPr>
                    <w:snapToGrid w:val="0"/>
                    <w:jc w:val="center"/>
                    <w:rPr>
                      <w:b/>
                      <w:szCs w:val="21"/>
                    </w:rPr>
                  </w:pPr>
                  <w:r>
                    <w:rPr>
                      <w:b/>
                      <w:szCs w:val="21"/>
                    </w:rPr>
                    <w:t>160</w:t>
                  </w:r>
                </w:p>
              </w:tc>
              <w:tc>
                <w:tcPr>
                  <w:tcW w:w="609" w:type="pct"/>
                  <w:vAlign w:val="center"/>
                </w:tcPr>
                <w:p>
                  <w:pPr>
                    <w:snapToGrid w:val="0"/>
                    <w:jc w:val="center"/>
                    <w:rPr>
                      <w:b/>
                      <w:szCs w:val="21"/>
                    </w:rPr>
                  </w:pPr>
                  <w:r>
                    <w:rPr>
                      <w:b/>
                      <w:szCs w:val="21"/>
                    </w:rPr>
                    <w:t>0.04</w:t>
                  </w:r>
                </w:p>
              </w:tc>
              <w:tc>
                <w:tcPr>
                  <w:tcW w:w="561" w:type="pct"/>
                  <w:vAlign w:val="center"/>
                </w:tcPr>
                <w:p>
                  <w:pPr>
                    <w:snapToGrid w:val="0"/>
                    <w:jc w:val="center"/>
                    <w:rPr>
                      <w:b/>
                      <w:szCs w:val="21"/>
                    </w:rPr>
                  </w:pPr>
                  <w:r>
                    <w:rPr>
                      <w:b/>
                      <w:szCs w:val="21"/>
                    </w:rPr>
                    <w:t>超标</w:t>
                  </w:r>
                </w:p>
              </w:tc>
            </w:tr>
          </w:tbl>
          <w:p>
            <w:pPr>
              <w:snapToGrid w:val="0"/>
              <w:spacing w:line="360" w:lineRule="auto"/>
              <w:ind w:firstLine="480" w:firstLineChars="200"/>
              <w:rPr>
                <w:sz w:val="24"/>
                <w:szCs w:val="22"/>
              </w:rPr>
            </w:pPr>
            <w:r>
              <w:rPr>
                <w:sz w:val="24"/>
              </w:rPr>
              <w:t>2020年常州市环境空气中SO</w:t>
            </w:r>
            <w:r>
              <w:rPr>
                <w:sz w:val="24"/>
                <w:vertAlign w:val="subscript"/>
              </w:rPr>
              <w:t>2</w:t>
            </w:r>
            <w:r>
              <w:rPr>
                <w:sz w:val="24"/>
              </w:rPr>
              <w:t>年均值与日均值、NO</w:t>
            </w:r>
            <w:r>
              <w:rPr>
                <w:sz w:val="24"/>
                <w:vertAlign w:val="subscript"/>
              </w:rPr>
              <w:t>2</w:t>
            </w:r>
            <w:r>
              <w:rPr>
                <w:sz w:val="24"/>
              </w:rPr>
              <w:t>年均值、PM</w:t>
            </w:r>
            <w:r>
              <w:rPr>
                <w:sz w:val="24"/>
                <w:vertAlign w:val="subscript"/>
              </w:rPr>
              <w:t>10</w:t>
            </w:r>
            <w:r>
              <w:rPr>
                <w:sz w:val="24"/>
              </w:rPr>
              <w:t>年均值和CO日均值均达到环境空气质量二级标准；NO</w:t>
            </w:r>
            <w:r>
              <w:rPr>
                <w:sz w:val="24"/>
                <w:vertAlign w:val="subscript"/>
              </w:rPr>
              <w:t>2</w:t>
            </w:r>
            <w:r>
              <w:rPr>
                <w:sz w:val="24"/>
              </w:rPr>
              <w:t>日均值、PM</w:t>
            </w:r>
            <w:r>
              <w:rPr>
                <w:sz w:val="24"/>
                <w:vertAlign w:val="subscript"/>
              </w:rPr>
              <w:t>10</w:t>
            </w:r>
            <w:r>
              <w:rPr>
                <w:sz w:val="24"/>
              </w:rPr>
              <w:t>日均值、PM</w:t>
            </w:r>
            <w:r>
              <w:rPr>
                <w:sz w:val="24"/>
                <w:vertAlign w:val="subscript"/>
              </w:rPr>
              <w:t>2.5</w:t>
            </w:r>
            <w:r>
              <w:rPr>
                <w:sz w:val="24"/>
              </w:rPr>
              <w:t>年均值和日均值、臭氧日最大8小时滑动平均值第90百分位数浓度均超过环境空气质量二级标准，因此判定为非达标区。</w:t>
            </w:r>
          </w:p>
          <w:p>
            <w:pPr>
              <w:snapToGrid w:val="0"/>
              <w:spacing w:line="360" w:lineRule="auto"/>
              <w:ind w:firstLine="480" w:firstLineChars="200"/>
              <w:rPr>
                <w:sz w:val="24"/>
                <w:szCs w:val="22"/>
              </w:rPr>
            </w:pPr>
            <w:r>
              <w:rPr>
                <w:sz w:val="24"/>
                <w:szCs w:val="22"/>
              </w:rPr>
              <w:t>（2）大气环境质量改善方案</w:t>
            </w:r>
          </w:p>
          <w:p>
            <w:pPr>
              <w:spacing w:line="360" w:lineRule="auto"/>
              <w:ind w:firstLine="480" w:firstLineChars="200"/>
              <w:rPr>
                <w:sz w:val="24"/>
              </w:rPr>
            </w:pPr>
            <w:r>
              <w:rPr>
                <w:rFonts w:hint="eastAsia"/>
                <w:sz w:val="24"/>
              </w:rPr>
              <w:t>1）</w:t>
            </w:r>
            <w:r>
              <w:rPr>
                <w:sz w:val="24"/>
              </w:rPr>
              <w:t>为改善大气环境质量，常州市大气污染防治联席会议办公室发布了《市大气办关于印发常州市提升大气环境质量强化管控方案的通知》（常大气办﹝2018﹞3号），明确采取严格燃煤电厂（含热电）排污控制、严控燃煤污染、强化施工扬尘污染控制、实施重点废气排放企业限产、停产等多项措施，强化对常州市域轻度污染以上但未达重污染天气预警启动条件污染天的管控。</w:t>
            </w:r>
          </w:p>
          <w:p>
            <w:pPr>
              <w:spacing w:line="360" w:lineRule="auto"/>
              <w:ind w:firstLine="480" w:firstLineChars="200"/>
              <w:rPr>
                <w:sz w:val="24"/>
              </w:rPr>
            </w:pPr>
            <w:r>
              <w:rPr>
                <w:rFonts w:hint="eastAsia"/>
                <w:sz w:val="24"/>
                <w:szCs w:val="22"/>
              </w:rPr>
              <w:t>2）</w:t>
            </w:r>
            <w:r>
              <w:rPr>
                <w:sz w:val="24"/>
                <w:szCs w:val="22"/>
              </w:rPr>
              <w:t>常州市人民</w:t>
            </w:r>
            <w:r>
              <w:rPr>
                <w:sz w:val="24"/>
              </w:rPr>
              <w:t>政府2021年4月20日印发了《2021年常州市深入打好污染防治攻坚战工作方案》（常政发[2021]21号），工作方案目标为</w:t>
            </w:r>
            <w:r>
              <w:rPr>
                <w:sz w:val="24"/>
                <w:shd w:val="clear" w:color="auto" w:fill="FFFFFF"/>
              </w:rPr>
              <w:t>环境空气质量持续改善，完成省下达的约束性指标，PM</w:t>
            </w:r>
            <w:r>
              <w:rPr>
                <w:sz w:val="24"/>
                <w:shd w:val="clear" w:color="auto" w:fill="FFFFFF"/>
                <w:vertAlign w:val="subscript"/>
              </w:rPr>
              <w:t>2.5</w:t>
            </w:r>
            <w:r>
              <w:rPr>
                <w:sz w:val="24"/>
                <w:shd w:val="clear" w:color="auto" w:fill="FFFFFF"/>
              </w:rPr>
              <w:t>浓度工作目标40微克/立方米，优良天数比率工作目标80.7%。氮氧化物和VOC</w:t>
            </w:r>
            <w:r>
              <w:rPr>
                <w:sz w:val="24"/>
                <w:shd w:val="clear" w:color="auto" w:fill="FFFFFF"/>
                <w:vertAlign w:val="subscript"/>
              </w:rPr>
              <w:t>S</w:t>
            </w:r>
            <w:r>
              <w:rPr>
                <w:sz w:val="24"/>
                <w:shd w:val="clear" w:color="auto" w:fill="FFFFFF"/>
              </w:rPr>
              <w:t>排放量较2020年分</w:t>
            </w:r>
            <w:r>
              <w:rPr>
                <w:sz w:val="24"/>
              </w:rPr>
              <w:t>别削减8%以上和10%以</w:t>
            </w:r>
            <w:r>
              <w:rPr>
                <w:sz w:val="24"/>
                <w:shd w:val="clear" w:color="auto" w:fill="FFFFFF"/>
              </w:rPr>
              <w:t>上。重点任务：</w:t>
            </w:r>
          </w:p>
          <w:p>
            <w:pPr>
              <w:spacing w:line="360" w:lineRule="auto"/>
              <w:ind w:firstLine="480" w:firstLineChars="200"/>
              <w:rPr>
                <w:sz w:val="24"/>
              </w:rPr>
            </w:pPr>
            <w:r>
              <w:rPr>
                <w:rFonts w:hint="eastAsia" w:ascii="宋体" w:hAnsi="宋体" w:cs="宋体"/>
                <w:sz w:val="24"/>
              </w:rPr>
              <w:t>①</w:t>
            </w:r>
            <w:r>
              <w:rPr>
                <w:sz w:val="24"/>
              </w:rPr>
              <w:t>深入推进VOCs治理：有序推进各类涉VOCs产品质量标准和要求的推广实施和执行，完成涉VOCs各类园区、企业集群的排查整治及VOCs储罐排查治理，做好相应台账资料和管理信息登记，开展工程机械、交通工具（汽车、摩托车、自行车总成及零部件）制造行业排查整治。</w:t>
            </w:r>
          </w:p>
          <w:p>
            <w:pPr>
              <w:spacing w:line="360" w:lineRule="auto"/>
              <w:ind w:firstLine="480" w:firstLineChars="200"/>
              <w:rPr>
                <w:sz w:val="24"/>
              </w:rPr>
            </w:pPr>
            <w:r>
              <w:rPr>
                <w:rFonts w:hint="eastAsia" w:ascii="宋体" w:hAnsi="宋体" w:cs="宋体"/>
                <w:sz w:val="24"/>
              </w:rPr>
              <w:t>②</w:t>
            </w:r>
            <w:r>
              <w:rPr>
                <w:sz w:val="24"/>
              </w:rPr>
              <w:t>深化重点行业污染治理：推进燃煤、燃气、生物质锅炉和工业炉窑的超低排放改造工作，开展重点废气排放企业提升整治，继续开展铸造行业产能清理和综合整治。</w:t>
            </w:r>
          </w:p>
          <w:p>
            <w:pPr>
              <w:spacing w:line="360" w:lineRule="auto"/>
              <w:ind w:firstLine="480" w:firstLineChars="200"/>
              <w:rPr>
                <w:sz w:val="24"/>
              </w:rPr>
            </w:pPr>
            <w:r>
              <w:rPr>
                <w:rFonts w:hint="eastAsia" w:ascii="宋体" w:hAnsi="宋体" w:cs="宋体"/>
                <w:sz w:val="24"/>
              </w:rPr>
              <w:t>③</w:t>
            </w:r>
            <w:r>
              <w:rPr>
                <w:sz w:val="24"/>
              </w:rPr>
              <w:t>实施精细化扬尘管控：严控各类工地、道路、码头堆场等重点区域扬尘污染，确保码头堆场和工地扬尘治理全覆盖。</w:t>
            </w:r>
          </w:p>
          <w:p>
            <w:pPr>
              <w:spacing w:line="360" w:lineRule="auto"/>
              <w:ind w:firstLine="480" w:firstLineChars="200"/>
              <w:rPr>
                <w:sz w:val="24"/>
              </w:rPr>
            </w:pPr>
            <w:r>
              <w:rPr>
                <w:rFonts w:hint="eastAsia" w:ascii="宋体" w:hAnsi="宋体" w:cs="宋体"/>
                <w:sz w:val="24"/>
              </w:rPr>
              <w:t>④</w:t>
            </w:r>
            <w:r>
              <w:rPr>
                <w:sz w:val="24"/>
              </w:rPr>
              <w:t>全面推进生活源治理：强化餐饮油烟监管，重点单位安装在线监控。</w:t>
            </w:r>
          </w:p>
          <w:p>
            <w:pPr>
              <w:spacing w:line="360" w:lineRule="auto"/>
              <w:ind w:firstLine="480" w:firstLineChars="200"/>
              <w:rPr>
                <w:sz w:val="24"/>
              </w:rPr>
            </w:pPr>
            <w:r>
              <w:rPr>
                <w:rFonts w:hint="eastAsia" w:ascii="宋体" w:hAnsi="宋体" w:cs="宋体"/>
                <w:sz w:val="24"/>
              </w:rPr>
              <w:t>⑤</w:t>
            </w:r>
            <w:r>
              <w:rPr>
                <w:sz w:val="24"/>
              </w:rPr>
              <w:t>加强移动源污染防治：加快机动车结构升级，强化机动车监管，全面开展在用柴油车等各类机动车监督抽测，加强船舶和非道路移动机械污染防治，推进陆上和水上加油站、储油库油气回收在线监控建设，开展油气回收设施检查。</w:t>
            </w:r>
          </w:p>
          <w:p>
            <w:pPr>
              <w:spacing w:line="360" w:lineRule="auto"/>
              <w:ind w:firstLine="480" w:firstLineChars="200"/>
              <w:rPr>
                <w:sz w:val="24"/>
              </w:rPr>
            </w:pPr>
            <w:r>
              <w:rPr>
                <w:rFonts w:hint="eastAsia" w:ascii="宋体" w:hAnsi="宋体" w:cs="宋体"/>
                <w:sz w:val="24"/>
              </w:rPr>
              <w:t>⑥</w:t>
            </w:r>
            <w:r>
              <w:rPr>
                <w:sz w:val="24"/>
              </w:rPr>
              <w:t>加强重污染天气应对：完成省定春夏季、秋冬季阶段性空气质量改善目标，优化预警流程，实现“分级预警，及时响应”。</w:t>
            </w:r>
          </w:p>
          <w:p>
            <w:pPr>
              <w:spacing w:line="360" w:lineRule="auto"/>
              <w:ind w:firstLine="480" w:firstLineChars="200"/>
              <w:rPr>
                <w:sz w:val="24"/>
              </w:rPr>
            </w:pPr>
            <w:r>
              <w:rPr>
                <w:rFonts w:hint="eastAsia" w:ascii="宋体" w:hAnsi="宋体" w:cs="宋体"/>
                <w:sz w:val="24"/>
              </w:rPr>
              <w:t>⑦</w:t>
            </w:r>
            <w:r>
              <w:rPr>
                <w:sz w:val="24"/>
              </w:rPr>
              <w:t>开展重点区域排查整治：充分发挥热点网格精准溯源系统作用，建立健全工作机制，对网格报警问题实施报警、巡查、处置、反馈、复核的闭环管理工作流程，有效提升污染源管控水平。</w:t>
            </w:r>
          </w:p>
          <w:p>
            <w:pPr>
              <w:spacing w:line="360" w:lineRule="auto"/>
              <w:ind w:firstLine="480" w:firstLineChars="200"/>
              <w:rPr>
                <w:sz w:val="24"/>
              </w:rPr>
            </w:pPr>
            <w:r>
              <w:rPr>
                <w:rFonts w:hint="eastAsia" w:ascii="宋体" w:hAnsi="宋体" w:cs="宋体"/>
                <w:sz w:val="24"/>
              </w:rPr>
              <w:t>⑧</w:t>
            </w:r>
            <w:r>
              <w:rPr>
                <w:sz w:val="24"/>
              </w:rPr>
              <w:t>努力打造碳达峰先行区：加快推进国家低碳城市试点任务，开展碳排放权有偿使用制度和低碳综合管理体系建设，推进碳达峰先行区建设。</w:t>
            </w:r>
          </w:p>
          <w:p>
            <w:pPr>
              <w:spacing w:line="360" w:lineRule="auto"/>
              <w:ind w:firstLine="480" w:firstLineChars="200"/>
              <w:rPr>
                <w:sz w:val="24"/>
              </w:rPr>
            </w:pPr>
            <w:r>
              <w:rPr>
                <w:rFonts w:hint="eastAsia" w:ascii="宋体" w:hAnsi="宋体" w:cs="宋体"/>
                <w:sz w:val="24"/>
              </w:rPr>
              <w:t>⑨</w:t>
            </w:r>
            <w:r>
              <w:rPr>
                <w:sz w:val="24"/>
              </w:rPr>
              <w:t>优化调整四大结构，推动绿色低碳转型发展：优化调整空间结构，优化调整产业结构，优化调整能源结构，优化调整运输结构。</w:t>
            </w:r>
          </w:p>
          <w:p>
            <w:pPr>
              <w:spacing w:line="360" w:lineRule="auto"/>
              <w:ind w:firstLine="480" w:firstLineChars="200"/>
              <w:rPr>
                <w:rFonts w:hAnsi="宋体"/>
                <w:sz w:val="24"/>
              </w:rPr>
            </w:pPr>
            <w:r>
              <w:rPr>
                <w:sz w:val="24"/>
              </w:rPr>
              <w:t>通过上述工作的不断推进实施，常州市环境空气质量将得到持续改善。</w:t>
            </w:r>
          </w:p>
          <w:p>
            <w:pPr>
              <w:adjustRightInd w:val="0"/>
              <w:snapToGrid w:val="0"/>
              <w:spacing w:line="360" w:lineRule="auto"/>
              <w:rPr>
                <w:b/>
                <w:sz w:val="24"/>
              </w:rPr>
            </w:pPr>
            <w:r>
              <w:rPr>
                <w:rFonts w:hint="eastAsia"/>
                <w:b/>
                <w:sz w:val="24"/>
              </w:rPr>
              <w:t>2、地表水现状</w:t>
            </w:r>
          </w:p>
          <w:p>
            <w:pPr>
              <w:adjustRightInd w:val="0"/>
              <w:snapToGrid w:val="0"/>
              <w:spacing w:line="360" w:lineRule="auto"/>
              <w:ind w:firstLine="480" w:firstLineChars="200"/>
              <w:rPr>
                <w:b/>
                <w:bCs/>
                <w:snapToGrid w:val="0"/>
                <w:kern w:val="0"/>
                <w:sz w:val="24"/>
              </w:rPr>
            </w:pPr>
            <w:r>
              <w:rPr>
                <w:sz w:val="24"/>
                <w:szCs w:val="22"/>
              </w:rPr>
              <w:t>本项目地表水环境现状数据引用</w:t>
            </w:r>
            <w:r>
              <w:rPr>
                <w:rFonts w:hint="eastAsia"/>
                <w:sz w:val="24"/>
                <w:szCs w:val="22"/>
              </w:rPr>
              <w:t>江苏久诚检验检测有限公司</w:t>
            </w:r>
            <w:r>
              <w:rPr>
                <w:bCs/>
                <w:sz w:val="24"/>
              </w:rPr>
              <w:t>于202</w:t>
            </w:r>
            <w:r>
              <w:rPr>
                <w:rFonts w:hint="eastAsia"/>
                <w:bCs/>
                <w:sz w:val="24"/>
              </w:rPr>
              <w:t>1</w:t>
            </w:r>
            <w:r>
              <w:rPr>
                <w:bCs/>
                <w:sz w:val="24"/>
              </w:rPr>
              <w:t>年</w:t>
            </w:r>
            <w:r>
              <w:rPr>
                <w:rFonts w:hint="eastAsia"/>
                <w:bCs/>
                <w:sz w:val="24"/>
              </w:rPr>
              <w:t>2</w:t>
            </w:r>
            <w:r>
              <w:rPr>
                <w:bCs/>
                <w:sz w:val="24"/>
              </w:rPr>
              <w:t>月</w:t>
            </w:r>
            <w:r>
              <w:rPr>
                <w:rFonts w:hint="eastAsia"/>
                <w:bCs/>
                <w:sz w:val="24"/>
              </w:rPr>
              <w:t>24</w:t>
            </w:r>
            <w:r>
              <w:rPr>
                <w:bCs/>
                <w:sz w:val="24"/>
              </w:rPr>
              <w:t>日～</w:t>
            </w:r>
            <w:r>
              <w:rPr>
                <w:rFonts w:hint="eastAsia"/>
                <w:bCs/>
                <w:sz w:val="24"/>
              </w:rPr>
              <w:t>2</w:t>
            </w:r>
            <w:r>
              <w:rPr>
                <w:bCs/>
                <w:sz w:val="24"/>
              </w:rPr>
              <w:t>月</w:t>
            </w:r>
            <w:r>
              <w:rPr>
                <w:rFonts w:hint="eastAsia"/>
                <w:bCs/>
                <w:sz w:val="24"/>
              </w:rPr>
              <w:t>25</w:t>
            </w:r>
            <w:r>
              <w:rPr>
                <w:bCs/>
                <w:sz w:val="24"/>
              </w:rPr>
              <w:t>日</w:t>
            </w:r>
            <w:r>
              <w:rPr>
                <w:rFonts w:hint="eastAsia"/>
                <w:bCs/>
                <w:sz w:val="24"/>
              </w:rPr>
              <w:t>对武南河</w:t>
            </w:r>
            <w:r>
              <w:rPr>
                <w:sz w:val="24"/>
                <w:szCs w:val="22"/>
              </w:rPr>
              <w:t>的水质监测</w:t>
            </w:r>
            <w:r>
              <w:rPr>
                <w:rFonts w:hint="eastAsia"/>
                <w:sz w:val="24"/>
                <w:szCs w:val="22"/>
              </w:rPr>
              <w:t>数据</w:t>
            </w:r>
            <w:r>
              <w:rPr>
                <w:sz w:val="24"/>
                <w:szCs w:val="22"/>
              </w:rPr>
              <w:t>，</w:t>
            </w:r>
            <w:r>
              <w:rPr>
                <w:rFonts w:hint="eastAsia"/>
                <w:bCs/>
                <w:sz w:val="24"/>
              </w:rPr>
              <w:t>监测断面</w:t>
            </w:r>
            <w:r>
              <w:rPr>
                <w:bCs/>
                <w:sz w:val="24"/>
              </w:rPr>
              <w:t>W</w:t>
            </w:r>
            <w:r>
              <w:rPr>
                <w:bCs/>
                <w:sz w:val="24"/>
                <w:vertAlign w:val="subscript"/>
              </w:rPr>
              <w:t>1</w:t>
            </w:r>
            <w:r>
              <w:rPr>
                <w:rFonts w:hint="eastAsia"/>
                <w:bCs/>
                <w:sz w:val="24"/>
              </w:rPr>
              <w:t>（武南</w:t>
            </w:r>
            <w:r>
              <w:rPr>
                <w:bCs/>
                <w:sz w:val="24"/>
              </w:rPr>
              <w:t>污水处理厂排口上游500m</w:t>
            </w:r>
            <w:r>
              <w:rPr>
                <w:rFonts w:hint="eastAsia"/>
                <w:bCs/>
                <w:sz w:val="24"/>
              </w:rPr>
              <w:t>）</w:t>
            </w:r>
            <w:r>
              <w:rPr>
                <w:bCs/>
                <w:sz w:val="24"/>
              </w:rPr>
              <w:t>、W</w:t>
            </w:r>
            <w:r>
              <w:rPr>
                <w:rFonts w:hint="eastAsia"/>
                <w:bCs/>
                <w:sz w:val="24"/>
                <w:vertAlign w:val="subscript"/>
              </w:rPr>
              <w:t>2</w:t>
            </w:r>
            <w:r>
              <w:rPr>
                <w:rFonts w:hint="eastAsia"/>
                <w:bCs/>
                <w:sz w:val="24"/>
              </w:rPr>
              <w:t>（武南</w:t>
            </w:r>
            <w:r>
              <w:rPr>
                <w:bCs/>
                <w:sz w:val="24"/>
              </w:rPr>
              <w:t>污水处理厂排口</w:t>
            </w:r>
            <w:r>
              <w:rPr>
                <w:rFonts w:hint="eastAsia"/>
                <w:bCs/>
                <w:sz w:val="24"/>
              </w:rPr>
              <w:t>）、</w:t>
            </w:r>
            <w:r>
              <w:rPr>
                <w:bCs/>
                <w:sz w:val="24"/>
              </w:rPr>
              <w:t>W</w:t>
            </w:r>
            <w:r>
              <w:rPr>
                <w:rFonts w:hint="eastAsia"/>
                <w:bCs/>
                <w:sz w:val="24"/>
                <w:vertAlign w:val="subscript"/>
              </w:rPr>
              <w:t>3</w:t>
            </w:r>
            <w:r>
              <w:rPr>
                <w:rFonts w:hint="eastAsia"/>
                <w:bCs/>
                <w:sz w:val="24"/>
              </w:rPr>
              <w:t>（武南</w:t>
            </w:r>
            <w:r>
              <w:rPr>
                <w:bCs/>
                <w:sz w:val="24"/>
              </w:rPr>
              <w:t>污水处理厂排口下游1</w:t>
            </w:r>
            <w:r>
              <w:rPr>
                <w:rFonts w:hint="eastAsia"/>
                <w:bCs/>
                <w:sz w:val="24"/>
              </w:rPr>
              <w:t>5</w:t>
            </w:r>
            <w:r>
              <w:rPr>
                <w:bCs/>
                <w:sz w:val="24"/>
              </w:rPr>
              <w:t>00m</w:t>
            </w:r>
            <w:r>
              <w:rPr>
                <w:rFonts w:hint="eastAsia"/>
                <w:bCs/>
                <w:sz w:val="24"/>
              </w:rPr>
              <w:t>）。</w:t>
            </w:r>
            <w:r>
              <w:rPr>
                <w:sz w:val="24"/>
                <w:szCs w:val="22"/>
              </w:rPr>
              <w:t>引用报告号：JCH20210014</w:t>
            </w:r>
            <w:r>
              <w:rPr>
                <w:rFonts w:hint="eastAsia"/>
                <w:sz w:val="24"/>
                <w:szCs w:val="22"/>
              </w:rPr>
              <w:t>，</w:t>
            </w:r>
            <w:r>
              <w:rPr>
                <w:sz w:val="24"/>
                <w:szCs w:val="22"/>
              </w:rPr>
              <w:t>监测统计结果如下：</w:t>
            </w:r>
          </w:p>
          <w:p>
            <w:pPr>
              <w:snapToGrid w:val="0"/>
              <w:jc w:val="center"/>
              <w:rPr>
                <w:b/>
                <w:bCs/>
                <w:kern w:val="0"/>
                <w:sz w:val="24"/>
              </w:rPr>
            </w:pPr>
            <w:r>
              <w:rPr>
                <w:b/>
                <w:bCs/>
                <w:kern w:val="0"/>
                <w:sz w:val="24"/>
              </w:rPr>
              <w:t>表3-</w:t>
            </w:r>
            <w:r>
              <w:rPr>
                <w:rFonts w:hint="eastAsia"/>
                <w:b/>
                <w:bCs/>
                <w:kern w:val="0"/>
                <w:sz w:val="24"/>
              </w:rPr>
              <w:t>2</w:t>
            </w:r>
            <w:r>
              <w:rPr>
                <w:b/>
                <w:bCs/>
                <w:kern w:val="0"/>
                <w:sz w:val="24"/>
              </w:rPr>
              <w:t xml:space="preserve">  </w:t>
            </w:r>
            <w:r>
              <w:rPr>
                <w:b/>
                <w:bCs/>
                <w:sz w:val="24"/>
              </w:rPr>
              <w:t>地表水环境质量现状引用结果  mg/L</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99"/>
              <w:gridCol w:w="1726"/>
              <w:gridCol w:w="1503"/>
              <w:gridCol w:w="1231"/>
              <w:gridCol w:w="171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7" w:type="pct"/>
                  <w:vMerge w:val="restart"/>
                  <w:tcBorders>
                    <w:top w:val="single" w:color="auto" w:sz="12" w:space="0"/>
                    <w:left w:val="nil"/>
                    <w:right w:val="single" w:color="auto" w:sz="2" w:space="0"/>
                  </w:tcBorders>
                  <w:vAlign w:val="center"/>
                </w:tcPr>
                <w:p>
                  <w:pPr>
                    <w:snapToGrid w:val="0"/>
                    <w:jc w:val="center"/>
                    <w:rPr>
                      <w:b/>
                      <w:bCs/>
                    </w:rPr>
                  </w:pPr>
                  <w:r>
                    <w:rPr>
                      <w:b/>
                      <w:bCs/>
                    </w:rPr>
                    <w:t>监测断面</w:t>
                  </w:r>
                </w:p>
              </w:tc>
              <w:tc>
                <w:tcPr>
                  <w:tcW w:w="3863" w:type="pct"/>
                  <w:gridSpan w:val="4"/>
                  <w:tcBorders>
                    <w:top w:val="single" w:color="auto" w:sz="12" w:space="0"/>
                    <w:left w:val="single" w:color="auto" w:sz="2" w:space="0"/>
                    <w:bottom w:val="single" w:color="auto" w:sz="2" w:space="0"/>
                    <w:right w:val="nil"/>
                  </w:tcBorders>
                  <w:vAlign w:val="center"/>
                </w:tcPr>
                <w:p>
                  <w:pPr>
                    <w:snapToGrid w:val="0"/>
                    <w:jc w:val="center"/>
                    <w:rPr>
                      <w:b/>
                      <w:bCs/>
                    </w:rPr>
                  </w:pPr>
                  <w:r>
                    <w:rPr>
                      <w:b/>
                      <w:bCs/>
                    </w:rPr>
                    <w:t>监测项目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7" w:type="pct"/>
                  <w:vMerge w:val="continue"/>
                  <w:tcBorders>
                    <w:left w:val="nil"/>
                    <w:bottom w:val="single" w:color="auto" w:sz="4" w:space="0"/>
                    <w:right w:val="single" w:color="auto" w:sz="4" w:space="0"/>
                  </w:tcBorders>
                  <w:vAlign w:val="center"/>
                </w:tcPr>
                <w:p>
                  <w:pPr>
                    <w:snapToGrid w:val="0"/>
                    <w:jc w:val="center"/>
                    <w:rPr>
                      <w:b/>
                      <w:bCs/>
                      <w:szCs w:val="21"/>
                    </w:rPr>
                  </w:pPr>
                </w:p>
              </w:tc>
              <w:tc>
                <w:tcPr>
                  <w:tcW w:w="1091" w:type="pct"/>
                  <w:tcBorders>
                    <w:top w:val="single" w:color="auto" w:sz="2" w:space="0"/>
                    <w:left w:val="single" w:color="auto" w:sz="4" w:space="0"/>
                    <w:bottom w:val="single" w:color="auto" w:sz="4" w:space="0"/>
                    <w:right w:val="single" w:color="auto" w:sz="4" w:space="0"/>
                  </w:tcBorders>
                  <w:vAlign w:val="center"/>
                </w:tcPr>
                <w:p>
                  <w:pPr>
                    <w:snapToGrid w:val="0"/>
                    <w:jc w:val="center"/>
                    <w:rPr>
                      <w:b/>
                      <w:bCs/>
                      <w:szCs w:val="21"/>
                    </w:rPr>
                  </w:pPr>
                  <w:r>
                    <w:rPr>
                      <w:b/>
                      <w:bCs/>
                    </w:rPr>
                    <w:t>pH</w:t>
                  </w:r>
                </w:p>
              </w:tc>
              <w:tc>
                <w:tcPr>
                  <w:tcW w:w="951" w:type="pct"/>
                  <w:tcBorders>
                    <w:top w:val="single" w:color="auto" w:sz="2" w:space="0"/>
                    <w:left w:val="single" w:color="auto" w:sz="4" w:space="0"/>
                    <w:bottom w:val="single" w:color="auto" w:sz="4" w:space="0"/>
                    <w:right w:val="single" w:color="auto" w:sz="4" w:space="0"/>
                  </w:tcBorders>
                  <w:vAlign w:val="center"/>
                </w:tcPr>
                <w:p>
                  <w:pPr>
                    <w:snapToGrid w:val="0"/>
                    <w:jc w:val="center"/>
                    <w:rPr>
                      <w:b/>
                      <w:bCs/>
                      <w:szCs w:val="21"/>
                    </w:rPr>
                  </w:pPr>
                  <w:r>
                    <w:rPr>
                      <w:b/>
                      <w:bCs/>
                    </w:rPr>
                    <w:t>COD</w:t>
                  </w:r>
                </w:p>
              </w:tc>
              <w:tc>
                <w:tcPr>
                  <w:tcW w:w="737" w:type="pct"/>
                  <w:tcBorders>
                    <w:top w:val="single" w:color="auto" w:sz="2" w:space="0"/>
                    <w:left w:val="single" w:color="auto" w:sz="4" w:space="0"/>
                    <w:bottom w:val="single" w:color="auto" w:sz="4" w:space="0"/>
                    <w:right w:val="single" w:color="auto" w:sz="4" w:space="0"/>
                  </w:tcBorders>
                  <w:vAlign w:val="center"/>
                </w:tcPr>
                <w:p>
                  <w:pPr>
                    <w:snapToGrid w:val="0"/>
                    <w:jc w:val="center"/>
                    <w:rPr>
                      <w:b/>
                      <w:bCs/>
                      <w:szCs w:val="21"/>
                    </w:rPr>
                  </w:pPr>
                  <w:r>
                    <w:rPr>
                      <w:b/>
                      <w:bCs/>
                    </w:rPr>
                    <w:t>NH</w:t>
                  </w:r>
                  <w:r>
                    <w:rPr>
                      <w:b/>
                      <w:bCs/>
                      <w:vertAlign w:val="subscript"/>
                    </w:rPr>
                    <w:t>3</w:t>
                  </w:r>
                  <w:r>
                    <w:rPr>
                      <w:b/>
                      <w:bCs/>
                    </w:rPr>
                    <w:t>-N</w:t>
                  </w:r>
                </w:p>
              </w:tc>
              <w:tc>
                <w:tcPr>
                  <w:tcW w:w="1084" w:type="pct"/>
                  <w:tcBorders>
                    <w:top w:val="single" w:color="auto" w:sz="2" w:space="0"/>
                    <w:left w:val="single" w:color="auto" w:sz="4" w:space="0"/>
                    <w:bottom w:val="single" w:color="auto" w:sz="4" w:space="0"/>
                    <w:right w:val="nil"/>
                  </w:tcBorders>
                  <w:vAlign w:val="center"/>
                </w:tcPr>
                <w:p>
                  <w:pPr>
                    <w:snapToGrid w:val="0"/>
                    <w:jc w:val="center"/>
                    <w:rPr>
                      <w:b/>
                      <w:bCs/>
                      <w:szCs w:val="21"/>
                    </w:rPr>
                  </w:pPr>
                  <w:r>
                    <w:rPr>
                      <w:b/>
                      <w:bCs/>
                    </w:rPr>
                    <w:t>TP</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7" w:type="pct"/>
                  <w:tcBorders>
                    <w:top w:val="single" w:color="auto" w:sz="4" w:space="0"/>
                    <w:left w:val="nil"/>
                    <w:bottom w:val="single" w:color="auto" w:sz="4" w:space="0"/>
                    <w:right w:val="single" w:color="auto" w:sz="4" w:space="0"/>
                  </w:tcBorders>
                  <w:vAlign w:val="center"/>
                </w:tcPr>
                <w:p>
                  <w:pPr>
                    <w:snapToGrid w:val="0"/>
                    <w:jc w:val="center"/>
                    <w:rPr>
                      <w:szCs w:val="21"/>
                    </w:rPr>
                  </w:pPr>
                  <w:r>
                    <w:t>W</w:t>
                  </w:r>
                  <w:r>
                    <w:rPr>
                      <w:vertAlign w:val="subscript"/>
                    </w:rPr>
                    <w:t>1</w:t>
                  </w:r>
                </w:p>
              </w:tc>
              <w:tc>
                <w:tcPr>
                  <w:tcW w:w="1091" w:type="pct"/>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t>7.</w:t>
                  </w:r>
                  <w:r>
                    <w:rPr>
                      <w:rFonts w:hint="eastAsia"/>
                    </w:rPr>
                    <w:t>89</w:t>
                  </w:r>
                  <w:r>
                    <w:t>-7.</w:t>
                  </w:r>
                  <w:r>
                    <w:rPr>
                      <w:rFonts w:hint="eastAsia"/>
                    </w:rPr>
                    <w:t>97</w:t>
                  </w:r>
                </w:p>
              </w:tc>
              <w:tc>
                <w:tcPr>
                  <w:tcW w:w="951" w:type="pct"/>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t>1</w:t>
                  </w:r>
                  <w:r>
                    <w:rPr>
                      <w:rFonts w:hint="eastAsia"/>
                    </w:rPr>
                    <w:t>2</w:t>
                  </w:r>
                  <w:r>
                    <w:t>-1</w:t>
                  </w:r>
                  <w:r>
                    <w:rPr>
                      <w:rFonts w:hint="eastAsia"/>
                    </w:rPr>
                    <w:t>7</w:t>
                  </w:r>
                </w:p>
              </w:tc>
              <w:tc>
                <w:tcPr>
                  <w:tcW w:w="73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rPr>
                    <w:t>0.929-0.966</w:t>
                  </w:r>
                </w:p>
              </w:tc>
              <w:tc>
                <w:tcPr>
                  <w:tcW w:w="1084" w:type="pct"/>
                  <w:tcBorders>
                    <w:top w:val="single" w:color="auto" w:sz="4" w:space="0"/>
                    <w:left w:val="single" w:color="auto" w:sz="4" w:space="0"/>
                    <w:bottom w:val="single" w:color="auto" w:sz="4" w:space="0"/>
                    <w:right w:val="nil"/>
                  </w:tcBorders>
                  <w:vAlign w:val="center"/>
                </w:tcPr>
                <w:p>
                  <w:pPr>
                    <w:jc w:val="center"/>
                    <w:rPr>
                      <w:szCs w:val="21"/>
                    </w:rPr>
                  </w:pPr>
                  <w:r>
                    <w:rPr>
                      <w:rFonts w:hint="eastAsia"/>
                    </w:rPr>
                    <w:t>0.13-0.16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1137" w:type="pct"/>
                  <w:tcBorders>
                    <w:top w:val="single" w:color="auto" w:sz="4" w:space="0"/>
                    <w:left w:val="nil"/>
                    <w:bottom w:val="single" w:color="auto" w:sz="4" w:space="0"/>
                    <w:right w:val="single" w:color="auto" w:sz="4" w:space="0"/>
                  </w:tcBorders>
                  <w:vAlign w:val="center"/>
                </w:tcPr>
                <w:p>
                  <w:pPr>
                    <w:snapToGrid w:val="0"/>
                    <w:jc w:val="center"/>
                    <w:rPr>
                      <w:szCs w:val="21"/>
                    </w:rPr>
                  </w:pPr>
                  <w:r>
                    <w:t>W</w:t>
                  </w:r>
                  <w:r>
                    <w:rPr>
                      <w:vertAlign w:val="subscript"/>
                    </w:rPr>
                    <w:t>2</w:t>
                  </w:r>
                </w:p>
              </w:tc>
              <w:tc>
                <w:tcPr>
                  <w:tcW w:w="1091" w:type="pct"/>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rPr>
                      <w:rFonts w:hint="eastAsia"/>
                      <w:szCs w:val="21"/>
                    </w:rPr>
                    <w:t>7.90-7.97</w:t>
                  </w:r>
                </w:p>
              </w:tc>
              <w:tc>
                <w:tcPr>
                  <w:tcW w:w="951" w:type="pct"/>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rPr>
                      <w:rFonts w:hint="eastAsia"/>
                      <w:szCs w:val="21"/>
                    </w:rPr>
                    <w:t>13-19</w:t>
                  </w:r>
                </w:p>
              </w:tc>
              <w:tc>
                <w:tcPr>
                  <w:tcW w:w="73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0.814-0.954</w:t>
                  </w:r>
                </w:p>
              </w:tc>
              <w:tc>
                <w:tcPr>
                  <w:tcW w:w="1084" w:type="pct"/>
                  <w:tcBorders>
                    <w:top w:val="single" w:color="auto" w:sz="4" w:space="0"/>
                    <w:left w:val="single" w:color="auto" w:sz="4" w:space="0"/>
                    <w:bottom w:val="single" w:color="auto" w:sz="4" w:space="0"/>
                    <w:right w:val="nil"/>
                  </w:tcBorders>
                  <w:vAlign w:val="center"/>
                </w:tcPr>
                <w:p>
                  <w:pPr>
                    <w:jc w:val="center"/>
                    <w:rPr>
                      <w:szCs w:val="21"/>
                    </w:rPr>
                  </w:pPr>
                  <w:r>
                    <w:rPr>
                      <w:rFonts w:hint="eastAsia"/>
                      <w:szCs w:val="21"/>
                    </w:rPr>
                    <w:t>0.16-0.19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37" w:type="pct"/>
                  <w:tcBorders>
                    <w:top w:val="single" w:color="auto" w:sz="4" w:space="0"/>
                    <w:left w:val="nil"/>
                    <w:bottom w:val="single" w:color="auto" w:sz="4" w:space="0"/>
                    <w:right w:val="single" w:color="auto" w:sz="4" w:space="0"/>
                  </w:tcBorders>
                  <w:vAlign w:val="center"/>
                </w:tcPr>
                <w:p>
                  <w:pPr>
                    <w:snapToGrid w:val="0"/>
                    <w:jc w:val="center"/>
                  </w:pPr>
                  <w:r>
                    <w:t>W</w:t>
                  </w:r>
                  <w:r>
                    <w:rPr>
                      <w:rFonts w:hint="eastAsia"/>
                      <w:vertAlign w:val="subscript"/>
                    </w:rPr>
                    <w:t>3</w:t>
                  </w:r>
                </w:p>
              </w:tc>
              <w:tc>
                <w:tcPr>
                  <w:tcW w:w="1091" w:type="pct"/>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rPr>
                      <w:rFonts w:hint="eastAsia"/>
                      <w:szCs w:val="21"/>
                    </w:rPr>
                    <w:t>7.91-7.99</w:t>
                  </w:r>
                </w:p>
              </w:tc>
              <w:tc>
                <w:tcPr>
                  <w:tcW w:w="951" w:type="pct"/>
                  <w:tcBorders>
                    <w:top w:val="single" w:color="auto" w:sz="4" w:space="0"/>
                    <w:left w:val="single" w:color="auto" w:sz="4" w:space="0"/>
                    <w:bottom w:val="single" w:color="auto" w:sz="4" w:space="0"/>
                    <w:right w:val="single" w:color="auto" w:sz="4" w:space="0"/>
                  </w:tcBorders>
                  <w:vAlign w:val="center"/>
                </w:tcPr>
                <w:p>
                  <w:pPr>
                    <w:snapToGrid w:val="0"/>
                    <w:jc w:val="center"/>
                    <w:rPr>
                      <w:szCs w:val="21"/>
                    </w:rPr>
                  </w:pPr>
                  <w:r>
                    <w:rPr>
                      <w:rFonts w:hint="eastAsia"/>
                      <w:szCs w:val="21"/>
                    </w:rPr>
                    <w:t>12-19</w:t>
                  </w:r>
                </w:p>
              </w:tc>
              <w:tc>
                <w:tcPr>
                  <w:tcW w:w="737" w:type="pct"/>
                  <w:tcBorders>
                    <w:top w:val="single" w:color="auto" w:sz="4" w:space="0"/>
                    <w:left w:val="single" w:color="auto" w:sz="4" w:space="0"/>
                    <w:bottom w:val="single" w:color="auto" w:sz="4" w:space="0"/>
                    <w:right w:val="single" w:color="auto" w:sz="4" w:space="0"/>
                  </w:tcBorders>
                  <w:vAlign w:val="center"/>
                </w:tcPr>
                <w:p>
                  <w:pPr>
                    <w:jc w:val="center"/>
                    <w:rPr>
                      <w:szCs w:val="21"/>
                    </w:rPr>
                  </w:pPr>
                  <w:r>
                    <w:rPr>
                      <w:rFonts w:hint="eastAsia"/>
                      <w:szCs w:val="21"/>
                    </w:rPr>
                    <w:t>0.803-0.846</w:t>
                  </w:r>
                </w:p>
              </w:tc>
              <w:tc>
                <w:tcPr>
                  <w:tcW w:w="1084" w:type="pct"/>
                  <w:tcBorders>
                    <w:top w:val="single" w:color="auto" w:sz="4" w:space="0"/>
                    <w:left w:val="single" w:color="auto" w:sz="4" w:space="0"/>
                    <w:bottom w:val="single" w:color="auto" w:sz="4" w:space="0"/>
                    <w:right w:val="nil"/>
                  </w:tcBorders>
                  <w:vAlign w:val="center"/>
                </w:tcPr>
                <w:p>
                  <w:pPr>
                    <w:jc w:val="center"/>
                    <w:rPr>
                      <w:szCs w:val="21"/>
                    </w:rPr>
                  </w:pPr>
                  <w:r>
                    <w:rPr>
                      <w:rFonts w:hint="eastAsia"/>
                      <w:szCs w:val="21"/>
                    </w:rPr>
                    <w:t>0.16-0.18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0" w:hRule="atLeast"/>
                <w:jc w:val="center"/>
              </w:trPr>
              <w:tc>
                <w:tcPr>
                  <w:tcW w:w="1137" w:type="pct"/>
                  <w:tcBorders>
                    <w:top w:val="single" w:color="auto" w:sz="4" w:space="0"/>
                    <w:left w:val="nil"/>
                    <w:bottom w:val="single" w:color="auto" w:sz="12" w:space="0"/>
                    <w:right w:val="single" w:color="auto" w:sz="4" w:space="0"/>
                  </w:tcBorders>
                  <w:vAlign w:val="center"/>
                </w:tcPr>
                <w:p>
                  <w:pPr>
                    <w:snapToGrid w:val="0"/>
                    <w:jc w:val="center"/>
                    <w:rPr>
                      <w:szCs w:val="21"/>
                    </w:rPr>
                  </w:pPr>
                  <w:r>
                    <w:rPr>
                      <w:rFonts w:hint="eastAsia" w:ascii="宋体" w:hAnsi="宋体" w:cs="宋体"/>
                    </w:rPr>
                    <w:t>Ⅲ</w:t>
                  </w:r>
                  <w:r>
                    <w:t>类标准值</w:t>
                  </w:r>
                </w:p>
              </w:tc>
              <w:tc>
                <w:tcPr>
                  <w:tcW w:w="1091" w:type="pct"/>
                  <w:tcBorders>
                    <w:top w:val="single" w:color="auto" w:sz="4" w:space="0"/>
                    <w:left w:val="single" w:color="auto" w:sz="4" w:space="0"/>
                    <w:bottom w:val="single" w:color="auto" w:sz="12" w:space="0"/>
                    <w:right w:val="single" w:color="auto" w:sz="4" w:space="0"/>
                  </w:tcBorders>
                  <w:vAlign w:val="center"/>
                </w:tcPr>
                <w:p>
                  <w:pPr>
                    <w:snapToGrid w:val="0"/>
                    <w:jc w:val="center"/>
                    <w:rPr>
                      <w:szCs w:val="21"/>
                    </w:rPr>
                  </w:pPr>
                  <w:r>
                    <w:rPr>
                      <w:kern w:val="24"/>
                    </w:rPr>
                    <w:t>6～9</w:t>
                  </w:r>
                </w:p>
              </w:tc>
              <w:tc>
                <w:tcPr>
                  <w:tcW w:w="951" w:type="pct"/>
                  <w:tcBorders>
                    <w:top w:val="single" w:color="auto" w:sz="4" w:space="0"/>
                    <w:left w:val="single" w:color="auto" w:sz="4" w:space="0"/>
                    <w:bottom w:val="single" w:color="auto" w:sz="12" w:space="0"/>
                    <w:right w:val="single" w:color="auto" w:sz="4" w:space="0"/>
                  </w:tcBorders>
                  <w:vAlign w:val="center"/>
                </w:tcPr>
                <w:p>
                  <w:pPr>
                    <w:snapToGrid w:val="0"/>
                    <w:jc w:val="center"/>
                    <w:rPr>
                      <w:szCs w:val="21"/>
                    </w:rPr>
                  </w:pPr>
                  <w:r>
                    <w:t>≤</w:t>
                  </w:r>
                  <w:r>
                    <w:rPr>
                      <w:rFonts w:hint="eastAsia"/>
                    </w:rPr>
                    <w:t>2</w:t>
                  </w:r>
                  <w:r>
                    <w:t>0</w:t>
                  </w:r>
                </w:p>
              </w:tc>
              <w:tc>
                <w:tcPr>
                  <w:tcW w:w="737" w:type="pct"/>
                  <w:tcBorders>
                    <w:top w:val="single" w:color="auto" w:sz="4" w:space="0"/>
                    <w:left w:val="single" w:color="auto" w:sz="4" w:space="0"/>
                    <w:bottom w:val="single" w:color="auto" w:sz="12" w:space="0"/>
                    <w:right w:val="single" w:color="auto" w:sz="4" w:space="0"/>
                  </w:tcBorders>
                  <w:vAlign w:val="center"/>
                </w:tcPr>
                <w:p>
                  <w:pPr>
                    <w:snapToGrid w:val="0"/>
                    <w:jc w:val="center"/>
                    <w:rPr>
                      <w:szCs w:val="21"/>
                    </w:rPr>
                  </w:pPr>
                  <w:r>
                    <w:t>≤1</w:t>
                  </w:r>
                  <w:r>
                    <w:rPr>
                      <w:rFonts w:hint="eastAsia"/>
                    </w:rPr>
                    <w:t>.0</w:t>
                  </w:r>
                </w:p>
              </w:tc>
              <w:tc>
                <w:tcPr>
                  <w:tcW w:w="1084" w:type="pct"/>
                  <w:tcBorders>
                    <w:top w:val="single" w:color="auto" w:sz="4" w:space="0"/>
                    <w:left w:val="single" w:color="auto" w:sz="4" w:space="0"/>
                    <w:bottom w:val="single" w:color="auto" w:sz="12" w:space="0"/>
                    <w:right w:val="nil"/>
                  </w:tcBorders>
                  <w:vAlign w:val="center"/>
                </w:tcPr>
                <w:p>
                  <w:pPr>
                    <w:snapToGrid w:val="0"/>
                    <w:jc w:val="center"/>
                    <w:rPr>
                      <w:szCs w:val="21"/>
                    </w:rPr>
                  </w:pPr>
                  <w:r>
                    <w:t>≤0.</w:t>
                  </w:r>
                  <w:r>
                    <w:rPr>
                      <w:rFonts w:hint="eastAsia"/>
                    </w:rPr>
                    <w:t>2</w:t>
                  </w:r>
                </w:p>
              </w:tc>
            </w:tr>
          </w:tbl>
          <w:p>
            <w:pPr>
              <w:spacing w:line="360" w:lineRule="auto"/>
              <w:ind w:firstLine="480" w:firstLineChars="200"/>
              <w:rPr>
                <w:bCs/>
                <w:sz w:val="24"/>
              </w:rPr>
            </w:pPr>
            <w:r>
              <w:rPr>
                <w:bCs/>
                <w:sz w:val="24"/>
              </w:rPr>
              <w:t>引用统计结果表明，W</w:t>
            </w:r>
            <w:r>
              <w:rPr>
                <w:bCs/>
                <w:sz w:val="24"/>
                <w:vertAlign w:val="subscript"/>
              </w:rPr>
              <w:t>1</w:t>
            </w:r>
            <w:r>
              <w:rPr>
                <w:bCs/>
                <w:sz w:val="24"/>
              </w:rPr>
              <w:t>、W</w:t>
            </w:r>
            <w:r>
              <w:rPr>
                <w:bCs/>
                <w:sz w:val="24"/>
                <w:vertAlign w:val="subscript"/>
              </w:rPr>
              <w:t>2</w:t>
            </w:r>
            <w:r>
              <w:rPr>
                <w:rFonts w:hint="eastAsia"/>
                <w:bCs/>
                <w:sz w:val="24"/>
              </w:rPr>
              <w:t>、</w:t>
            </w:r>
            <w:r>
              <w:rPr>
                <w:bCs/>
                <w:sz w:val="24"/>
              </w:rPr>
              <w:t>W</w:t>
            </w:r>
            <w:r>
              <w:rPr>
                <w:rFonts w:hint="eastAsia"/>
                <w:bCs/>
                <w:sz w:val="24"/>
                <w:vertAlign w:val="subscript"/>
              </w:rPr>
              <w:t>3</w:t>
            </w:r>
            <w:r>
              <w:rPr>
                <w:bCs/>
                <w:sz w:val="24"/>
              </w:rPr>
              <w:t>断面水质满足《地表水环境质量标准》（GB3838-2002）</w:t>
            </w:r>
            <w:r>
              <w:rPr>
                <w:rFonts w:hint="eastAsia" w:ascii="宋体" w:hAnsi="宋体" w:cs="宋体"/>
                <w:bCs/>
                <w:sz w:val="24"/>
              </w:rPr>
              <w:t>Ⅲ</w:t>
            </w:r>
            <w:r>
              <w:rPr>
                <w:bCs/>
                <w:sz w:val="24"/>
              </w:rPr>
              <w:t>类标准。</w:t>
            </w:r>
          </w:p>
          <w:p>
            <w:pPr>
              <w:adjustRightInd w:val="0"/>
              <w:snapToGrid w:val="0"/>
              <w:spacing w:line="360" w:lineRule="auto"/>
              <w:ind w:firstLine="480" w:firstLineChars="200"/>
              <w:rPr>
                <w:sz w:val="24"/>
              </w:rPr>
            </w:pPr>
            <w:r>
              <w:rPr>
                <w:sz w:val="24"/>
                <w:szCs w:val="22"/>
              </w:rPr>
              <w:t>引用数据有效性分析：</w:t>
            </w:r>
            <w:r>
              <w:rPr>
                <w:rFonts w:hint="eastAsia"/>
                <w:sz w:val="24"/>
                <w:szCs w:val="22"/>
              </w:rPr>
              <w:t>本项目引用江苏久诚检验检测有限公司</w:t>
            </w:r>
            <w:r>
              <w:rPr>
                <w:sz w:val="24"/>
                <w:szCs w:val="22"/>
              </w:rPr>
              <w:t>于</w:t>
            </w:r>
            <w:r>
              <w:rPr>
                <w:bCs/>
                <w:sz w:val="24"/>
              </w:rPr>
              <w:t>202</w:t>
            </w:r>
            <w:r>
              <w:rPr>
                <w:rFonts w:hint="eastAsia"/>
                <w:bCs/>
                <w:sz w:val="24"/>
              </w:rPr>
              <w:t>1</w:t>
            </w:r>
            <w:r>
              <w:rPr>
                <w:bCs/>
                <w:sz w:val="24"/>
              </w:rPr>
              <w:t>年</w:t>
            </w:r>
            <w:r>
              <w:rPr>
                <w:rFonts w:hint="eastAsia"/>
                <w:bCs/>
                <w:sz w:val="24"/>
              </w:rPr>
              <w:t>2</w:t>
            </w:r>
            <w:r>
              <w:rPr>
                <w:bCs/>
                <w:sz w:val="24"/>
              </w:rPr>
              <w:t>月</w:t>
            </w:r>
            <w:r>
              <w:rPr>
                <w:rFonts w:hint="eastAsia"/>
                <w:bCs/>
                <w:sz w:val="24"/>
              </w:rPr>
              <w:t>24</w:t>
            </w:r>
            <w:r>
              <w:rPr>
                <w:bCs/>
                <w:sz w:val="24"/>
              </w:rPr>
              <w:t>日～</w:t>
            </w:r>
            <w:r>
              <w:rPr>
                <w:rFonts w:hint="eastAsia"/>
                <w:bCs/>
                <w:sz w:val="24"/>
              </w:rPr>
              <w:t>2</w:t>
            </w:r>
            <w:r>
              <w:rPr>
                <w:bCs/>
                <w:sz w:val="24"/>
              </w:rPr>
              <w:t>月</w:t>
            </w:r>
            <w:r>
              <w:rPr>
                <w:rFonts w:hint="eastAsia"/>
                <w:bCs/>
                <w:sz w:val="24"/>
              </w:rPr>
              <w:t>25</w:t>
            </w:r>
            <w:r>
              <w:rPr>
                <w:bCs/>
                <w:sz w:val="24"/>
              </w:rPr>
              <w:t>日</w:t>
            </w:r>
            <w:r>
              <w:rPr>
                <w:sz w:val="24"/>
                <w:szCs w:val="22"/>
              </w:rPr>
              <w:t>对</w:t>
            </w:r>
            <w:r>
              <w:rPr>
                <w:rFonts w:hint="eastAsia"/>
                <w:bCs/>
                <w:sz w:val="24"/>
              </w:rPr>
              <w:t>武南</w:t>
            </w:r>
            <w:r>
              <w:rPr>
                <w:bCs/>
                <w:sz w:val="24"/>
              </w:rPr>
              <w:t>污水处理厂排口上游500m、</w:t>
            </w:r>
            <w:r>
              <w:rPr>
                <w:rFonts w:hint="eastAsia"/>
                <w:bCs/>
                <w:sz w:val="24"/>
              </w:rPr>
              <w:t>武南</w:t>
            </w:r>
            <w:r>
              <w:rPr>
                <w:bCs/>
                <w:sz w:val="24"/>
              </w:rPr>
              <w:t>污水处理厂排口</w:t>
            </w:r>
            <w:r>
              <w:rPr>
                <w:rFonts w:hint="eastAsia"/>
                <w:bCs/>
                <w:sz w:val="24"/>
              </w:rPr>
              <w:t>、武南</w:t>
            </w:r>
            <w:r>
              <w:rPr>
                <w:bCs/>
                <w:sz w:val="24"/>
              </w:rPr>
              <w:t>污水处理厂排口下游1</w:t>
            </w:r>
            <w:r>
              <w:rPr>
                <w:rFonts w:hint="eastAsia"/>
                <w:bCs/>
                <w:sz w:val="24"/>
              </w:rPr>
              <w:t>5</w:t>
            </w:r>
            <w:r>
              <w:rPr>
                <w:bCs/>
                <w:sz w:val="24"/>
              </w:rPr>
              <w:t>00m</w:t>
            </w:r>
            <w:r>
              <w:rPr>
                <w:rFonts w:hint="eastAsia"/>
                <w:sz w:val="24"/>
                <w:szCs w:val="22"/>
              </w:rPr>
              <w:t>的</w:t>
            </w:r>
            <w:r>
              <w:rPr>
                <w:sz w:val="24"/>
                <w:szCs w:val="22"/>
              </w:rPr>
              <w:t>监测</w:t>
            </w:r>
            <w:r>
              <w:rPr>
                <w:rFonts w:hint="eastAsia"/>
                <w:sz w:val="24"/>
                <w:szCs w:val="22"/>
              </w:rPr>
              <w:t>数据</w:t>
            </w:r>
            <w:r>
              <w:rPr>
                <w:sz w:val="24"/>
                <w:szCs w:val="22"/>
              </w:rPr>
              <w:t>，引用时间不超过3年，水环境引用时间有效；项目所在区域污染源未发生重大变化，可引用3年内地表水的监测数据；引用点位在项目纳污河道评价范围内，地表水环境引用点位有效。</w:t>
            </w:r>
          </w:p>
          <w:p>
            <w:pPr>
              <w:adjustRightInd w:val="0"/>
              <w:snapToGrid w:val="0"/>
              <w:spacing w:line="360" w:lineRule="auto"/>
              <w:rPr>
                <w:b/>
                <w:bCs/>
                <w:sz w:val="24"/>
              </w:rPr>
            </w:pPr>
            <w:r>
              <w:rPr>
                <w:rFonts w:hint="eastAsia"/>
                <w:b/>
                <w:bCs/>
                <w:sz w:val="24"/>
              </w:rPr>
              <w:t>3、</w:t>
            </w:r>
            <w:r>
              <w:rPr>
                <w:b/>
                <w:bCs/>
                <w:sz w:val="24"/>
              </w:rPr>
              <w:t>声环境质量现状</w:t>
            </w:r>
          </w:p>
          <w:p>
            <w:pPr>
              <w:tabs>
                <w:tab w:val="left" w:pos="7776"/>
              </w:tabs>
              <w:adjustRightInd w:val="0"/>
              <w:spacing w:line="360" w:lineRule="auto"/>
              <w:ind w:firstLine="480" w:firstLineChars="200"/>
              <w:rPr>
                <w:b/>
                <w:bCs/>
                <w:snapToGrid w:val="0"/>
                <w:kern w:val="0"/>
              </w:rPr>
            </w:pPr>
            <w:r>
              <w:rPr>
                <w:bCs/>
                <w:sz w:val="24"/>
              </w:rPr>
              <w:t>本项目委托</w:t>
            </w:r>
            <w:r>
              <w:rPr>
                <w:rFonts w:hint="eastAsia"/>
                <w:bCs/>
                <w:sz w:val="24"/>
              </w:rPr>
              <w:t>江苏久诚检验检测有限公司</w:t>
            </w:r>
            <w:r>
              <w:rPr>
                <w:bCs/>
                <w:sz w:val="24"/>
              </w:rPr>
              <w:t>于</w:t>
            </w:r>
            <w:r>
              <w:rPr>
                <w:sz w:val="24"/>
              </w:rPr>
              <w:t>202</w:t>
            </w:r>
            <w:r>
              <w:rPr>
                <w:rFonts w:hint="eastAsia"/>
                <w:sz w:val="24"/>
              </w:rPr>
              <w:t>2</w:t>
            </w:r>
            <w:r>
              <w:rPr>
                <w:sz w:val="24"/>
              </w:rPr>
              <w:t>.</w:t>
            </w:r>
            <w:r>
              <w:rPr>
                <w:rFonts w:hint="eastAsia"/>
                <w:sz w:val="24"/>
              </w:rPr>
              <w:t>5.5</w:t>
            </w:r>
            <w:r>
              <w:rPr>
                <w:sz w:val="24"/>
              </w:rPr>
              <w:t>在</w:t>
            </w:r>
            <w:r>
              <w:rPr>
                <w:bCs/>
                <w:sz w:val="24"/>
              </w:rPr>
              <w:t>厂界四周进行了噪声本底的实测，监测数据见下表：</w:t>
            </w:r>
          </w:p>
          <w:p>
            <w:pPr>
              <w:tabs>
                <w:tab w:val="left" w:pos="7776"/>
              </w:tabs>
              <w:adjustRightInd w:val="0"/>
              <w:ind w:firstLine="482" w:firstLineChars="200"/>
              <w:jc w:val="center"/>
              <w:rPr>
                <w:b/>
                <w:bCs/>
              </w:rPr>
            </w:pPr>
            <w:r>
              <w:rPr>
                <w:b/>
                <w:bCs/>
                <w:snapToGrid w:val="0"/>
                <w:kern w:val="0"/>
                <w:sz w:val="24"/>
              </w:rPr>
              <w:t>表</w:t>
            </w:r>
            <w:r>
              <w:rPr>
                <w:rFonts w:hint="eastAsia"/>
                <w:b/>
                <w:bCs/>
                <w:snapToGrid w:val="0"/>
                <w:kern w:val="0"/>
                <w:sz w:val="24"/>
              </w:rPr>
              <w:t xml:space="preserve">3-3 </w:t>
            </w:r>
            <w:r>
              <w:rPr>
                <w:b/>
                <w:bCs/>
                <w:snapToGrid w:val="0"/>
                <w:kern w:val="0"/>
                <w:sz w:val="24"/>
              </w:rPr>
              <w:t>声环境质量现状</w:t>
            </w:r>
          </w:p>
          <w:tbl>
            <w:tblPr>
              <w:tblStyle w:val="22"/>
              <w:tblW w:w="5000" w:type="pct"/>
              <w:jc w:val="center"/>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Layout w:type="autofit"/>
              <w:tblCellMar>
                <w:top w:w="0" w:type="dxa"/>
                <w:left w:w="108" w:type="dxa"/>
                <w:bottom w:w="0" w:type="dxa"/>
                <w:right w:w="108" w:type="dxa"/>
              </w:tblCellMar>
            </w:tblPr>
            <w:tblGrid>
              <w:gridCol w:w="918"/>
              <w:gridCol w:w="1512"/>
              <w:gridCol w:w="1297"/>
              <w:gridCol w:w="1295"/>
              <w:gridCol w:w="1297"/>
              <w:gridCol w:w="1655"/>
            </w:tblGrid>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524" w:type="pct"/>
                  <w:gridSpan w:val="2"/>
                  <w:vAlign w:val="center"/>
                </w:tcPr>
                <w:p>
                  <w:pPr>
                    <w:adjustRightInd w:val="0"/>
                    <w:snapToGrid w:val="0"/>
                    <w:jc w:val="center"/>
                    <w:rPr>
                      <w:b/>
                      <w:bCs/>
                      <w:szCs w:val="21"/>
                    </w:rPr>
                  </w:pPr>
                  <w:r>
                    <w:rPr>
                      <w:b/>
                      <w:bCs/>
                      <w:szCs w:val="21"/>
                    </w:rPr>
                    <w:t>监测点号</w:t>
                  </w:r>
                </w:p>
              </w:tc>
              <w:tc>
                <w:tcPr>
                  <w:tcW w:w="813" w:type="pct"/>
                  <w:vAlign w:val="center"/>
                </w:tcPr>
                <w:p>
                  <w:pPr>
                    <w:adjustRightInd w:val="0"/>
                    <w:snapToGrid w:val="0"/>
                    <w:jc w:val="center"/>
                    <w:rPr>
                      <w:b/>
                      <w:bCs/>
                      <w:szCs w:val="21"/>
                    </w:rPr>
                  </w:pPr>
                  <w:r>
                    <w:rPr>
                      <w:b/>
                      <w:bCs/>
                      <w:szCs w:val="21"/>
                    </w:rPr>
                    <w:t>N1（东）</w:t>
                  </w:r>
                </w:p>
              </w:tc>
              <w:tc>
                <w:tcPr>
                  <w:tcW w:w="812" w:type="pct"/>
                  <w:vAlign w:val="center"/>
                </w:tcPr>
                <w:p>
                  <w:pPr>
                    <w:adjustRightInd w:val="0"/>
                    <w:snapToGrid w:val="0"/>
                    <w:jc w:val="center"/>
                    <w:rPr>
                      <w:b/>
                      <w:bCs/>
                      <w:szCs w:val="21"/>
                    </w:rPr>
                  </w:pPr>
                  <w:r>
                    <w:rPr>
                      <w:b/>
                      <w:bCs/>
                      <w:szCs w:val="21"/>
                    </w:rPr>
                    <w:t>N2（南）</w:t>
                  </w:r>
                </w:p>
              </w:tc>
              <w:tc>
                <w:tcPr>
                  <w:tcW w:w="813" w:type="pct"/>
                  <w:vAlign w:val="center"/>
                </w:tcPr>
                <w:p>
                  <w:pPr>
                    <w:adjustRightInd w:val="0"/>
                    <w:snapToGrid w:val="0"/>
                    <w:jc w:val="center"/>
                    <w:rPr>
                      <w:b/>
                      <w:bCs/>
                      <w:szCs w:val="21"/>
                    </w:rPr>
                  </w:pPr>
                  <w:r>
                    <w:rPr>
                      <w:b/>
                      <w:bCs/>
                      <w:szCs w:val="21"/>
                    </w:rPr>
                    <w:t>N3（西）</w:t>
                  </w:r>
                </w:p>
              </w:tc>
              <w:tc>
                <w:tcPr>
                  <w:tcW w:w="1038" w:type="pct"/>
                  <w:vAlign w:val="center"/>
                </w:tcPr>
                <w:p>
                  <w:pPr>
                    <w:adjustRightInd w:val="0"/>
                    <w:snapToGrid w:val="0"/>
                    <w:jc w:val="center"/>
                    <w:rPr>
                      <w:b/>
                      <w:bCs/>
                      <w:szCs w:val="21"/>
                    </w:rPr>
                  </w:pPr>
                  <w:r>
                    <w:rPr>
                      <w:b/>
                      <w:bCs/>
                      <w:szCs w:val="21"/>
                    </w:rPr>
                    <w:t>N4（北）</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576" w:type="pct"/>
                  <w:vAlign w:val="center"/>
                </w:tcPr>
                <w:p>
                  <w:pPr>
                    <w:adjustRightInd w:val="0"/>
                    <w:snapToGrid w:val="0"/>
                    <w:jc w:val="center"/>
                    <w:rPr>
                      <w:szCs w:val="21"/>
                    </w:rPr>
                  </w:pPr>
                  <w:r>
                    <w:rPr>
                      <w:rFonts w:hint="eastAsia"/>
                      <w:szCs w:val="21"/>
                    </w:rPr>
                    <w:t>5.5</w:t>
                  </w:r>
                </w:p>
              </w:tc>
              <w:tc>
                <w:tcPr>
                  <w:tcW w:w="948" w:type="pct"/>
                  <w:vAlign w:val="center"/>
                </w:tcPr>
                <w:p>
                  <w:pPr>
                    <w:adjustRightInd w:val="0"/>
                    <w:snapToGrid w:val="0"/>
                    <w:jc w:val="center"/>
                    <w:rPr>
                      <w:szCs w:val="21"/>
                    </w:rPr>
                  </w:pPr>
                  <w:r>
                    <w:rPr>
                      <w:szCs w:val="21"/>
                    </w:rPr>
                    <w:t>昼间dB(A)</w:t>
                  </w:r>
                </w:p>
              </w:tc>
              <w:tc>
                <w:tcPr>
                  <w:tcW w:w="813" w:type="pct"/>
                  <w:vAlign w:val="center"/>
                </w:tcPr>
                <w:p>
                  <w:pPr>
                    <w:adjustRightInd w:val="0"/>
                    <w:snapToGrid w:val="0"/>
                    <w:jc w:val="center"/>
                    <w:rPr>
                      <w:szCs w:val="21"/>
                    </w:rPr>
                  </w:pPr>
                  <w:r>
                    <w:rPr>
                      <w:rFonts w:hint="eastAsia"/>
                      <w:szCs w:val="21"/>
                    </w:rPr>
                    <w:t>56</w:t>
                  </w:r>
                </w:p>
              </w:tc>
              <w:tc>
                <w:tcPr>
                  <w:tcW w:w="812" w:type="pct"/>
                  <w:vAlign w:val="center"/>
                </w:tcPr>
                <w:p>
                  <w:pPr>
                    <w:adjustRightInd w:val="0"/>
                    <w:snapToGrid w:val="0"/>
                    <w:jc w:val="center"/>
                    <w:rPr>
                      <w:szCs w:val="21"/>
                    </w:rPr>
                  </w:pPr>
                  <w:r>
                    <w:rPr>
                      <w:rFonts w:hint="eastAsia"/>
                      <w:szCs w:val="21"/>
                    </w:rPr>
                    <w:t>56</w:t>
                  </w:r>
                </w:p>
              </w:tc>
              <w:tc>
                <w:tcPr>
                  <w:tcW w:w="813" w:type="pct"/>
                  <w:vAlign w:val="center"/>
                </w:tcPr>
                <w:p>
                  <w:pPr>
                    <w:adjustRightInd w:val="0"/>
                    <w:snapToGrid w:val="0"/>
                    <w:jc w:val="center"/>
                    <w:rPr>
                      <w:szCs w:val="21"/>
                    </w:rPr>
                  </w:pPr>
                  <w:r>
                    <w:rPr>
                      <w:rFonts w:hint="eastAsia"/>
                      <w:szCs w:val="21"/>
                    </w:rPr>
                    <w:t>55</w:t>
                  </w:r>
                </w:p>
              </w:tc>
              <w:tc>
                <w:tcPr>
                  <w:tcW w:w="1038" w:type="pct"/>
                  <w:vAlign w:val="center"/>
                </w:tcPr>
                <w:p>
                  <w:pPr>
                    <w:adjustRightInd w:val="0"/>
                    <w:snapToGrid w:val="0"/>
                    <w:jc w:val="center"/>
                    <w:rPr>
                      <w:szCs w:val="21"/>
                    </w:rPr>
                  </w:pPr>
                  <w:r>
                    <w:rPr>
                      <w:rFonts w:hint="eastAsia"/>
                      <w:szCs w:val="21"/>
                    </w:rPr>
                    <w:t>57</w:t>
                  </w:r>
                </w:p>
              </w:tc>
            </w:tr>
            <w:tr>
              <w:tblPrEx>
                <w:tblBorders>
                  <w:top w:val="single" w:color="000000" w:sz="12" w:space="0"/>
                  <w:left w:val="none" w:color="auto" w:sz="0" w:space="0"/>
                  <w:bottom w:val="single" w:color="000000" w:sz="12" w:space="0"/>
                  <w:right w:val="none" w:color="auto" w:sz="0" w:space="0"/>
                  <w:insideH w:val="single" w:color="000000" w:sz="6" w:space="0"/>
                  <w:insideV w:val="single" w:color="000000" w:sz="6" w:space="0"/>
                </w:tblBorders>
                <w:tblCellMar>
                  <w:top w:w="0" w:type="dxa"/>
                  <w:left w:w="108" w:type="dxa"/>
                  <w:bottom w:w="0" w:type="dxa"/>
                  <w:right w:w="108" w:type="dxa"/>
                </w:tblCellMar>
              </w:tblPrEx>
              <w:trPr>
                <w:trHeight w:val="340" w:hRule="atLeast"/>
                <w:jc w:val="center"/>
              </w:trPr>
              <w:tc>
                <w:tcPr>
                  <w:tcW w:w="1524" w:type="pct"/>
                  <w:gridSpan w:val="2"/>
                  <w:vAlign w:val="center"/>
                </w:tcPr>
                <w:p>
                  <w:pPr>
                    <w:adjustRightInd w:val="0"/>
                    <w:snapToGrid w:val="0"/>
                    <w:jc w:val="center"/>
                    <w:rPr>
                      <w:szCs w:val="21"/>
                    </w:rPr>
                  </w:pPr>
                  <w:r>
                    <w:rPr>
                      <w:szCs w:val="21"/>
                    </w:rPr>
                    <w:t>噪声标准</w:t>
                  </w:r>
                </w:p>
              </w:tc>
              <w:tc>
                <w:tcPr>
                  <w:tcW w:w="3476" w:type="pct"/>
                  <w:gridSpan w:val="4"/>
                  <w:tcBorders>
                    <w:top w:val="single" w:color="000000" w:sz="6" w:space="0"/>
                    <w:bottom w:val="single" w:color="000000" w:sz="12" w:space="0"/>
                    <w:right w:val="nil"/>
                  </w:tcBorders>
                  <w:vAlign w:val="center"/>
                </w:tcPr>
                <w:p>
                  <w:pPr>
                    <w:adjustRightInd w:val="0"/>
                    <w:snapToGrid w:val="0"/>
                    <w:jc w:val="center"/>
                    <w:rPr>
                      <w:szCs w:val="21"/>
                    </w:rPr>
                  </w:pPr>
                  <w:r>
                    <w:rPr>
                      <w:szCs w:val="21"/>
                    </w:rPr>
                    <w:t>昼间≤60dB(A)</w:t>
                  </w:r>
                </w:p>
              </w:tc>
            </w:tr>
          </w:tbl>
          <w:p>
            <w:pPr>
              <w:adjustRightInd w:val="0"/>
              <w:snapToGrid w:val="0"/>
              <w:spacing w:line="360" w:lineRule="auto"/>
              <w:ind w:firstLine="480" w:firstLineChars="200"/>
              <w:rPr>
                <w:rFonts w:ascii="宋体" w:hAnsi="宋体"/>
                <w:bCs/>
                <w:sz w:val="24"/>
              </w:rPr>
            </w:pPr>
            <w:r>
              <w:rPr>
                <w:bCs/>
                <w:sz w:val="24"/>
              </w:rPr>
              <w:t>由上表可知，项目各厂界昼间噪声均符合《声环境质量标准》（GB3096-2008）中2类标准要求</w:t>
            </w:r>
            <w:r>
              <w:rPr>
                <w:rFonts w:hint="eastAsia" w:ascii="宋体" w:hAnsi="宋体"/>
                <w:bCs/>
                <w:sz w:val="24"/>
              </w:rPr>
              <w:t>。</w:t>
            </w:r>
          </w:p>
          <w:p>
            <w:pPr>
              <w:spacing w:line="360" w:lineRule="auto"/>
              <w:rPr>
                <w:b/>
                <w:bCs/>
                <w:sz w:val="24"/>
              </w:rPr>
            </w:pPr>
            <w:r>
              <w:rPr>
                <w:rFonts w:hint="eastAsia"/>
                <w:b/>
                <w:bCs/>
                <w:sz w:val="24"/>
              </w:rPr>
              <w:t>4、生态环境现状</w:t>
            </w:r>
          </w:p>
          <w:p>
            <w:pPr>
              <w:spacing w:line="360" w:lineRule="auto"/>
              <w:ind w:firstLine="480" w:firstLineChars="200"/>
              <w:rPr>
                <w:bCs/>
                <w:sz w:val="24"/>
              </w:rPr>
            </w:pPr>
            <w:r>
              <w:rPr>
                <w:rFonts w:hint="eastAsia"/>
                <w:bCs/>
                <w:sz w:val="24"/>
              </w:rPr>
              <w:t>本项目租赁常州市武进新谊色织有限公司生产车间，不涉及新建厂房，且租赁车间范围内无生态环境保护目标。根据《建设项目环境影响报告表编制技术指南（污染影响类）》（试行），无需开展生态环境现状调查。</w:t>
            </w:r>
          </w:p>
          <w:p>
            <w:pPr>
              <w:spacing w:line="360" w:lineRule="auto"/>
              <w:rPr>
                <w:b/>
                <w:bCs/>
                <w:sz w:val="24"/>
              </w:rPr>
            </w:pPr>
            <w:r>
              <w:rPr>
                <w:rFonts w:hint="eastAsia"/>
                <w:b/>
                <w:bCs/>
                <w:sz w:val="24"/>
              </w:rPr>
              <w:t>5、辐射</w:t>
            </w:r>
          </w:p>
          <w:p>
            <w:pPr>
              <w:spacing w:line="360" w:lineRule="auto"/>
              <w:ind w:firstLine="480" w:firstLineChars="200"/>
              <w:rPr>
                <w:bCs/>
                <w:sz w:val="24"/>
              </w:rPr>
            </w:pPr>
            <w:r>
              <w:rPr>
                <w:rFonts w:hint="eastAsia"/>
                <w:bCs/>
                <w:sz w:val="24"/>
              </w:rPr>
              <w:t>本项目不属于广播电台、差转台、电视塔台、卫星地球上行站、雷达等电磁辐射类项目。</w:t>
            </w:r>
          </w:p>
          <w:p>
            <w:pPr>
              <w:spacing w:line="360" w:lineRule="auto"/>
              <w:rPr>
                <w:b/>
                <w:bCs/>
                <w:sz w:val="24"/>
              </w:rPr>
            </w:pPr>
            <w:r>
              <w:rPr>
                <w:rFonts w:hint="eastAsia"/>
                <w:b/>
                <w:bCs/>
                <w:sz w:val="24"/>
              </w:rPr>
              <w:t>6、地下水、土壤环境质量现状</w:t>
            </w:r>
          </w:p>
          <w:p>
            <w:pPr>
              <w:spacing w:line="360" w:lineRule="auto"/>
              <w:ind w:firstLine="480" w:firstLineChars="200"/>
              <w:rPr>
                <w:bCs/>
                <w:sz w:val="24"/>
              </w:rPr>
            </w:pPr>
            <w:r>
              <w:rPr>
                <w:rFonts w:hint="eastAsia"/>
                <w:bCs/>
                <w:sz w:val="24"/>
              </w:rPr>
              <w:t>根据《建设项目环境影响报告表编制技术指南（污染影响类）》（试行），原则上不开展地下水、土壤环境质量现状调查。本项目生产车间、危废仓库地面均已做硬化和防渗处理，故发生地下水、土壤环境问题的可能性较小，因此不开展现状调查。</w:t>
            </w: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vAlign w:val="center"/>
          </w:tcPr>
          <w:p>
            <w:pPr>
              <w:adjustRightInd w:val="0"/>
              <w:snapToGrid w:val="0"/>
              <w:jc w:val="center"/>
              <w:rPr>
                <w:rFonts w:ascii="宋体" w:hAnsi="宋体" w:cs="宋体"/>
                <w:kern w:val="0"/>
                <w:szCs w:val="21"/>
              </w:rPr>
            </w:pPr>
            <w:r>
              <w:rPr>
                <w:rFonts w:hint="eastAsia" w:ascii="宋体" w:hAnsi="宋体" w:cs="宋体"/>
                <w:kern w:val="0"/>
                <w:szCs w:val="21"/>
              </w:rPr>
              <w:t>环境</w:t>
            </w:r>
          </w:p>
          <w:p>
            <w:pPr>
              <w:adjustRightInd w:val="0"/>
              <w:snapToGrid w:val="0"/>
              <w:jc w:val="center"/>
              <w:rPr>
                <w:rFonts w:ascii="宋体" w:hAnsi="宋体" w:cs="宋体"/>
                <w:kern w:val="0"/>
                <w:szCs w:val="21"/>
              </w:rPr>
            </w:pPr>
            <w:r>
              <w:rPr>
                <w:rFonts w:hint="eastAsia" w:ascii="宋体" w:hAnsi="宋体" w:cs="宋体"/>
                <w:kern w:val="0"/>
                <w:szCs w:val="21"/>
              </w:rPr>
              <w:t>保护</w:t>
            </w:r>
          </w:p>
          <w:p>
            <w:pPr>
              <w:adjustRightInd w:val="0"/>
              <w:snapToGrid w:val="0"/>
              <w:jc w:val="center"/>
              <w:rPr>
                <w:rFonts w:ascii="宋体" w:hAnsi="宋体" w:cs="宋体"/>
                <w:kern w:val="0"/>
                <w:szCs w:val="21"/>
              </w:rPr>
            </w:pPr>
            <w:r>
              <w:rPr>
                <w:rFonts w:hint="eastAsia" w:ascii="宋体" w:hAnsi="宋体" w:cs="宋体"/>
                <w:kern w:val="0"/>
                <w:szCs w:val="21"/>
              </w:rPr>
              <w:t>目标</w:t>
            </w:r>
          </w:p>
        </w:tc>
        <w:tc>
          <w:tcPr>
            <w:tcW w:w="8190" w:type="dxa"/>
            <w:vAlign w:val="center"/>
          </w:tcPr>
          <w:p>
            <w:pPr>
              <w:adjustRightInd w:val="0"/>
              <w:snapToGrid w:val="0"/>
              <w:spacing w:line="360" w:lineRule="auto"/>
              <w:ind w:firstLine="482"/>
              <w:rPr>
                <w:sz w:val="24"/>
              </w:rPr>
            </w:pPr>
            <w:r>
              <w:rPr>
                <w:rFonts w:hint="eastAsia"/>
                <w:sz w:val="24"/>
              </w:rPr>
              <w:t>1、大气环境</w:t>
            </w:r>
          </w:p>
          <w:p>
            <w:pPr>
              <w:adjustRightInd w:val="0"/>
              <w:snapToGrid w:val="0"/>
              <w:spacing w:line="360" w:lineRule="auto"/>
              <w:ind w:firstLine="482"/>
              <w:rPr>
                <w:sz w:val="24"/>
              </w:rPr>
            </w:pPr>
            <w:r>
              <w:rPr>
                <w:sz w:val="24"/>
              </w:rPr>
              <w:t>项目周围主要环境保护目标见下表：</w:t>
            </w:r>
          </w:p>
          <w:p>
            <w:pPr>
              <w:autoSpaceDE w:val="0"/>
              <w:autoSpaceDN w:val="0"/>
              <w:adjustRightInd w:val="0"/>
              <w:snapToGrid w:val="0"/>
              <w:jc w:val="center"/>
              <w:rPr>
                <w:b/>
                <w:bCs/>
                <w:sz w:val="24"/>
              </w:rPr>
            </w:pPr>
            <w:r>
              <w:rPr>
                <w:b/>
                <w:bCs/>
                <w:sz w:val="24"/>
              </w:rPr>
              <w:t>表</w:t>
            </w:r>
            <w:r>
              <w:rPr>
                <w:rFonts w:hint="eastAsia"/>
                <w:b/>
                <w:bCs/>
                <w:sz w:val="24"/>
              </w:rPr>
              <w:t>3-4 项目</w:t>
            </w:r>
            <w:r>
              <w:rPr>
                <w:b/>
                <w:bCs/>
                <w:sz w:val="24"/>
              </w:rPr>
              <w:t>环境保护目标一览表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30"/>
              <w:gridCol w:w="1558"/>
              <w:gridCol w:w="885"/>
              <w:gridCol w:w="992"/>
              <w:gridCol w:w="1521"/>
              <w:gridCol w:w="1132"/>
              <w:gridCol w:w="11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58" w:type="pct"/>
                  <w:vMerge w:val="restart"/>
                  <w:vAlign w:val="center"/>
                </w:tcPr>
                <w:p>
                  <w:pPr>
                    <w:jc w:val="center"/>
                    <w:rPr>
                      <w:b/>
                      <w:szCs w:val="21"/>
                    </w:rPr>
                  </w:pPr>
                  <w:r>
                    <w:rPr>
                      <w:b/>
                      <w:szCs w:val="21"/>
                    </w:rPr>
                    <w:t>名称</w:t>
                  </w:r>
                </w:p>
              </w:tc>
              <w:tc>
                <w:tcPr>
                  <w:tcW w:w="977" w:type="pct"/>
                  <w:vMerge w:val="restart"/>
                  <w:vAlign w:val="center"/>
                </w:tcPr>
                <w:p>
                  <w:pPr>
                    <w:jc w:val="center"/>
                    <w:rPr>
                      <w:b/>
                      <w:szCs w:val="21"/>
                    </w:rPr>
                  </w:pPr>
                  <w:r>
                    <w:rPr>
                      <w:b/>
                      <w:szCs w:val="21"/>
                    </w:rPr>
                    <w:t>保护对象</w:t>
                  </w:r>
                </w:p>
              </w:tc>
              <w:tc>
                <w:tcPr>
                  <w:tcW w:w="555" w:type="pct"/>
                  <w:vMerge w:val="restart"/>
                  <w:vAlign w:val="center"/>
                </w:tcPr>
                <w:p>
                  <w:pPr>
                    <w:jc w:val="center"/>
                    <w:rPr>
                      <w:b/>
                      <w:szCs w:val="21"/>
                    </w:rPr>
                  </w:pPr>
                  <w:r>
                    <w:rPr>
                      <w:b/>
                      <w:szCs w:val="21"/>
                    </w:rPr>
                    <w:t>保护内容</w:t>
                  </w:r>
                </w:p>
              </w:tc>
              <w:tc>
                <w:tcPr>
                  <w:tcW w:w="622" w:type="pct"/>
                  <w:vMerge w:val="restart"/>
                  <w:vAlign w:val="center"/>
                </w:tcPr>
                <w:p>
                  <w:pPr>
                    <w:jc w:val="center"/>
                    <w:rPr>
                      <w:b/>
                      <w:szCs w:val="21"/>
                    </w:rPr>
                  </w:pPr>
                  <w:r>
                    <w:rPr>
                      <w:b/>
                      <w:szCs w:val="21"/>
                    </w:rPr>
                    <w:t>环境功能区</w:t>
                  </w:r>
                </w:p>
              </w:tc>
              <w:tc>
                <w:tcPr>
                  <w:tcW w:w="954" w:type="pct"/>
                  <w:vMerge w:val="restart"/>
                  <w:vAlign w:val="center"/>
                </w:tcPr>
                <w:p>
                  <w:pPr>
                    <w:jc w:val="center"/>
                    <w:rPr>
                      <w:b/>
                      <w:szCs w:val="21"/>
                    </w:rPr>
                  </w:pPr>
                  <w:r>
                    <w:rPr>
                      <w:b/>
                      <w:szCs w:val="21"/>
                    </w:rPr>
                    <w:t>相对厂址方位</w:t>
                  </w:r>
                </w:p>
              </w:tc>
              <w:tc>
                <w:tcPr>
                  <w:tcW w:w="710" w:type="pct"/>
                  <w:vMerge w:val="restart"/>
                  <w:vAlign w:val="center"/>
                </w:tcPr>
                <w:p>
                  <w:pPr>
                    <w:jc w:val="center"/>
                    <w:rPr>
                      <w:b/>
                      <w:szCs w:val="21"/>
                    </w:rPr>
                  </w:pPr>
                  <w:r>
                    <w:rPr>
                      <w:b/>
                      <w:szCs w:val="21"/>
                    </w:rPr>
                    <w:t>相对厂界距离</w:t>
                  </w:r>
                  <w:r>
                    <w:rPr>
                      <w:rFonts w:hint="eastAsia"/>
                      <w:b/>
                      <w:szCs w:val="21"/>
                    </w:rPr>
                    <w:t>/m</w:t>
                  </w:r>
                </w:p>
              </w:tc>
              <w:tc>
                <w:tcPr>
                  <w:tcW w:w="724" w:type="pct"/>
                  <w:vMerge w:val="restart"/>
                  <w:vAlign w:val="center"/>
                </w:tcPr>
                <w:p>
                  <w:pPr>
                    <w:jc w:val="center"/>
                    <w:rPr>
                      <w:b/>
                      <w:szCs w:val="21"/>
                    </w:rPr>
                  </w:pPr>
                  <w:r>
                    <w:rPr>
                      <w:b/>
                      <w:szCs w:val="21"/>
                    </w:rPr>
                    <w:t>规模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458" w:type="pct"/>
                  <w:vMerge w:val="continue"/>
                  <w:vAlign w:val="center"/>
                </w:tcPr>
                <w:p>
                  <w:pPr>
                    <w:jc w:val="center"/>
                    <w:rPr>
                      <w:b/>
                      <w:szCs w:val="21"/>
                    </w:rPr>
                  </w:pPr>
                </w:p>
              </w:tc>
              <w:tc>
                <w:tcPr>
                  <w:tcW w:w="977" w:type="pct"/>
                  <w:vMerge w:val="continue"/>
                  <w:vAlign w:val="center"/>
                </w:tcPr>
                <w:p>
                  <w:pPr>
                    <w:jc w:val="center"/>
                    <w:rPr>
                      <w:b/>
                      <w:szCs w:val="21"/>
                    </w:rPr>
                  </w:pPr>
                </w:p>
              </w:tc>
              <w:tc>
                <w:tcPr>
                  <w:tcW w:w="555" w:type="pct"/>
                  <w:vMerge w:val="continue"/>
                  <w:vAlign w:val="center"/>
                </w:tcPr>
                <w:p>
                  <w:pPr>
                    <w:jc w:val="center"/>
                    <w:rPr>
                      <w:b/>
                      <w:szCs w:val="21"/>
                    </w:rPr>
                  </w:pPr>
                </w:p>
              </w:tc>
              <w:tc>
                <w:tcPr>
                  <w:tcW w:w="622" w:type="pct"/>
                  <w:vMerge w:val="continue"/>
                  <w:vAlign w:val="center"/>
                </w:tcPr>
                <w:p>
                  <w:pPr>
                    <w:jc w:val="center"/>
                    <w:rPr>
                      <w:b/>
                      <w:szCs w:val="21"/>
                    </w:rPr>
                  </w:pPr>
                </w:p>
              </w:tc>
              <w:tc>
                <w:tcPr>
                  <w:tcW w:w="954" w:type="pct"/>
                  <w:vMerge w:val="continue"/>
                  <w:vAlign w:val="center"/>
                </w:tcPr>
                <w:p>
                  <w:pPr>
                    <w:jc w:val="center"/>
                    <w:rPr>
                      <w:b/>
                      <w:szCs w:val="21"/>
                    </w:rPr>
                  </w:pPr>
                </w:p>
              </w:tc>
              <w:tc>
                <w:tcPr>
                  <w:tcW w:w="710" w:type="pct"/>
                  <w:vMerge w:val="continue"/>
                  <w:vAlign w:val="center"/>
                </w:tcPr>
                <w:p>
                  <w:pPr>
                    <w:jc w:val="center"/>
                    <w:rPr>
                      <w:b/>
                      <w:szCs w:val="21"/>
                    </w:rPr>
                  </w:pPr>
                </w:p>
              </w:tc>
              <w:tc>
                <w:tcPr>
                  <w:tcW w:w="724" w:type="pct"/>
                  <w:vMerge w:val="continue"/>
                  <w:vAlign w:val="center"/>
                </w:tcPr>
                <w:p>
                  <w:pPr>
                    <w:jc w:val="center"/>
                    <w:rPr>
                      <w:b/>
                      <w:szCs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restart"/>
                  <w:vAlign w:val="center"/>
                </w:tcPr>
                <w:p>
                  <w:pPr>
                    <w:jc w:val="center"/>
                    <w:rPr>
                      <w:b/>
                      <w:szCs w:val="21"/>
                    </w:rPr>
                  </w:pPr>
                  <w:r>
                    <w:rPr>
                      <w:bCs/>
                      <w:szCs w:val="21"/>
                    </w:rPr>
                    <w:t>大气环境</w:t>
                  </w:r>
                </w:p>
              </w:tc>
              <w:tc>
                <w:tcPr>
                  <w:tcW w:w="977" w:type="pct"/>
                  <w:vAlign w:val="center"/>
                </w:tcPr>
                <w:p>
                  <w:pPr>
                    <w:adjustRightInd w:val="0"/>
                    <w:snapToGrid w:val="0"/>
                    <w:jc w:val="center"/>
                    <w:rPr>
                      <w:szCs w:val="21"/>
                    </w:rPr>
                  </w:pPr>
                  <w:r>
                    <w:rPr>
                      <w:rFonts w:hint="eastAsia"/>
                      <w:szCs w:val="21"/>
                    </w:rPr>
                    <w:t>鸭船村</w:t>
                  </w:r>
                </w:p>
              </w:tc>
              <w:tc>
                <w:tcPr>
                  <w:tcW w:w="555" w:type="pct"/>
                  <w:vMerge w:val="restart"/>
                  <w:vAlign w:val="center"/>
                </w:tcPr>
                <w:p>
                  <w:pPr>
                    <w:jc w:val="center"/>
                    <w:rPr>
                      <w:bCs/>
                      <w:szCs w:val="21"/>
                    </w:rPr>
                  </w:pPr>
                  <w:r>
                    <w:rPr>
                      <w:bCs/>
                      <w:szCs w:val="21"/>
                    </w:rPr>
                    <w:t>居民</w:t>
                  </w:r>
                </w:p>
              </w:tc>
              <w:tc>
                <w:tcPr>
                  <w:tcW w:w="622" w:type="pct"/>
                  <w:vMerge w:val="restart"/>
                  <w:vAlign w:val="center"/>
                </w:tcPr>
                <w:p>
                  <w:pPr>
                    <w:jc w:val="center"/>
                    <w:rPr>
                      <w:bCs/>
                      <w:szCs w:val="21"/>
                    </w:rPr>
                  </w:pPr>
                  <w:r>
                    <w:rPr>
                      <w:bCs/>
                      <w:szCs w:val="21"/>
                    </w:rPr>
                    <w:t>二级功能区</w:t>
                  </w:r>
                </w:p>
              </w:tc>
              <w:tc>
                <w:tcPr>
                  <w:tcW w:w="954" w:type="pct"/>
                  <w:vAlign w:val="center"/>
                </w:tcPr>
                <w:p>
                  <w:pPr>
                    <w:adjustRightInd w:val="0"/>
                    <w:snapToGrid w:val="0"/>
                    <w:jc w:val="center"/>
                    <w:rPr>
                      <w:bCs/>
                      <w:szCs w:val="21"/>
                    </w:rPr>
                  </w:pPr>
                  <w:r>
                    <w:rPr>
                      <w:rFonts w:hint="eastAsia"/>
                      <w:bCs/>
                      <w:szCs w:val="21"/>
                    </w:rPr>
                    <w:t>NE</w:t>
                  </w:r>
                </w:p>
              </w:tc>
              <w:tc>
                <w:tcPr>
                  <w:tcW w:w="710" w:type="pct"/>
                  <w:vAlign w:val="center"/>
                </w:tcPr>
                <w:p>
                  <w:pPr>
                    <w:pStyle w:val="60"/>
                    <w:rPr>
                      <w:rFonts w:ascii="Times New Roman" w:hAnsi="Times New Roman"/>
                      <w:bCs/>
                      <w:sz w:val="21"/>
                      <w:szCs w:val="21"/>
                    </w:rPr>
                  </w:pPr>
                  <w:r>
                    <w:rPr>
                      <w:rFonts w:hint="eastAsia" w:ascii="Times New Roman" w:hAnsi="Times New Roman"/>
                      <w:bCs/>
                      <w:sz w:val="21"/>
                      <w:szCs w:val="21"/>
                    </w:rPr>
                    <w:t>90</w:t>
                  </w:r>
                </w:p>
              </w:tc>
              <w:tc>
                <w:tcPr>
                  <w:tcW w:w="724" w:type="pct"/>
                  <w:vAlign w:val="center"/>
                </w:tcPr>
                <w:p>
                  <w:pPr>
                    <w:pStyle w:val="60"/>
                    <w:rPr>
                      <w:rFonts w:ascii="Times New Roman" w:hAnsi="Times New Roman"/>
                      <w:bCs/>
                      <w:sz w:val="21"/>
                      <w:szCs w:val="21"/>
                    </w:rPr>
                  </w:pPr>
                  <w:r>
                    <w:rPr>
                      <w:rFonts w:hint="eastAsia" w:ascii="Times New Roman" w:hAnsi="Times New Roman"/>
                      <w:bCs/>
                      <w:sz w:val="21"/>
                      <w:szCs w:val="21"/>
                    </w:rPr>
                    <w:t>300</w:t>
                  </w:r>
                  <w:r>
                    <w:rPr>
                      <w:rFonts w:hint="eastAsia"/>
                      <w:bCs/>
                      <w:sz w:val="21"/>
                      <w:szCs w:val="21"/>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jc w:val="center"/>
                    <w:rPr>
                      <w:b/>
                      <w:szCs w:val="21"/>
                    </w:rPr>
                  </w:pPr>
                </w:p>
              </w:tc>
              <w:tc>
                <w:tcPr>
                  <w:tcW w:w="977" w:type="pct"/>
                  <w:vAlign w:val="center"/>
                </w:tcPr>
                <w:p>
                  <w:pPr>
                    <w:adjustRightInd w:val="0"/>
                    <w:snapToGrid w:val="0"/>
                    <w:jc w:val="center"/>
                    <w:rPr>
                      <w:szCs w:val="21"/>
                    </w:rPr>
                  </w:pPr>
                  <w:r>
                    <w:rPr>
                      <w:rFonts w:hint="eastAsia"/>
                      <w:szCs w:val="21"/>
                    </w:rPr>
                    <w:t>杨家村</w:t>
                  </w:r>
                </w:p>
              </w:tc>
              <w:tc>
                <w:tcPr>
                  <w:tcW w:w="555" w:type="pct"/>
                  <w:vMerge w:val="continue"/>
                  <w:vAlign w:val="center"/>
                </w:tcPr>
                <w:p>
                  <w:pPr>
                    <w:jc w:val="center"/>
                    <w:rPr>
                      <w:bCs/>
                      <w:szCs w:val="21"/>
                    </w:rPr>
                  </w:pPr>
                </w:p>
              </w:tc>
              <w:tc>
                <w:tcPr>
                  <w:tcW w:w="622" w:type="pct"/>
                  <w:vMerge w:val="continue"/>
                  <w:vAlign w:val="center"/>
                </w:tcPr>
                <w:p>
                  <w:pPr>
                    <w:jc w:val="center"/>
                    <w:rPr>
                      <w:bCs/>
                      <w:szCs w:val="21"/>
                    </w:rPr>
                  </w:pPr>
                </w:p>
              </w:tc>
              <w:tc>
                <w:tcPr>
                  <w:tcW w:w="954" w:type="pct"/>
                  <w:vAlign w:val="center"/>
                </w:tcPr>
                <w:p>
                  <w:pPr>
                    <w:adjustRightInd w:val="0"/>
                    <w:snapToGrid w:val="0"/>
                    <w:jc w:val="center"/>
                    <w:rPr>
                      <w:bCs/>
                      <w:szCs w:val="21"/>
                    </w:rPr>
                  </w:pPr>
                  <w:r>
                    <w:rPr>
                      <w:rFonts w:hint="eastAsia"/>
                      <w:bCs/>
                      <w:szCs w:val="21"/>
                    </w:rPr>
                    <w:t>SE</w:t>
                  </w:r>
                </w:p>
              </w:tc>
              <w:tc>
                <w:tcPr>
                  <w:tcW w:w="710" w:type="pct"/>
                  <w:vAlign w:val="center"/>
                </w:tcPr>
                <w:p>
                  <w:pPr>
                    <w:pStyle w:val="60"/>
                    <w:rPr>
                      <w:rFonts w:ascii="Times New Roman" w:hAnsi="Times New Roman"/>
                      <w:bCs/>
                      <w:sz w:val="21"/>
                      <w:szCs w:val="21"/>
                    </w:rPr>
                  </w:pPr>
                  <w:r>
                    <w:rPr>
                      <w:rFonts w:hint="eastAsia" w:ascii="Times New Roman" w:hAnsi="Times New Roman"/>
                      <w:bCs/>
                      <w:sz w:val="21"/>
                      <w:szCs w:val="21"/>
                    </w:rPr>
                    <w:t>250</w:t>
                  </w:r>
                </w:p>
              </w:tc>
              <w:tc>
                <w:tcPr>
                  <w:tcW w:w="724" w:type="pct"/>
                  <w:vAlign w:val="center"/>
                </w:tcPr>
                <w:p>
                  <w:pPr>
                    <w:pStyle w:val="60"/>
                    <w:rPr>
                      <w:rFonts w:ascii="Times New Roman" w:hAnsi="Times New Roman"/>
                      <w:bCs/>
                      <w:sz w:val="21"/>
                      <w:szCs w:val="21"/>
                    </w:rPr>
                  </w:pPr>
                  <w:r>
                    <w:rPr>
                      <w:rFonts w:hint="eastAsia" w:ascii="Times New Roman" w:hAnsi="Times New Roman"/>
                      <w:bCs/>
                      <w:sz w:val="21"/>
                      <w:szCs w:val="21"/>
                    </w:rPr>
                    <w:t>150</w:t>
                  </w:r>
                  <w:r>
                    <w:rPr>
                      <w:rFonts w:hint="eastAsia"/>
                      <w:bCs/>
                      <w:sz w:val="21"/>
                      <w:szCs w:val="21"/>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jc w:val="center"/>
                    <w:rPr>
                      <w:b/>
                      <w:szCs w:val="21"/>
                    </w:rPr>
                  </w:pPr>
                </w:p>
              </w:tc>
              <w:tc>
                <w:tcPr>
                  <w:tcW w:w="977" w:type="pct"/>
                  <w:vAlign w:val="center"/>
                </w:tcPr>
                <w:p>
                  <w:pPr>
                    <w:adjustRightInd w:val="0"/>
                    <w:snapToGrid w:val="0"/>
                    <w:jc w:val="center"/>
                    <w:rPr>
                      <w:szCs w:val="21"/>
                    </w:rPr>
                  </w:pPr>
                  <w:r>
                    <w:rPr>
                      <w:rFonts w:hint="eastAsia"/>
                      <w:szCs w:val="21"/>
                    </w:rPr>
                    <w:t>塘坊</w:t>
                  </w:r>
                </w:p>
              </w:tc>
              <w:tc>
                <w:tcPr>
                  <w:tcW w:w="555" w:type="pct"/>
                  <w:vMerge w:val="continue"/>
                  <w:vAlign w:val="center"/>
                </w:tcPr>
                <w:p>
                  <w:pPr>
                    <w:jc w:val="center"/>
                    <w:rPr>
                      <w:bCs/>
                      <w:szCs w:val="21"/>
                    </w:rPr>
                  </w:pPr>
                </w:p>
              </w:tc>
              <w:tc>
                <w:tcPr>
                  <w:tcW w:w="622" w:type="pct"/>
                  <w:vMerge w:val="continue"/>
                  <w:vAlign w:val="center"/>
                </w:tcPr>
                <w:p>
                  <w:pPr>
                    <w:jc w:val="center"/>
                    <w:rPr>
                      <w:bCs/>
                      <w:szCs w:val="21"/>
                    </w:rPr>
                  </w:pPr>
                </w:p>
              </w:tc>
              <w:tc>
                <w:tcPr>
                  <w:tcW w:w="954" w:type="pct"/>
                  <w:vAlign w:val="center"/>
                </w:tcPr>
                <w:p>
                  <w:pPr>
                    <w:adjustRightInd w:val="0"/>
                    <w:snapToGrid w:val="0"/>
                    <w:jc w:val="center"/>
                    <w:rPr>
                      <w:bCs/>
                      <w:szCs w:val="21"/>
                    </w:rPr>
                  </w:pPr>
                  <w:r>
                    <w:rPr>
                      <w:rFonts w:hint="eastAsia"/>
                      <w:bCs/>
                      <w:szCs w:val="21"/>
                    </w:rPr>
                    <w:t>NW</w:t>
                  </w:r>
                </w:p>
              </w:tc>
              <w:tc>
                <w:tcPr>
                  <w:tcW w:w="710" w:type="pct"/>
                  <w:vAlign w:val="center"/>
                </w:tcPr>
                <w:p>
                  <w:pPr>
                    <w:pStyle w:val="60"/>
                    <w:rPr>
                      <w:rFonts w:ascii="Times New Roman" w:hAnsi="Times New Roman"/>
                      <w:bCs/>
                      <w:sz w:val="21"/>
                      <w:szCs w:val="21"/>
                    </w:rPr>
                  </w:pPr>
                  <w:r>
                    <w:rPr>
                      <w:rFonts w:hint="eastAsia" w:ascii="Times New Roman" w:hAnsi="Times New Roman"/>
                      <w:bCs/>
                      <w:sz w:val="21"/>
                      <w:szCs w:val="21"/>
                    </w:rPr>
                    <w:t>260</w:t>
                  </w:r>
                </w:p>
              </w:tc>
              <w:tc>
                <w:tcPr>
                  <w:tcW w:w="724" w:type="pct"/>
                  <w:vAlign w:val="center"/>
                </w:tcPr>
                <w:p>
                  <w:pPr>
                    <w:pStyle w:val="60"/>
                    <w:rPr>
                      <w:rFonts w:ascii="Times New Roman" w:hAnsi="Times New Roman"/>
                      <w:bCs/>
                      <w:sz w:val="21"/>
                      <w:szCs w:val="21"/>
                    </w:rPr>
                  </w:pPr>
                  <w:r>
                    <w:rPr>
                      <w:rFonts w:hint="eastAsia" w:ascii="Times New Roman" w:hAnsi="Times New Roman"/>
                      <w:bCs/>
                      <w:sz w:val="21"/>
                      <w:szCs w:val="21"/>
                    </w:rPr>
                    <w:t>100人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jc w:val="center"/>
                    <w:rPr>
                      <w:bCs/>
                      <w:szCs w:val="21"/>
                    </w:rPr>
                  </w:pPr>
                </w:p>
              </w:tc>
              <w:tc>
                <w:tcPr>
                  <w:tcW w:w="977" w:type="pct"/>
                  <w:vAlign w:val="center"/>
                </w:tcPr>
                <w:p>
                  <w:pPr>
                    <w:adjustRightInd w:val="0"/>
                    <w:snapToGrid w:val="0"/>
                    <w:jc w:val="center"/>
                    <w:rPr>
                      <w:szCs w:val="21"/>
                    </w:rPr>
                  </w:pPr>
                  <w:r>
                    <w:rPr>
                      <w:rFonts w:hint="eastAsia"/>
                      <w:szCs w:val="21"/>
                    </w:rPr>
                    <w:t>郭家村</w:t>
                  </w:r>
                </w:p>
              </w:tc>
              <w:tc>
                <w:tcPr>
                  <w:tcW w:w="555" w:type="pct"/>
                  <w:vMerge w:val="continue"/>
                  <w:vAlign w:val="center"/>
                </w:tcPr>
                <w:p>
                  <w:pPr>
                    <w:jc w:val="center"/>
                    <w:rPr>
                      <w:bCs/>
                      <w:szCs w:val="21"/>
                    </w:rPr>
                  </w:pPr>
                </w:p>
              </w:tc>
              <w:tc>
                <w:tcPr>
                  <w:tcW w:w="622" w:type="pct"/>
                  <w:vMerge w:val="continue"/>
                  <w:vAlign w:val="center"/>
                </w:tcPr>
                <w:p>
                  <w:pPr>
                    <w:jc w:val="center"/>
                    <w:rPr>
                      <w:bCs/>
                      <w:szCs w:val="21"/>
                    </w:rPr>
                  </w:pPr>
                </w:p>
              </w:tc>
              <w:tc>
                <w:tcPr>
                  <w:tcW w:w="954" w:type="pct"/>
                  <w:vAlign w:val="center"/>
                </w:tcPr>
                <w:p>
                  <w:pPr>
                    <w:adjustRightInd w:val="0"/>
                    <w:snapToGrid w:val="0"/>
                    <w:jc w:val="center"/>
                    <w:rPr>
                      <w:szCs w:val="21"/>
                    </w:rPr>
                  </w:pPr>
                  <w:r>
                    <w:rPr>
                      <w:rFonts w:hint="eastAsia"/>
                      <w:bCs/>
                      <w:szCs w:val="21"/>
                    </w:rPr>
                    <w:t>NE</w:t>
                  </w:r>
                </w:p>
              </w:tc>
              <w:tc>
                <w:tcPr>
                  <w:tcW w:w="710" w:type="pct"/>
                  <w:vAlign w:val="center"/>
                </w:tcPr>
                <w:p>
                  <w:pPr>
                    <w:pStyle w:val="60"/>
                    <w:rPr>
                      <w:rFonts w:ascii="Times New Roman" w:hAnsi="Times New Roman"/>
                      <w:sz w:val="21"/>
                      <w:szCs w:val="21"/>
                    </w:rPr>
                  </w:pPr>
                  <w:r>
                    <w:rPr>
                      <w:rFonts w:hint="eastAsia" w:ascii="Times New Roman" w:hAnsi="Times New Roman"/>
                      <w:sz w:val="21"/>
                      <w:szCs w:val="21"/>
                    </w:rPr>
                    <w:t>380</w:t>
                  </w:r>
                </w:p>
              </w:tc>
              <w:tc>
                <w:tcPr>
                  <w:tcW w:w="724" w:type="pct"/>
                  <w:vAlign w:val="center"/>
                </w:tcPr>
                <w:p>
                  <w:pPr>
                    <w:pStyle w:val="60"/>
                    <w:rPr>
                      <w:rFonts w:ascii="Times New Roman" w:hAnsi="Times New Roman"/>
                      <w:sz w:val="21"/>
                      <w:szCs w:val="21"/>
                    </w:rPr>
                  </w:pPr>
                  <w:r>
                    <w:rPr>
                      <w:rFonts w:hint="eastAsia" w:ascii="Times New Roman" w:hAnsi="Times New Roman"/>
                      <w:sz w:val="21"/>
                      <w:szCs w:val="21"/>
                    </w:rPr>
                    <w:t>300</w:t>
                  </w:r>
                  <w:r>
                    <w:rPr>
                      <w:rFonts w:hint="eastAsia"/>
                      <w:sz w:val="21"/>
                      <w:szCs w:val="21"/>
                    </w:rPr>
                    <w:t>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jc w:val="center"/>
                    <w:rPr>
                      <w:bCs/>
                      <w:szCs w:val="21"/>
                    </w:rPr>
                  </w:pPr>
                </w:p>
              </w:tc>
              <w:tc>
                <w:tcPr>
                  <w:tcW w:w="977" w:type="pct"/>
                  <w:vAlign w:val="center"/>
                </w:tcPr>
                <w:p>
                  <w:pPr>
                    <w:adjustRightInd w:val="0"/>
                    <w:snapToGrid w:val="0"/>
                    <w:jc w:val="center"/>
                    <w:rPr>
                      <w:szCs w:val="21"/>
                    </w:rPr>
                  </w:pPr>
                  <w:r>
                    <w:rPr>
                      <w:rFonts w:hint="eastAsia"/>
                      <w:szCs w:val="21"/>
                    </w:rPr>
                    <w:t>前薛村</w:t>
                  </w:r>
                </w:p>
              </w:tc>
              <w:tc>
                <w:tcPr>
                  <w:tcW w:w="555" w:type="pct"/>
                  <w:vMerge w:val="continue"/>
                  <w:vAlign w:val="center"/>
                </w:tcPr>
                <w:p>
                  <w:pPr>
                    <w:jc w:val="center"/>
                    <w:rPr>
                      <w:bCs/>
                      <w:szCs w:val="21"/>
                    </w:rPr>
                  </w:pPr>
                </w:p>
              </w:tc>
              <w:tc>
                <w:tcPr>
                  <w:tcW w:w="622" w:type="pct"/>
                  <w:vMerge w:val="continue"/>
                  <w:vAlign w:val="center"/>
                </w:tcPr>
                <w:p>
                  <w:pPr>
                    <w:jc w:val="center"/>
                    <w:rPr>
                      <w:bCs/>
                      <w:szCs w:val="21"/>
                    </w:rPr>
                  </w:pPr>
                </w:p>
              </w:tc>
              <w:tc>
                <w:tcPr>
                  <w:tcW w:w="954" w:type="pct"/>
                  <w:vAlign w:val="center"/>
                </w:tcPr>
                <w:p>
                  <w:pPr>
                    <w:adjustRightInd w:val="0"/>
                    <w:snapToGrid w:val="0"/>
                    <w:jc w:val="center"/>
                    <w:rPr>
                      <w:bCs/>
                      <w:szCs w:val="21"/>
                    </w:rPr>
                  </w:pPr>
                  <w:r>
                    <w:rPr>
                      <w:rFonts w:hint="eastAsia"/>
                      <w:bCs/>
                      <w:szCs w:val="21"/>
                    </w:rPr>
                    <w:t>NW</w:t>
                  </w:r>
                </w:p>
              </w:tc>
              <w:tc>
                <w:tcPr>
                  <w:tcW w:w="710" w:type="pct"/>
                  <w:vAlign w:val="center"/>
                </w:tcPr>
                <w:p>
                  <w:pPr>
                    <w:pStyle w:val="60"/>
                    <w:rPr>
                      <w:rFonts w:ascii="Times New Roman" w:hAnsi="Times New Roman"/>
                      <w:sz w:val="21"/>
                      <w:szCs w:val="21"/>
                    </w:rPr>
                  </w:pPr>
                  <w:r>
                    <w:rPr>
                      <w:rFonts w:hint="eastAsia" w:ascii="Times New Roman" w:hAnsi="Times New Roman"/>
                      <w:sz w:val="21"/>
                      <w:szCs w:val="21"/>
                    </w:rPr>
                    <w:t>410</w:t>
                  </w:r>
                </w:p>
              </w:tc>
              <w:tc>
                <w:tcPr>
                  <w:tcW w:w="724" w:type="pct"/>
                  <w:vAlign w:val="center"/>
                </w:tcPr>
                <w:p>
                  <w:pPr>
                    <w:pStyle w:val="60"/>
                    <w:rPr>
                      <w:rFonts w:ascii="Times New Roman" w:hAnsi="Times New Roman"/>
                      <w:sz w:val="21"/>
                      <w:szCs w:val="21"/>
                    </w:rPr>
                  </w:pPr>
                  <w:r>
                    <w:rPr>
                      <w:rFonts w:hint="eastAsia" w:ascii="Times New Roman" w:hAnsi="Times New Roman"/>
                      <w:sz w:val="21"/>
                      <w:szCs w:val="21"/>
                    </w:rPr>
                    <w:t>250人</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8" w:type="pct"/>
                  <w:vMerge w:val="continue"/>
                  <w:vAlign w:val="center"/>
                </w:tcPr>
                <w:p>
                  <w:pPr>
                    <w:jc w:val="center"/>
                    <w:rPr>
                      <w:bCs/>
                      <w:szCs w:val="21"/>
                    </w:rPr>
                  </w:pPr>
                </w:p>
              </w:tc>
              <w:tc>
                <w:tcPr>
                  <w:tcW w:w="977" w:type="pct"/>
                  <w:vAlign w:val="center"/>
                </w:tcPr>
                <w:p>
                  <w:pPr>
                    <w:adjustRightInd w:val="0"/>
                    <w:snapToGrid w:val="0"/>
                    <w:jc w:val="center"/>
                    <w:rPr>
                      <w:szCs w:val="21"/>
                    </w:rPr>
                  </w:pPr>
                  <w:r>
                    <w:rPr>
                      <w:rFonts w:hint="eastAsia"/>
                      <w:szCs w:val="21"/>
                    </w:rPr>
                    <w:t>李家村</w:t>
                  </w:r>
                </w:p>
              </w:tc>
              <w:tc>
                <w:tcPr>
                  <w:tcW w:w="555" w:type="pct"/>
                  <w:vMerge w:val="continue"/>
                  <w:vAlign w:val="center"/>
                </w:tcPr>
                <w:p>
                  <w:pPr>
                    <w:jc w:val="center"/>
                    <w:rPr>
                      <w:bCs/>
                      <w:szCs w:val="21"/>
                    </w:rPr>
                  </w:pPr>
                </w:p>
              </w:tc>
              <w:tc>
                <w:tcPr>
                  <w:tcW w:w="622" w:type="pct"/>
                  <w:vMerge w:val="continue"/>
                  <w:vAlign w:val="center"/>
                </w:tcPr>
                <w:p>
                  <w:pPr>
                    <w:jc w:val="center"/>
                    <w:rPr>
                      <w:bCs/>
                      <w:szCs w:val="21"/>
                    </w:rPr>
                  </w:pPr>
                </w:p>
              </w:tc>
              <w:tc>
                <w:tcPr>
                  <w:tcW w:w="954" w:type="pct"/>
                  <w:vAlign w:val="center"/>
                </w:tcPr>
                <w:p>
                  <w:pPr>
                    <w:adjustRightInd w:val="0"/>
                    <w:snapToGrid w:val="0"/>
                    <w:jc w:val="center"/>
                    <w:rPr>
                      <w:bCs/>
                      <w:szCs w:val="21"/>
                    </w:rPr>
                  </w:pPr>
                  <w:r>
                    <w:rPr>
                      <w:rFonts w:hint="eastAsia"/>
                      <w:bCs/>
                      <w:szCs w:val="21"/>
                    </w:rPr>
                    <w:t>SW</w:t>
                  </w:r>
                </w:p>
              </w:tc>
              <w:tc>
                <w:tcPr>
                  <w:tcW w:w="710" w:type="pct"/>
                  <w:vAlign w:val="center"/>
                </w:tcPr>
                <w:p>
                  <w:pPr>
                    <w:pStyle w:val="60"/>
                    <w:rPr>
                      <w:rFonts w:ascii="Times New Roman" w:hAnsi="Times New Roman"/>
                      <w:sz w:val="21"/>
                      <w:szCs w:val="21"/>
                    </w:rPr>
                  </w:pPr>
                  <w:r>
                    <w:rPr>
                      <w:rFonts w:hint="eastAsia" w:ascii="Times New Roman" w:hAnsi="Times New Roman"/>
                      <w:sz w:val="21"/>
                      <w:szCs w:val="21"/>
                    </w:rPr>
                    <w:t>470</w:t>
                  </w:r>
                </w:p>
              </w:tc>
              <w:tc>
                <w:tcPr>
                  <w:tcW w:w="724" w:type="pct"/>
                  <w:vAlign w:val="center"/>
                </w:tcPr>
                <w:p>
                  <w:pPr>
                    <w:pStyle w:val="60"/>
                    <w:rPr>
                      <w:rFonts w:ascii="Times New Roman" w:hAnsi="Times New Roman"/>
                      <w:sz w:val="21"/>
                      <w:szCs w:val="21"/>
                    </w:rPr>
                  </w:pPr>
                  <w:r>
                    <w:rPr>
                      <w:rFonts w:hint="eastAsia" w:ascii="Times New Roman" w:hAnsi="Times New Roman"/>
                      <w:sz w:val="21"/>
                      <w:szCs w:val="21"/>
                    </w:rPr>
                    <w:t>50人</w:t>
                  </w:r>
                </w:p>
              </w:tc>
            </w:tr>
          </w:tbl>
          <w:p>
            <w:pPr>
              <w:jc w:val="left"/>
              <w:rPr>
                <w:rFonts w:ascii="宋体" w:hAnsi="宋体" w:cs="宋体"/>
                <w:b/>
                <w:szCs w:val="21"/>
              </w:rPr>
            </w:pPr>
            <w:r>
              <w:rPr>
                <w:rFonts w:hint="eastAsia" w:ascii="宋体" w:hAnsi="宋体" w:cs="宋体"/>
                <w:b/>
                <w:szCs w:val="21"/>
              </w:rPr>
              <w:t>注：</w:t>
            </w:r>
            <w:r>
              <w:rPr>
                <w:rFonts w:hint="eastAsia"/>
                <w:b/>
                <w:bCs/>
                <w:szCs w:val="21"/>
              </w:rPr>
              <w:t>本项目以生产车间边界为起点</w:t>
            </w:r>
            <w:r>
              <w:rPr>
                <w:rFonts w:hint="eastAsia" w:ascii="宋体" w:hAnsi="宋体" w:cs="宋体"/>
                <w:b/>
                <w:szCs w:val="21"/>
              </w:rPr>
              <w:t>。</w:t>
            </w:r>
          </w:p>
          <w:p>
            <w:pPr>
              <w:spacing w:line="360" w:lineRule="auto"/>
              <w:ind w:firstLine="480" w:firstLineChars="200"/>
              <w:rPr>
                <w:bCs/>
                <w:sz w:val="24"/>
              </w:rPr>
            </w:pPr>
            <w:r>
              <w:rPr>
                <w:bCs/>
                <w:sz w:val="24"/>
              </w:rPr>
              <w:t>2、声环境</w:t>
            </w:r>
          </w:p>
          <w:p>
            <w:pPr>
              <w:spacing w:line="360" w:lineRule="auto"/>
              <w:ind w:firstLine="480" w:firstLineChars="200"/>
              <w:rPr>
                <w:bCs/>
                <w:sz w:val="24"/>
              </w:rPr>
            </w:pPr>
            <w:r>
              <w:rPr>
                <w:bCs/>
                <w:sz w:val="24"/>
              </w:rPr>
              <w:t>本项目周边50m范围内无环境敏感点。</w:t>
            </w:r>
          </w:p>
          <w:p>
            <w:pPr>
              <w:spacing w:line="360" w:lineRule="auto"/>
              <w:ind w:firstLine="480" w:firstLineChars="200"/>
              <w:rPr>
                <w:bCs/>
                <w:sz w:val="24"/>
              </w:rPr>
            </w:pPr>
            <w:r>
              <w:rPr>
                <w:bCs/>
                <w:sz w:val="24"/>
              </w:rPr>
              <w:t>3、地下水环境</w:t>
            </w:r>
          </w:p>
          <w:p>
            <w:pPr>
              <w:spacing w:line="360" w:lineRule="auto"/>
              <w:ind w:firstLine="480" w:firstLineChars="200"/>
              <w:rPr>
                <w:bCs/>
                <w:sz w:val="24"/>
              </w:rPr>
            </w:pPr>
            <w:r>
              <w:rPr>
                <w:bCs/>
                <w:sz w:val="24"/>
              </w:rPr>
              <w:t>厂界外500m范围内无地下水集中式饮用水水源和热水、矿泉水、温泉等特殊地下水资源。</w:t>
            </w:r>
          </w:p>
          <w:p>
            <w:pPr>
              <w:adjustRightInd w:val="0"/>
              <w:snapToGrid w:val="0"/>
              <w:spacing w:line="360" w:lineRule="auto"/>
              <w:ind w:firstLine="482"/>
              <w:rPr>
                <w:bCs/>
                <w:sz w:val="24"/>
              </w:rPr>
            </w:pPr>
            <w:r>
              <w:rPr>
                <w:bCs/>
                <w:sz w:val="24"/>
              </w:rPr>
              <w:t>4、生态环境</w:t>
            </w:r>
          </w:p>
          <w:p>
            <w:pPr>
              <w:pStyle w:val="2"/>
              <w:spacing w:before="0" w:beforeAutospacing="0" w:after="0" w:afterAutospacing="0" w:line="360" w:lineRule="auto"/>
              <w:ind w:left="0" w:leftChars="0" w:right="0" w:firstLine="480"/>
              <w:rPr>
                <w:rFonts w:ascii="Times New Roman" w:hAnsi="Times New Roman" w:eastAsia="宋体" w:cs="Times New Roman"/>
                <w:bCs/>
                <w:sz w:val="24"/>
                <w:szCs w:val="24"/>
              </w:rPr>
            </w:pPr>
            <w:r>
              <w:rPr>
                <w:rFonts w:ascii="Times New Roman" w:hAnsi="Times New Roman" w:eastAsia="宋体" w:cs="Times New Roman"/>
                <w:bCs/>
                <w:sz w:val="24"/>
                <w:szCs w:val="24"/>
              </w:rPr>
              <w:t>距离本项目最近的国家级生态保护红线区域</w:t>
            </w:r>
            <w:r>
              <w:rPr>
                <w:rFonts w:hint="eastAsia" w:ascii="Times New Roman" w:hAnsi="Times New Roman" w:eastAsia="宋体" w:cs="Times New Roman"/>
                <w:bCs/>
                <w:sz w:val="24"/>
                <w:szCs w:val="24"/>
              </w:rPr>
              <w:t>为滆湖重要湿地（武进区），位于项目西南侧11km处；</w:t>
            </w:r>
            <w:r>
              <w:rPr>
                <w:rFonts w:ascii="Times New Roman" w:hAnsi="Times New Roman" w:eastAsia="宋体" w:cs="Times New Roman"/>
                <w:bCs/>
                <w:sz w:val="24"/>
                <w:szCs w:val="24"/>
              </w:rPr>
              <w:t>距离本项目最近的江苏省生态空间管控区域为</w:t>
            </w:r>
            <w:r>
              <w:rPr>
                <w:rFonts w:hint="eastAsia" w:ascii="Times New Roman" w:hAnsi="Times New Roman" w:eastAsia="宋体" w:cs="Times New Roman"/>
                <w:bCs/>
                <w:sz w:val="24"/>
                <w:szCs w:val="24"/>
              </w:rPr>
              <w:t>宋剑湖湿地公园</w:t>
            </w:r>
            <w:r>
              <w:rPr>
                <w:rFonts w:ascii="Times New Roman" w:hAnsi="Times New Roman" w:eastAsia="宋体" w:cs="Times New Roman"/>
                <w:bCs/>
                <w:sz w:val="24"/>
                <w:szCs w:val="24"/>
              </w:rPr>
              <w:t>，位于项</w:t>
            </w:r>
            <w:r>
              <w:rPr>
                <w:rFonts w:hint="eastAsia" w:ascii="Times New Roman" w:hAnsi="Times New Roman" w:eastAsia="宋体" w:cs="Times New Roman"/>
                <w:bCs/>
                <w:sz w:val="24"/>
                <w:szCs w:val="24"/>
              </w:rPr>
              <w:t>目东北</w:t>
            </w:r>
            <w:r>
              <w:rPr>
                <w:rFonts w:ascii="Times New Roman" w:hAnsi="Times New Roman" w:eastAsia="宋体" w:cs="Times New Roman"/>
                <w:bCs/>
                <w:sz w:val="24"/>
                <w:szCs w:val="24"/>
              </w:rPr>
              <w:t>侧</w:t>
            </w:r>
            <w:r>
              <w:rPr>
                <w:rFonts w:hint="eastAsia" w:ascii="Times New Roman" w:hAnsi="Times New Roman" w:eastAsia="宋体" w:cs="Times New Roman"/>
                <w:bCs/>
                <w:sz w:val="24"/>
                <w:szCs w:val="24"/>
              </w:rPr>
              <w:t>4.5</w:t>
            </w:r>
            <w:r>
              <w:rPr>
                <w:rFonts w:ascii="Times New Roman" w:hAnsi="Times New Roman" w:eastAsia="宋体" w:cs="Times New Roman"/>
                <w:bCs/>
                <w:sz w:val="24"/>
                <w:szCs w:val="24"/>
              </w:rPr>
              <w:t>km处，故不涉及生态环境保护目标</w:t>
            </w:r>
            <w:r>
              <w:rPr>
                <w:rFonts w:hint="eastAsia" w:ascii="Times New Roman" w:hAnsi="Times New Roman" w:eastAsia="宋体" w:cs="Times New Roman"/>
                <w:bCs/>
                <w:sz w:val="24"/>
                <w:szCs w:val="24"/>
              </w:rPr>
              <w:t>。</w:t>
            </w:r>
          </w:p>
          <w:p>
            <w:pPr>
              <w:jc w:val="left"/>
              <w:rPr>
                <w:rFonts w:ascii="宋体" w:hAnsi="宋体" w:cs="宋体"/>
                <w:kern w:val="0"/>
                <w:szCs w:val="21"/>
              </w:rPr>
            </w:pPr>
          </w:p>
          <w:p>
            <w:pPr>
              <w:pStyle w:val="2"/>
              <w:ind w:left="-84" w:firstLine="560"/>
              <w:rPr>
                <w:rFonts w:eastAsiaTheme="minorEastAsia"/>
              </w:rPr>
            </w:pPr>
          </w:p>
          <w:p>
            <w:pPr>
              <w:pStyle w:val="2"/>
              <w:ind w:left="-84" w:firstLine="560"/>
              <w:rPr>
                <w:rFonts w:eastAsiaTheme="minorEastAsia"/>
              </w:rPr>
            </w:pPr>
          </w:p>
          <w:p>
            <w:pPr>
              <w:pStyle w:val="2"/>
              <w:ind w:left="-84" w:firstLine="560"/>
              <w:rPr>
                <w:rFonts w:eastAsiaTheme="minorEastAsia"/>
              </w:rPr>
            </w:pPr>
          </w:p>
          <w:p>
            <w:pPr>
              <w:pStyle w:val="2"/>
              <w:ind w:left="-84" w:firstLine="560"/>
              <w:rPr>
                <w:rFonts w:eastAsiaTheme="minorEastAsia"/>
              </w:rPr>
            </w:pPr>
          </w:p>
          <w:p>
            <w:pPr>
              <w:pStyle w:val="2"/>
              <w:ind w:left="-84" w:firstLine="560"/>
              <w:rPr>
                <w:rFonts w:eastAsiaTheme="minorEastAsia"/>
              </w:rPr>
            </w:pPr>
          </w:p>
          <w:p>
            <w:pPr>
              <w:pStyle w:val="2"/>
              <w:ind w:left="-84" w:firstLine="560"/>
              <w:rPr>
                <w:rFonts w:eastAsiaTheme="minorEastAsia"/>
              </w:rPr>
            </w:pPr>
          </w:p>
          <w:p>
            <w:pPr>
              <w:pStyle w:val="2"/>
              <w:ind w:left="-84" w:firstLine="560"/>
              <w:rPr>
                <w:rFonts w:eastAsiaTheme="minorEastAsia"/>
              </w:rPr>
            </w:pPr>
          </w:p>
          <w:p>
            <w:pPr>
              <w:pStyle w:val="2"/>
              <w:ind w:left="-84" w:firstLine="560"/>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4" w:hRule="atLeast"/>
          <w:jc w:val="center"/>
        </w:trPr>
        <w:tc>
          <w:tcPr>
            <w:tcW w:w="800" w:type="dxa"/>
            <w:tcMar>
              <w:left w:w="28" w:type="dxa"/>
              <w:right w:w="28" w:type="dxa"/>
            </w:tcMar>
            <w:vAlign w:val="center"/>
          </w:tcPr>
          <w:p>
            <w:pPr>
              <w:adjustRightInd w:val="0"/>
              <w:snapToGrid w:val="0"/>
              <w:jc w:val="center"/>
              <w:rPr>
                <w:rFonts w:ascii="宋体" w:hAnsi="宋体" w:cs="宋体"/>
                <w:kern w:val="0"/>
                <w:szCs w:val="21"/>
              </w:rPr>
            </w:pPr>
            <w:r>
              <w:rPr>
                <w:rFonts w:hint="eastAsia" w:ascii="宋体" w:hAnsi="宋体" w:cs="宋体"/>
                <w:kern w:val="0"/>
                <w:szCs w:val="21"/>
              </w:rPr>
              <w:t>污染</w:t>
            </w:r>
          </w:p>
          <w:p>
            <w:pPr>
              <w:adjustRightInd w:val="0"/>
              <w:snapToGrid w:val="0"/>
              <w:jc w:val="center"/>
              <w:rPr>
                <w:rFonts w:ascii="宋体" w:hAnsi="宋体" w:cs="宋体"/>
                <w:kern w:val="0"/>
                <w:szCs w:val="21"/>
              </w:rPr>
            </w:pPr>
            <w:r>
              <w:rPr>
                <w:rFonts w:hint="eastAsia" w:ascii="宋体" w:hAnsi="宋体" w:cs="宋体"/>
                <w:kern w:val="0"/>
                <w:szCs w:val="21"/>
              </w:rPr>
              <w:t>物排</w:t>
            </w:r>
          </w:p>
          <w:p>
            <w:pPr>
              <w:adjustRightInd w:val="0"/>
              <w:snapToGrid w:val="0"/>
              <w:jc w:val="center"/>
              <w:rPr>
                <w:rFonts w:ascii="宋体" w:hAnsi="宋体" w:cs="宋体"/>
                <w:kern w:val="0"/>
                <w:szCs w:val="21"/>
              </w:rPr>
            </w:pPr>
            <w:r>
              <w:rPr>
                <w:rFonts w:hint="eastAsia" w:ascii="宋体" w:hAnsi="宋体" w:cs="宋体"/>
                <w:kern w:val="0"/>
                <w:szCs w:val="21"/>
              </w:rPr>
              <w:t>放控</w:t>
            </w:r>
          </w:p>
          <w:p>
            <w:pPr>
              <w:adjustRightInd w:val="0"/>
              <w:snapToGrid w:val="0"/>
              <w:jc w:val="center"/>
              <w:rPr>
                <w:rFonts w:ascii="宋体" w:hAnsi="宋体" w:cs="宋体"/>
                <w:kern w:val="0"/>
                <w:szCs w:val="21"/>
              </w:rPr>
            </w:pPr>
            <w:r>
              <w:rPr>
                <w:rFonts w:hint="eastAsia" w:ascii="宋体" w:hAnsi="宋体" w:cs="宋体"/>
                <w:kern w:val="0"/>
                <w:szCs w:val="21"/>
              </w:rPr>
              <w:t>制标</w:t>
            </w:r>
          </w:p>
          <w:p>
            <w:pPr>
              <w:adjustRightInd w:val="0"/>
              <w:snapToGrid w:val="0"/>
              <w:jc w:val="center"/>
              <w:rPr>
                <w:rFonts w:ascii="宋体" w:hAnsi="宋体" w:cs="宋体"/>
                <w:kern w:val="0"/>
                <w:szCs w:val="21"/>
              </w:rPr>
            </w:pPr>
            <w:r>
              <w:rPr>
                <w:rFonts w:hint="eastAsia" w:ascii="宋体" w:hAnsi="宋体" w:cs="宋体"/>
                <w:kern w:val="0"/>
                <w:szCs w:val="21"/>
              </w:rPr>
              <w:t>准</w:t>
            </w:r>
          </w:p>
        </w:tc>
        <w:tc>
          <w:tcPr>
            <w:tcW w:w="8190" w:type="dxa"/>
            <w:vAlign w:val="center"/>
          </w:tcPr>
          <w:p>
            <w:pPr>
              <w:adjustRightInd w:val="0"/>
              <w:snapToGrid w:val="0"/>
              <w:spacing w:line="360" w:lineRule="auto"/>
              <w:rPr>
                <w:b/>
                <w:sz w:val="24"/>
              </w:rPr>
            </w:pPr>
            <w:r>
              <w:rPr>
                <w:rFonts w:hint="eastAsia"/>
                <w:b/>
                <w:sz w:val="24"/>
              </w:rPr>
              <w:t>1、</w:t>
            </w:r>
            <w:r>
              <w:rPr>
                <w:b/>
                <w:sz w:val="24"/>
              </w:rPr>
              <w:t>废水</w:t>
            </w:r>
            <w:r>
              <w:rPr>
                <w:rFonts w:hint="eastAsia"/>
                <w:b/>
                <w:sz w:val="24"/>
              </w:rPr>
              <w:t>排放标准</w:t>
            </w:r>
          </w:p>
          <w:p>
            <w:pPr>
              <w:snapToGrid w:val="0"/>
              <w:spacing w:line="360" w:lineRule="auto"/>
              <w:ind w:firstLine="480" w:firstLineChars="200"/>
              <w:rPr>
                <w:bCs/>
                <w:sz w:val="24"/>
              </w:rPr>
            </w:pPr>
            <w:r>
              <w:rPr>
                <w:bCs/>
                <w:sz w:val="24"/>
              </w:rPr>
              <w:t>项目</w:t>
            </w:r>
            <w:r>
              <w:rPr>
                <w:rFonts w:hint="eastAsia"/>
                <w:bCs/>
                <w:sz w:val="24"/>
              </w:rPr>
              <w:t>食堂废水经隔油池处理后与</w:t>
            </w:r>
            <w:r>
              <w:rPr>
                <w:bCs/>
                <w:sz w:val="24"/>
              </w:rPr>
              <w:t>生活污水接入污水管网，排入武南污水处理厂集中处理，尾水排入武南河。武南污水处理厂接管标准执行《污水排入城镇下水道水质标准》（GB/T31962-2015）表1中B级标准。污水厂尾水排放执行《太湖地区城镇污水处理厂及重点工业行业主要水污染物排放限值》（DB32/1072-2018）的表2标准，上述未作规定的项目执行《城镇污水处理厂污染物排放标准》GB18918-2002）中表1一级A标准，标准值如下：</w:t>
            </w:r>
          </w:p>
          <w:p>
            <w:pPr>
              <w:adjustRightInd w:val="0"/>
              <w:snapToGrid w:val="0"/>
              <w:jc w:val="center"/>
              <w:rPr>
                <w:b/>
                <w:sz w:val="24"/>
              </w:rPr>
            </w:pPr>
            <w:r>
              <w:rPr>
                <w:b/>
                <w:sz w:val="24"/>
              </w:rPr>
              <w:t>表3-</w:t>
            </w:r>
            <w:r>
              <w:rPr>
                <w:rFonts w:hint="eastAsia"/>
                <w:b/>
                <w:sz w:val="24"/>
              </w:rPr>
              <w:t>5</w:t>
            </w:r>
            <w:r>
              <w:rPr>
                <w:b/>
                <w:sz w:val="24"/>
              </w:rPr>
              <w:t xml:space="preserve"> 水污染物排放标准</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23"/>
              <w:gridCol w:w="2891"/>
              <w:gridCol w:w="1000"/>
              <w:gridCol w:w="1076"/>
              <w:gridCol w:w="722"/>
              <w:gridCol w:w="96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tcMar>
                    <w:left w:w="0" w:type="dxa"/>
                    <w:right w:w="0" w:type="dxa"/>
                  </w:tcMar>
                  <w:vAlign w:val="center"/>
                </w:tcPr>
                <w:p>
                  <w:pPr>
                    <w:adjustRightInd w:val="0"/>
                    <w:jc w:val="center"/>
                    <w:rPr>
                      <w:b/>
                      <w:szCs w:val="21"/>
                    </w:rPr>
                  </w:pPr>
                  <w:r>
                    <w:rPr>
                      <w:b/>
                      <w:szCs w:val="21"/>
                    </w:rPr>
                    <w:t>排放口</w:t>
                  </w:r>
                </w:p>
                <w:p>
                  <w:pPr>
                    <w:adjustRightInd w:val="0"/>
                    <w:jc w:val="center"/>
                    <w:rPr>
                      <w:b/>
                      <w:szCs w:val="21"/>
                    </w:rPr>
                  </w:pPr>
                  <w:r>
                    <w:rPr>
                      <w:b/>
                      <w:szCs w:val="21"/>
                    </w:rPr>
                    <w:t>名称</w:t>
                  </w:r>
                </w:p>
              </w:tc>
              <w:tc>
                <w:tcPr>
                  <w:tcW w:w="3016" w:type="dxa"/>
                  <w:vAlign w:val="center"/>
                </w:tcPr>
                <w:p>
                  <w:pPr>
                    <w:adjustRightInd w:val="0"/>
                    <w:jc w:val="center"/>
                    <w:rPr>
                      <w:b/>
                      <w:szCs w:val="21"/>
                    </w:rPr>
                  </w:pPr>
                  <w:r>
                    <w:rPr>
                      <w:b/>
                      <w:szCs w:val="21"/>
                    </w:rPr>
                    <w:t>执行标准</w:t>
                  </w:r>
                </w:p>
              </w:tc>
              <w:tc>
                <w:tcPr>
                  <w:tcW w:w="1088" w:type="dxa"/>
                  <w:tcMar>
                    <w:left w:w="0" w:type="dxa"/>
                    <w:right w:w="0" w:type="dxa"/>
                  </w:tcMar>
                  <w:vAlign w:val="center"/>
                </w:tcPr>
                <w:p>
                  <w:pPr>
                    <w:adjustRightInd w:val="0"/>
                    <w:jc w:val="center"/>
                    <w:rPr>
                      <w:b/>
                      <w:szCs w:val="21"/>
                    </w:rPr>
                  </w:pPr>
                  <w:r>
                    <w:rPr>
                      <w:b/>
                      <w:szCs w:val="21"/>
                    </w:rPr>
                    <w:t>取值表号及级别</w:t>
                  </w:r>
                </w:p>
              </w:tc>
              <w:tc>
                <w:tcPr>
                  <w:tcW w:w="1120" w:type="dxa"/>
                  <w:vAlign w:val="center"/>
                </w:tcPr>
                <w:p>
                  <w:pPr>
                    <w:adjustRightInd w:val="0"/>
                    <w:jc w:val="center"/>
                    <w:rPr>
                      <w:b/>
                      <w:szCs w:val="21"/>
                    </w:rPr>
                  </w:pPr>
                  <w:r>
                    <w:rPr>
                      <w:b/>
                      <w:szCs w:val="21"/>
                    </w:rPr>
                    <w:t>污染物指标</w:t>
                  </w:r>
                </w:p>
              </w:tc>
              <w:tc>
                <w:tcPr>
                  <w:tcW w:w="730" w:type="dxa"/>
                  <w:vAlign w:val="center"/>
                </w:tcPr>
                <w:p>
                  <w:pPr>
                    <w:adjustRightInd w:val="0"/>
                    <w:jc w:val="center"/>
                    <w:rPr>
                      <w:b/>
                      <w:szCs w:val="21"/>
                    </w:rPr>
                  </w:pPr>
                  <w:r>
                    <w:rPr>
                      <w:b/>
                      <w:szCs w:val="21"/>
                    </w:rPr>
                    <w:t>单位</w:t>
                  </w:r>
                </w:p>
              </w:tc>
              <w:tc>
                <w:tcPr>
                  <w:tcW w:w="981" w:type="dxa"/>
                  <w:vAlign w:val="center"/>
                </w:tcPr>
                <w:p>
                  <w:pPr>
                    <w:adjustRightInd w:val="0"/>
                    <w:jc w:val="center"/>
                    <w:rPr>
                      <w:b/>
                      <w:szCs w:val="21"/>
                    </w:rPr>
                  </w:pPr>
                  <w:r>
                    <w:rPr>
                      <w:b/>
                      <w:szCs w:val="21"/>
                    </w:rPr>
                    <w:t>标准限值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restart"/>
                  <w:vAlign w:val="center"/>
                </w:tcPr>
                <w:p>
                  <w:pPr>
                    <w:adjustRightInd w:val="0"/>
                    <w:jc w:val="center"/>
                    <w:rPr>
                      <w:bCs/>
                      <w:szCs w:val="21"/>
                    </w:rPr>
                  </w:pPr>
                  <w:r>
                    <w:rPr>
                      <w:bCs/>
                      <w:szCs w:val="21"/>
                    </w:rPr>
                    <w:t>污水口</w:t>
                  </w:r>
                </w:p>
              </w:tc>
              <w:tc>
                <w:tcPr>
                  <w:tcW w:w="3016" w:type="dxa"/>
                  <w:vMerge w:val="restart"/>
                  <w:vAlign w:val="center"/>
                </w:tcPr>
                <w:p>
                  <w:pPr>
                    <w:adjustRightInd w:val="0"/>
                    <w:jc w:val="center"/>
                    <w:rPr>
                      <w:bCs/>
                      <w:szCs w:val="21"/>
                    </w:rPr>
                  </w:pPr>
                  <w:r>
                    <w:rPr>
                      <w:bCs/>
                      <w:szCs w:val="21"/>
                    </w:rPr>
                    <w:t>《污水排入城镇下水道水质标准》（GB/T31962-2015）</w:t>
                  </w:r>
                </w:p>
              </w:tc>
              <w:tc>
                <w:tcPr>
                  <w:tcW w:w="1088" w:type="dxa"/>
                  <w:vMerge w:val="restart"/>
                  <w:vAlign w:val="center"/>
                </w:tcPr>
                <w:p>
                  <w:pPr>
                    <w:adjustRightInd w:val="0"/>
                    <w:jc w:val="center"/>
                    <w:rPr>
                      <w:bCs/>
                      <w:szCs w:val="21"/>
                    </w:rPr>
                  </w:pPr>
                  <w:r>
                    <w:rPr>
                      <w:bCs/>
                      <w:szCs w:val="21"/>
                    </w:rPr>
                    <w:t>表1B级标准</w:t>
                  </w:r>
                </w:p>
              </w:tc>
              <w:tc>
                <w:tcPr>
                  <w:tcW w:w="1120" w:type="dxa"/>
                  <w:vAlign w:val="center"/>
                </w:tcPr>
                <w:p>
                  <w:pPr>
                    <w:adjustRightInd w:val="0"/>
                    <w:jc w:val="center"/>
                    <w:rPr>
                      <w:bCs/>
                      <w:szCs w:val="21"/>
                    </w:rPr>
                  </w:pPr>
                  <w:r>
                    <w:rPr>
                      <w:bCs/>
                      <w:szCs w:val="21"/>
                    </w:rPr>
                    <w:t>COD</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continue"/>
                  <w:vAlign w:val="center"/>
                </w:tcPr>
                <w:p>
                  <w:pPr>
                    <w:adjustRightInd w:val="0"/>
                    <w:jc w:val="center"/>
                    <w:rPr>
                      <w:bCs/>
                      <w:szCs w:val="21"/>
                    </w:rPr>
                  </w:pPr>
                </w:p>
              </w:tc>
              <w:tc>
                <w:tcPr>
                  <w:tcW w:w="1088" w:type="dxa"/>
                  <w:vMerge w:val="continue"/>
                  <w:vAlign w:val="center"/>
                </w:tcPr>
                <w:p>
                  <w:pPr>
                    <w:adjustRightInd w:val="0"/>
                    <w:jc w:val="center"/>
                    <w:rPr>
                      <w:bCs/>
                      <w:szCs w:val="21"/>
                    </w:rPr>
                  </w:pPr>
                </w:p>
              </w:tc>
              <w:tc>
                <w:tcPr>
                  <w:tcW w:w="1120" w:type="dxa"/>
                  <w:vAlign w:val="center"/>
                </w:tcPr>
                <w:p>
                  <w:pPr>
                    <w:adjustRightInd w:val="0"/>
                    <w:jc w:val="center"/>
                    <w:rPr>
                      <w:bCs/>
                      <w:szCs w:val="21"/>
                    </w:rPr>
                  </w:pPr>
                  <w:r>
                    <w:rPr>
                      <w:bCs/>
                      <w:szCs w:val="21"/>
                    </w:rPr>
                    <w:t>SS</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continue"/>
                  <w:vAlign w:val="center"/>
                </w:tcPr>
                <w:p>
                  <w:pPr>
                    <w:adjustRightInd w:val="0"/>
                    <w:jc w:val="center"/>
                    <w:rPr>
                      <w:bCs/>
                      <w:szCs w:val="21"/>
                    </w:rPr>
                  </w:pPr>
                </w:p>
              </w:tc>
              <w:tc>
                <w:tcPr>
                  <w:tcW w:w="1088" w:type="dxa"/>
                  <w:vMerge w:val="continue"/>
                  <w:vAlign w:val="center"/>
                </w:tcPr>
                <w:p>
                  <w:pPr>
                    <w:adjustRightInd w:val="0"/>
                    <w:jc w:val="center"/>
                    <w:rPr>
                      <w:bCs/>
                      <w:szCs w:val="21"/>
                    </w:rPr>
                  </w:pPr>
                </w:p>
              </w:tc>
              <w:tc>
                <w:tcPr>
                  <w:tcW w:w="1120" w:type="dxa"/>
                  <w:vAlign w:val="center"/>
                </w:tcPr>
                <w:p>
                  <w:pPr>
                    <w:adjustRightInd w:val="0"/>
                    <w:jc w:val="center"/>
                    <w:rPr>
                      <w:bCs/>
                      <w:szCs w:val="21"/>
                    </w:rPr>
                  </w:pPr>
                  <w:r>
                    <w:rPr>
                      <w:bCs/>
                      <w:szCs w:val="21"/>
                    </w:rPr>
                    <w:t>TP</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continue"/>
                  <w:vAlign w:val="center"/>
                </w:tcPr>
                <w:p>
                  <w:pPr>
                    <w:adjustRightInd w:val="0"/>
                    <w:jc w:val="center"/>
                    <w:rPr>
                      <w:bCs/>
                      <w:szCs w:val="21"/>
                    </w:rPr>
                  </w:pPr>
                </w:p>
              </w:tc>
              <w:tc>
                <w:tcPr>
                  <w:tcW w:w="1088" w:type="dxa"/>
                  <w:vMerge w:val="continue"/>
                  <w:vAlign w:val="center"/>
                </w:tcPr>
                <w:p>
                  <w:pPr>
                    <w:adjustRightInd w:val="0"/>
                    <w:jc w:val="center"/>
                    <w:rPr>
                      <w:bCs/>
                      <w:szCs w:val="21"/>
                    </w:rPr>
                  </w:pPr>
                </w:p>
              </w:tc>
              <w:tc>
                <w:tcPr>
                  <w:tcW w:w="1120" w:type="dxa"/>
                  <w:vAlign w:val="center"/>
                </w:tcPr>
                <w:p>
                  <w:pPr>
                    <w:adjustRightInd w:val="0"/>
                    <w:jc w:val="center"/>
                    <w:rPr>
                      <w:bCs/>
                      <w:szCs w:val="21"/>
                    </w:rPr>
                  </w:pPr>
                  <w:r>
                    <w:rPr>
                      <w:bCs/>
                      <w:szCs w:val="21"/>
                    </w:rPr>
                    <w:t>NH</w:t>
                  </w:r>
                  <w:r>
                    <w:rPr>
                      <w:bCs/>
                      <w:szCs w:val="21"/>
                      <w:vertAlign w:val="subscript"/>
                    </w:rPr>
                    <w:t>3</w:t>
                  </w:r>
                  <w:r>
                    <w:rPr>
                      <w:bCs/>
                      <w:szCs w:val="21"/>
                    </w:rPr>
                    <w:t>-N</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continue"/>
                  <w:vAlign w:val="center"/>
                </w:tcPr>
                <w:p>
                  <w:pPr>
                    <w:adjustRightInd w:val="0"/>
                    <w:jc w:val="center"/>
                    <w:rPr>
                      <w:bCs/>
                      <w:szCs w:val="21"/>
                    </w:rPr>
                  </w:pPr>
                </w:p>
              </w:tc>
              <w:tc>
                <w:tcPr>
                  <w:tcW w:w="1088" w:type="dxa"/>
                  <w:vMerge w:val="continue"/>
                  <w:vAlign w:val="center"/>
                </w:tcPr>
                <w:p>
                  <w:pPr>
                    <w:adjustRightInd w:val="0"/>
                    <w:jc w:val="center"/>
                    <w:rPr>
                      <w:bCs/>
                      <w:szCs w:val="21"/>
                    </w:rPr>
                  </w:pPr>
                </w:p>
              </w:tc>
              <w:tc>
                <w:tcPr>
                  <w:tcW w:w="1120" w:type="dxa"/>
                  <w:vAlign w:val="center"/>
                </w:tcPr>
                <w:p>
                  <w:pPr>
                    <w:adjustRightInd w:val="0"/>
                    <w:jc w:val="center"/>
                    <w:rPr>
                      <w:bCs/>
                      <w:szCs w:val="21"/>
                    </w:rPr>
                  </w:pPr>
                  <w:r>
                    <w:rPr>
                      <w:bCs/>
                      <w:szCs w:val="21"/>
                    </w:rPr>
                    <w:t>TN</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continue"/>
                  <w:vAlign w:val="center"/>
                </w:tcPr>
                <w:p>
                  <w:pPr>
                    <w:adjustRightInd w:val="0"/>
                    <w:jc w:val="center"/>
                    <w:rPr>
                      <w:bCs/>
                      <w:szCs w:val="21"/>
                    </w:rPr>
                  </w:pPr>
                </w:p>
              </w:tc>
              <w:tc>
                <w:tcPr>
                  <w:tcW w:w="1088" w:type="dxa"/>
                  <w:vMerge w:val="continue"/>
                  <w:vAlign w:val="center"/>
                </w:tcPr>
                <w:p>
                  <w:pPr>
                    <w:adjustRightInd w:val="0"/>
                    <w:jc w:val="center"/>
                    <w:rPr>
                      <w:bCs/>
                      <w:szCs w:val="21"/>
                    </w:rPr>
                  </w:pPr>
                </w:p>
              </w:tc>
              <w:tc>
                <w:tcPr>
                  <w:tcW w:w="1120" w:type="dxa"/>
                  <w:vAlign w:val="center"/>
                </w:tcPr>
                <w:p>
                  <w:pPr>
                    <w:snapToGrid w:val="0"/>
                    <w:jc w:val="center"/>
                    <w:rPr>
                      <w:bCs/>
                      <w:szCs w:val="21"/>
                    </w:rPr>
                  </w:pPr>
                  <w:r>
                    <w:rPr>
                      <w:szCs w:val="21"/>
                    </w:rPr>
                    <w:t>动植物油</w:t>
                  </w:r>
                </w:p>
              </w:tc>
              <w:tc>
                <w:tcPr>
                  <w:tcW w:w="730" w:type="dxa"/>
                  <w:vAlign w:val="center"/>
                </w:tcPr>
                <w:p>
                  <w:pPr>
                    <w:adjustRightInd w:val="0"/>
                    <w:jc w:val="center"/>
                    <w:rPr>
                      <w:bCs/>
                      <w:szCs w:val="21"/>
                    </w:rPr>
                  </w:pPr>
                  <w:r>
                    <w:rPr>
                      <w:bCs/>
                      <w:szCs w:val="21"/>
                    </w:rPr>
                    <w:t>mg/L</w:t>
                  </w:r>
                </w:p>
              </w:tc>
              <w:tc>
                <w:tcPr>
                  <w:tcW w:w="981" w:type="dxa"/>
                  <w:vAlign w:val="center"/>
                </w:tcPr>
                <w:p>
                  <w:pPr>
                    <w:snapToGrid w:val="0"/>
                    <w:jc w:val="center"/>
                    <w:rPr>
                      <w:bCs/>
                      <w:szCs w:val="21"/>
                    </w:rPr>
                  </w:pPr>
                  <w:r>
                    <w:rPr>
                      <w:szCs w:val="21"/>
                    </w:rPr>
                    <w:t>100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471" w:type="dxa"/>
                  <w:vMerge w:val="restart"/>
                  <w:vAlign w:val="center"/>
                </w:tcPr>
                <w:p>
                  <w:pPr>
                    <w:adjustRightInd w:val="0"/>
                    <w:jc w:val="center"/>
                    <w:rPr>
                      <w:bCs/>
                      <w:szCs w:val="21"/>
                    </w:rPr>
                  </w:pPr>
                  <w:r>
                    <w:rPr>
                      <w:bCs/>
                      <w:szCs w:val="21"/>
                    </w:rPr>
                    <w:t>污水处理厂排口</w:t>
                  </w:r>
                </w:p>
              </w:tc>
              <w:tc>
                <w:tcPr>
                  <w:tcW w:w="3016" w:type="dxa"/>
                  <w:vMerge w:val="restart"/>
                  <w:vAlign w:val="center"/>
                </w:tcPr>
                <w:p>
                  <w:pPr>
                    <w:adjustRightInd w:val="0"/>
                    <w:jc w:val="center"/>
                    <w:rPr>
                      <w:bCs/>
                      <w:szCs w:val="21"/>
                    </w:rPr>
                  </w:pPr>
                  <w:r>
                    <w:rPr>
                      <w:bCs/>
                      <w:szCs w:val="21"/>
                    </w:rPr>
                    <w:t>《城镇污水处理厂污染物排放标准》(GB18918-2002)</w:t>
                  </w:r>
                </w:p>
              </w:tc>
              <w:tc>
                <w:tcPr>
                  <w:tcW w:w="1088" w:type="dxa"/>
                  <w:vMerge w:val="restart"/>
                  <w:vAlign w:val="center"/>
                </w:tcPr>
                <w:p>
                  <w:pPr>
                    <w:adjustRightInd w:val="0"/>
                    <w:jc w:val="center"/>
                    <w:rPr>
                      <w:bCs/>
                      <w:szCs w:val="21"/>
                    </w:rPr>
                  </w:pPr>
                  <w:r>
                    <w:rPr>
                      <w:bCs/>
                      <w:szCs w:val="21"/>
                    </w:rPr>
                    <w:t>表1</w:t>
                  </w:r>
                </w:p>
                <w:p>
                  <w:pPr>
                    <w:adjustRightInd w:val="0"/>
                    <w:jc w:val="center"/>
                    <w:rPr>
                      <w:bCs/>
                      <w:szCs w:val="21"/>
                    </w:rPr>
                  </w:pPr>
                  <w:r>
                    <w:rPr>
                      <w:bCs/>
                      <w:szCs w:val="21"/>
                    </w:rPr>
                    <w:t>一级A标准</w:t>
                  </w:r>
                </w:p>
              </w:tc>
              <w:tc>
                <w:tcPr>
                  <w:tcW w:w="1120" w:type="dxa"/>
                  <w:vAlign w:val="center"/>
                </w:tcPr>
                <w:p>
                  <w:pPr>
                    <w:adjustRightInd w:val="0"/>
                    <w:jc w:val="center"/>
                    <w:rPr>
                      <w:bCs/>
                      <w:szCs w:val="21"/>
                    </w:rPr>
                  </w:pPr>
                  <w:r>
                    <w:rPr>
                      <w:rFonts w:hint="eastAsia"/>
                      <w:bCs/>
                      <w:szCs w:val="21"/>
                    </w:rPr>
                    <w:t>p</w:t>
                  </w:r>
                  <w:r>
                    <w:rPr>
                      <w:bCs/>
                      <w:szCs w:val="21"/>
                    </w:rPr>
                    <w:t>H</w:t>
                  </w:r>
                </w:p>
              </w:tc>
              <w:tc>
                <w:tcPr>
                  <w:tcW w:w="730" w:type="dxa"/>
                  <w:vAlign w:val="center"/>
                </w:tcPr>
                <w:p>
                  <w:pPr>
                    <w:adjustRightInd w:val="0"/>
                    <w:jc w:val="center"/>
                    <w:rPr>
                      <w:bCs/>
                      <w:szCs w:val="21"/>
                    </w:rPr>
                  </w:pPr>
                  <w:r>
                    <w:rPr>
                      <w:bCs/>
                      <w:szCs w:val="21"/>
                    </w:rPr>
                    <w:t>-</w:t>
                  </w:r>
                </w:p>
              </w:tc>
              <w:tc>
                <w:tcPr>
                  <w:tcW w:w="981" w:type="dxa"/>
                  <w:vAlign w:val="center"/>
                </w:tcPr>
                <w:p>
                  <w:pPr>
                    <w:adjustRightInd w:val="0"/>
                    <w:jc w:val="center"/>
                    <w:rPr>
                      <w:bCs/>
                      <w:szCs w:val="21"/>
                    </w:rPr>
                  </w:pPr>
                  <w:r>
                    <w:rPr>
                      <w:bCs/>
                      <w:szCs w:val="21"/>
                    </w:rPr>
                    <w:t>6-9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continue"/>
                  <w:vAlign w:val="center"/>
                </w:tcPr>
                <w:p>
                  <w:pPr>
                    <w:adjustRightInd w:val="0"/>
                    <w:jc w:val="center"/>
                    <w:rPr>
                      <w:bCs/>
                      <w:szCs w:val="21"/>
                    </w:rPr>
                  </w:pPr>
                </w:p>
              </w:tc>
              <w:tc>
                <w:tcPr>
                  <w:tcW w:w="1088" w:type="dxa"/>
                  <w:vMerge w:val="continue"/>
                  <w:vAlign w:val="center"/>
                </w:tcPr>
                <w:p>
                  <w:pPr>
                    <w:adjustRightInd w:val="0"/>
                    <w:jc w:val="center"/>
                    <w:rPr>
                      <w:bCs/>
                      <w:szCs w:val="21"/>
                    </w:rPr>
                  </w:pPr>
                </w:p>
              </w:tc>
              <w:tc>
                <w:tcPr>
                  <w:tcW w:w="1120" w:type="dxa"/>
                  <w:vAlign w:val="center"/>
                </w:tcPr>
                <w:p>
                  <w:pPr>
                    <w:adjustRightInd w:val="0"/>
                    <w:jc w:val="center"/>
                    <w:rPr>
                      <w:bCs/>
                      <w:szCs w:val="21"/>
                    </w:rPr>
                  </w:pPr>
                  <w:r>
                    <w:rPr>
                      <w:bCs/>
                      <w:szCs w:val="21"/>
                    </w:rPr>
                    <w:t>SS</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continue"/>
                  <w:vAlign w:val="center"/>
                </w:tcPr>
                <w:p>
                  <w:pPr>
                    <w:adjustRightInd w:val="0"/>
                    <w:jc w:val="center"/>
                    <w:rPr>
                      <w:bCs/>
                      <w:szCs w:val="21"/>
                    </w:rPr>
                  </w:pPr>
                </w:p>
              </w:tc>
              <w:tc>
                <w:tcPr>
                  <w:tcW w:w="1088" w:type="dxa"/>
                  <w:vMerge w:val="continue"/>
                  <w:vAlign w:val="center"/>
                </w:tcPr>
                <w:p>
                  <w:pPr>
                    <w:adjustRightInd w:val="0"/>
                    <w:jc w:val="center"/>
                    <w:rPr>
                      <w:bCs/>
                      <w:szCs w:val="21"/>
                    </w:rPr>
                  </w:pPr>
                </w:p>
              </w:tc>
              <w:tc>
                <w:tcPr>
                  <w:tcW w:w="1120" w:type="dxa"/>
                  <w:vAlign w:val="center"/>
                </w:tcPr>
                <w:p>
                  <w:pPr>
                    <w:snapToGrid w:val="0"/>
                    <w:jc w:val="center"/>
                    <w:rPr>
                      <w:bCs/>
                      <w:szCs w:val="21"/>
                    </w:rPr>
                  </w:pPr>
                  <w:r>
                    <w:rPr>
                      <w:szCs w:val="21"/>
                    </w:rPr>
                    <w:t>动植物油</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restart"/>
                  <w:vAlign w:val="center"/>
                </w:tcPr>
                <w:p>
                  <w:pPr>
                    <w:adjustRightInd w:val="0"/>
                    <w:jc w:val="center"/>
                    <w:rPr>
                      <w:bCs/>
                      <w:szCs w:val="21"/>
                    </w:rPr>
                  </w:pPr>
                  <w:r>
                    <w:rPr>
                      <w:bCs/>
                      <w:szCs w:val="21"/>
                    </w:rPr>
                    <w:t>《太湖地区城镇污水处理厂及重点工业行业主要水污染物排放限值》(DB32/1072-2018)</w:t>
                  </w:r>
                </w:p>
              </w:tc>
              <w:tc>
                <w:tcPr>
                  <w:tcW w:w="1088" w:type="dxa"/>
                  <w:vMerge w:val="restart"/>
                  <w:vAlign w:val="center"/>
                </w:tcPr>
                <w:p>
                  <w:pPr>
                    <w:adjustRightInd w:val="0"/>
                    <w:jc w:val="center"/>
                    <w:rPr>
                      <w:bCs/>
                      <w:szCs w:val="21"/>
                    </w:rPr>
                  </w:pPr>
                  <w:r>
                    <w:rPr>
                      <w:bCs/>
                      <w:szCs w:val="21"/>
                    </w:rPr>
                    <w:t>表2</w:t>
                  </w:r>
                </w:p>
              </w:tc>
              <w:tc>
                <w:tcPr>
                  <w:tcW w:w="1120" w:type="dxa"/>
                  <w:vAlign w:val="center"/>
                </w:tcPr>
                <w:p>
                  <w:pPr>
                    <w:adjustRightInd w:val="0"/>
                    <w:jc w:val="center"/>
                    <w:rPr>
                      <w:bCs/>
                      <w:szCs w:val="21"/>
                    </w:rPr>
                  </w:pPr>
                  <w:r>
                    <w:rPr>
                      <w:bCs/>
                      <w:szCs w:val="21"/>
                    </w:rPr>
                    <w:t>COD</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continue"/>
                  <w:vAlign w:val="center"/>
                </w:tcPr>
                <w:p>
                  <w:pPr>
                    <w:adjustRightInd w:val="0"/>
                    <w:jc w:val="center"/>
                    <w:rPr>
                      <w:bCs/>
                      <w:szCs w:val="21"/>
                    </w:rPr>
                  </w:pPr>
                </w:p>
              </w:tc>
              <w:tc>
                <w:tcPr>
                  <w:tcW w:w="1088" w:type="dxa"/>
                  <w:vMerge w:val="continue"/>
                  <w:vAlign w:val="center"/>
                </w:tcPr>
                <w:p>
                  <w:pPr>
                    <w:adjustRightInd w:val="0"/>
                    <w:jc w:val="center"/>
                    <w:rPr>
                      <w:bCs/>
                      <w:szCs w:val="21"/>
                    </w:rPr>
                  </w:pPr>
                </w:p>
              </w:tc>
              <w:tc>
                <w:tcPr>
                  <w:tcW w:w="1120" w:type="dxa"/>
                  <w:vAlign w:val="center"/>
                </w:tcPr>
                <w:p>
                  <w:pPr>
                    <w:adjustRightInd w:val="0"/>
                    <w:jc w:val="center"/>
                    <w:rPr>
                      <w:bCs/>
                      <w:szCs w:val="21"/>
                    </w:rPr>
                  </w:pPr>
                  <w:r>
                    <w:rPr>
                      <w:bCs/>
                      <w:szCs w:val="21"/>
                    </w:rPr>
                    <w:t>NH</w:t>
                  </w:r>
                  <w:r>
                    <w:rPr>
                      <w:bCs/>
                      <w:szCs w:val="21"/>
                      <w:vertAlign w:val="subscript"/>
                    </w:rPr>
                    <w:t>3</w:t>
                  </w:r>
                  <w:r>
                    <w:rPr>
                      <w:bCs/>
                      <w:szCs w:val="21"/>
                    </w:rPr>
                    <w:t>-N</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continue"/>
                  <w:vAlign w:val="center"/>
                </w:tcPr>
                <w:p>
                  <w:pPr>
                    <w:adjustRightInd w:val="0"/>
                    <w:jc w:val="center"/>
                    <w:rPr>
                      <w:bCs/>
                      <w:szCs w:val="21"/>
                    </w:rPr>
                  </w:pPr>
                </w:p>
              </w:tc>
              <w:tc>
                <w:tcPr>
                  <w:tcW w:w="1088" w:type="dxa"/>
                  <w:vMerge w:val="continue"/>
                  <w:vAlign w:val="center"/>
                </w:tcPr>
                <w:p>
                  <w:pPr>
                    <w:adjustRightInd w:val="0"/>
                    <w:jc w:val="center"/>
                    <w:rPr>
                      <w:bCs/>
                      <w:szCs w:val="21"/>
                    </w:rPr>
                  </w:pPr>
                </w:p>
              </w:tc>
              <w:tc>
                <w:tcPr>
                  <w:tcW w:w="1120" w:type="dxa"/>
                  <w:vAlign w:val="center"/>
                </w:tcPr>
                <w:p>
                  <w:pPr>
                    <w:adjustRightInd w:val="0"/>
                    <w:jc w:val="center"/>
                    <w:rPr>
                      <w:bCs/>
                      <w:szCs w:val="21"/>
                    </w:rPr>
                  </w:pPr>
                  <w:r>
                    <w:rPr>
                      <w:bCs/>
                      <w:szCs w:val="21"/>
                    </w:rPr>
                    <w:t>TP</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471" w:type="dxa"/>
                  <w:vMerge w:val="continue"/>
                  <w:vAlign w:val="center"/>
                </w:tcPr>
                <w:p>
                  <w:pPr>
                    <w:adjustRightInd w:val="0"/>
                    <w:jc w:val="center"/>
                    <w:rPr>
                      <w:bCs/>
                      <w:szCs w:val="21"/>
                    </w:rPr>
                  </w:pPr>
                </w:p>
              </w:tc>
              <w:tc>
                <w:tcPr>
                  <w:tcW w:w="3016" w:type="dxa"/>
                  <w:vMerge w:val="continue"/>
                  <w:vAlign w:val="center"/>
                </w:tcPr>
                <w:p>
                  <w:pPr>
                    <w:adjustRightInd w:val="0"/>
                    <w:jc w:val="center"/>
                    <w:rPr>
                      <w:bCs/>
                      <w:szCs w:val="21"/>
                    </w:rPr>
                  </w:pPr>
                </w:p>
              </w:tc>
              <w:tc>
                <w:tcPr>
                  <w:tcW w:w="1088" w:type="dxa"/>
                  <w:vMerge w:val="continue"/>
                  <w:vAlign w:val="center"/>
                </w:tcPr>
                <w:p>
                  <w:pPr>
                    <w:adjustRightInd w:val="0"/>
                    <w:jc w:val="center"/>
                    <w:rPr>
                      <w:bCs/>
                      <w:szCs w:val="21"/>
                    </w:rPr>
                  </w:pPr>
                </w:p>
              </w:tc>
              <w:tc>
                <w:tcPr>
                  <w:tcW w:w="1120" w:type="dxa"/>
                  <w:vAlign w:val="center"/>
                </w:tcPr>
                <w:p>
                  <w:pPr>
                    <w:adjustRightInd w:val="0"/>
                    <w:jc w:val="center"/>
                    <w:rPr>
                      <w:bCs/>
                      <w:szCs w:val="21"/>
                    </w:rPr>
                  </w:pPr>
                  <w:r>
                    <w:rPr>
                      <w:bCs/>
                      <w:szCs w:val="21"/>
                    </w:rPr>
                    <w:t>TN</w:t>
                  </w:r>
                </w:p>
              </w:tc>
              <w:tc>
                <w:tcPr>
                  <w:tcW w:w="730" w:type="dxa"/>
                  <w:vAlign w:val="center"/>
                </w:tcPr>
                <w:p>
                  <w:pPr>
                    <w:adjustRightInd w:val="0"/>
                    <w:jc w:val="center"/>
                    <w:rPr>
                      <w:bCs/>
                      <w:szCs w:val="21"/>
                    </w:rPr>
                  </w:pPr>
                  <w:r>
                    <w:rPr>
                      <w:bCs/>
                      <w:szCs w:val="21"/>
                    </w:rPr>
                    <w:t>mg/L</w:t>
                  </w:r>
                </w:p>
              </w:tc>
              <w:tc>
                <w:tcPr>
                  <w:tcW w:w="981" w:type="dxa"/>
                  <w:vAlign w:val="center"/>
                </w:tcPr>
                <w:p>
                  <w:pPr>
                    <w:adjustRightInd w:val="0"/>
                    <w:jc w:val="center"/>
                    <w:rPr>
                      <w:bCs/>
                      <w:szCs w:val="21"/>
                    </w:rPr>
                  </w:pPr>
                  <w:r>
                    <w:rPr>
                      <w:bCs/>
                      <w:szCs w:val="21"/>
                    </w:rPr>
                    <w:t>12（15）</w:t>
                  </w:r>
                </w:p>
              </w:tc>
            </w:tr>
          </w:tbl>
          <w:p>
            <w:pPr>
              <w:rPr>
                <w:b/>
                <w:sz w:val="24"/>
              </w:rPr>
            </w:pPr>
            <w:r>
              <w:rPr>
                <w:b/>
                <w:szCs w:val="21"/>
              </w:rPr>
              <w:t>注：括号外数值为水温&gt;12℃时的控制指标，括号内数值为水温≤12℃时的控制指标。</w:t>
            </w:r>
          </w:p>
          <w:p>
            <w:pPr>
              <w:spacing w:line="360" w:lineRule="auto"/>
              <w:rPr>
                <w:b/>
                <w:sz w:val="24"/>
              </w:rPr>
            </w:pPr>
            <w:r>
              <w:rPr>
                <w:rFonts w:hint="eastAsia"/>
                <w:b/>
                <w:sz w:val="24"/>
              </w:rPr>
              <w:t>2</w:t>
            </w:r>
            <w:r>
              <w:rPr>
                <w:b/>
                <w:sz w:val="24"/>
              </w:rPr>
              <w:t>、废气</w:t>
            </w:r>
            <w:r>
              <w:rPr>
                <w:rFonts w:hint="eastAsia"/>
                <w:b/>
                <w:sz w:val="24"/>
              </w:rPr>
              <w:t>排放标准</w:t>
            </w:r>
          </w:p>
          <w:p>
            <w:pPr>
              <w:spacing w:line="360" w:lineRule="auto"/>
              <w:ind w:firstLine="480" w:firstLineChars="200"/>
              <w:rPr>
                <w:sz w:val="24"/>
              </w:rPr>
            </w:pPr>
            <w:r>
              <w:rPr>
                <w:rFonts w:hAnsi="宋体"/>
                <w:sz w:val="24"/>
              </w:rPr>
              <w:t>本项目</w:t>
            </w:r>
            <w:r>
              <w:rPr>
                <w:rFonts w:hint="eastAsia" w:hAnsi="宋体"/>
                <w:sz w:val="24"/>
              </w:rPr>
              <w:t>焊接过程中产生的焊接烟尘执行</w:t>
            </w:r>
            <w:r>
              <w:rPr>
                <w:sz w:val="24"/>
              </w:rPr>
              <w:t>《大气污染物综合排放标准》（DB32/4041-2021）中表3标准</w:t>
            </w:r>
            <w:r>
              <w:rPr>
                <w:rFonts w:hint="eastAsia"/>
                <w:sz w:val="24"/>
              </w:rPr>
              <w:t>；</w:t>
            </w:r>
            <w:r>
              <w:rPr>
                <w:rFonts w:hAnsi="宋体"/>
                <w:sz w:val="24"/>
              </w:rPr>
              <w:t>食堂产生的油烟</w:t>
            </w:r>
            <w:r>
              <w:rPr>
                <w:rFonts w:hAnsi="宋体"/>
                <w:sz w:val="24"/>
                <w:lang w:val="zh-CN"/>
              </w:rPr>
              <w:t>废气执行《饮食业油烟排放标准（试行）》（</w:t>
            </w:r>
            <w:r>
              <w:rPr>
                <w:sz w:val="24"/>
                <w:lang w:val="zh-CN"/>
              </w:rPr>
              <w:t>GB18483-2001</w:t>
            </w:r>
            <w:r>
              <w:rPr>
                <w:rFonts w:hAnsi="宋体"/>
                <w:sz w:val="24"/>
                <w:lang w:val="zh-CN"/>
              </w:rPr>
              <w:t>）中</w:t>
            </w:r>
            <w:r>
              <w:rPr>
                <w:rFonts w:hAnsi="宋体"/>
                <w:sz w:val="24"/>
              </w:rPr>
              <w:t>小</w:t>
            </w:r>
            <w:r>
              <w:rPr>
                <w:rFonts w:hAnsi="宋体"/>
                <w:sz w:val="24"/>
                <w:lang w:val="zh-CN"/>
              </w:rPr>
              <w:t>型规模的标准</w:t>
            </w:r>
            <w:r>
              <w:rPr>
                <w:sz w:val="24"/>
              </w:rPr>
              <w:t>。</w:t>
            </w:r>
            <w:r>
              <w:rPr>
                <w:rFonts w:hAnsi="宋体"/>
                <w:sz w:val="24"/>
              </w:rPr>
              <w:t>具体标准见下表。</w:t>
            </w:r>
          </w:p>
          <w:p>
            <w:pPr>
              <w:adjustRightInd w:val="0"/>
              <w:jc w:val="center"/>
              <w:rPr>
                <w:rFonts w:ascii="宋体" w:hAnsi="宋体"/>
                <w:b/>
                <w:bCs/>
                <w:sz w:val="24"/>
              </w:rPr>
            </w:pPr>
          </w:p>
          <w:p>
            <w:pPr>
              <w:adjustRightInd w:val="0"/>
              <w:jc w:val="center"/>
              <w:rPr>
                <w:rFonts w:ascii="宋体" w:hAnsi="宋体"/>
                <w:b/>
                <w:bCs/>
                <w:sz w:val="24"/>
              </w:rPr>
            </w:pPr>
          </w:p>
          <w:p>
            <w:pPr>
              <w:adjustRightInd w:val="0"/>
              <w:jc w:val="center"/>
              <w:rPr>
                <w:rFonts w:ascii="宋体" w:hAnsi="宋体"/>
                <w:b/>
                <w:bCs/>
                <w:sz w:val="24"/>
              </w:rPr>
            </w:pPr>
          </w:p>
          <w:p>
            <w:pPr>
              <w:adjustRightInd w:val="0"/>
              <w:jc w:val="center"/>
              <w:rPr>
                <w:rFonts w:ascii="宋体" w:hAnsi="宋体"/>
                <w:b/>
                <w:bCs/>
                <w:sz w:val="24"/>
              </w:rPr>
            </w:pPr>
          </w:p>
          <w:p>
            <w:pPr>
              <w:adjustRightInd w:val="0"/>
              <w:jc w:val="center"/>
              <w:rPr>
                <w:rFonts w:ascii="宋体" w:hAnsi="宋体"/>
                <w:b/>
                <w:bCs/>
                <w:sz w:val="24"/>
              </w:rPr>
            </w:pPr>
          </w:p>
          <w:p>
            <w:pPr>
              <w:pStyle w:val="2"/>
              <w:ind w:left="-84" w:firstLine="560"/>
            </w:pPr>
          </w:p>
          <w:p>
            <w:pPr>
              <w:adjustRightInd w:val="0"/>
              <w:jc w:val="center"/>
              <w:rPr>
                <w:b/>
                <w:bCs/>
                <w:sz w:val="24"/>
              </w:rPr>
            </w:pPr>
            <w:r>
              <w:rPr>
                <w:rFonts w:ascii="宋体" w:hAnsi="宋体"/>
                <w:b/>
                <w:bCs/>
                <w:sz w:val="24"/>
              </w:rPr>
              <w:t>表</w:t>
            </w:r>
            <w:r>
              <w:rPr>
                <w:rFonts w:hint="eastAsia"/>
                <w:b/>
                <w:bCs/>
                <w:sz w:val="24"/>
              </w:rPr>
              <w:t>3-6</w:t>
            </w:r>
            <w:r>
              <w:rPr>
                <w:b/>
                <w:bCs/>
                <w:sz w:val="24"/>
              </w:rPr>
              <w:t xml:space="preserve"> </w:t>
            </w:r>
            <w:r>
              <w:rPr>
                <w:rFonts w:hint="eastAsia" w:ascii="宋体" w:hAnsi="宋体"/>
                <w:b/>
                <w:bCs/>
                <w:sz w:val="24"/>
              </w:rPr>
              <w:t>废气排放</w:t>
            </w:r>
            <w:r>
              <w:rPr>
                <w:rFonts w:ascii="宋体" w:hAnsi="宋体"/>
                <w:b/>
                <w:bCs/>
                <w:sz w:val="24"/>
              </w:rPr>
              <w:t>标准</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775"/>
              <w:gridCol w:w="2690"/>
              <w:gridCol w:w="350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13" w:type="pct"/>
                  <w:vAlign w:val="center"/>
                </w:tcPr>
                <w:p>
                  <w:pPr>
                    <w:pStyle w:val="50"/>
                    <w:adjustRightInd w:val="0"/>
                    <w:snapToGrid w:val="0"/>
                    <w:spacing w:line="240" w:lineRule="auto"/>
                    <w:rPr>
                      <w:rFonts w:ascii="Times New Roman" w:hAnsi="Times New Roman"/>
                      <w:b/>
                    </w:rPr>
                  </w:pPr>
                  <w:r>
                    <w:rPr>
                      <w:rFonts w:ascii="Times New Roman" w:hAnsi="Times New Roman"/>
                      <w:b/>
                      <w:bCs w:val="0"/>
                    </w:rPr>
                    <w:t>污染物名称</w:t>
                  </w:r>
                </w:p>
              </w:tc>
              <w:tc>
                <w:tcPr>
                  <w:tcW w:w="1687" w:type="pct"/>
                  <w:vAlign w:val="center"/>
                </w:tcPr>
                <w:p>
                  <w:pPr>
                    <w:pStyle w:val="50"/>
                    <w:adjustRightInd w:val="0"/>
                    <w:snapToGrid w:val="0"/>
                    <w:spacing w:line="240" w:lineRule="auto"/>
                    <w:rPr>
                      <w:rFonts w:ascii="Times New Roman" w:hAnsi="Times New Roman"/>
                      <w:b/>
                    </w:rPr>
                  </w:pPr>
                  <w:r>
                    <w:rPr>
                      <w:b/>
                    </w:rPr>
                    <w:t>单位边界大气污染物排放监控浓度限值</w:t>
                  </w:r>
                  <w:r>
                    <w:rPr>
                      <w:rFonts w:ascii="Times New Roman" w:hAnsi="Times New Roman"/>
                      <w:b/>
                      <w:bCs w:val="0"/>
                    </w:rPr>
                    <w:t>（单位：mg/m</w:t>
                  </w:r>
                  <w:r>
                    <w:rPr>
                      <w:rFonts w:ascii="Times New Roman" w:hAnsi="Times New Roman"/>
                      <w:b/>
                      <w:bCs w:val="0"/>
                      <w:vertAlign w:val="superscript"/>
                    </w:rPr>
                    <w:t>3</w:t>
                  </w:r>
                  <w:r>
                    <w:rPr>
                      <w:rFonts w:ascii="Times New Roman" w:hAnsi="Times New Roman"/>
                      <w:b/>
                      <w:bCs w:val="0"/>
                    </w:rPr>
                    <w:t>）</w:t>
                  </w:r>
                </w:p>
              </w:tc>
              <w:tc>
                <w:tcPr>
                  <w:tcW w:w="2200" w:type="pct"/>
                  <w:vAlign w:val="center"/>
                </w:tcPr>
                <w:p>
                  <w:pPr>
                    <w:pStyle w:val="50"/>
                    <w:adjustRightInd w:val="0"/>
                    <w:snapToGrid w:val="0"/>
                    <w:spacing w:line="240" w:lineRule="auto"/>
                    <w:rPr>
                      <w:rFonts w:ascii="Times New Roman" w:hAnsi="Times New Roman"/>
                      <w:b/>
                    </w:rPr>
                  </w:pPr>
                  <w:r>
                    <w:rPr>
                      <w:rFonts w:ascii="Times New Roman" w:hAnsi="Times New Roman"/>
                      <w:b/>
                      <w:bCs w:val="0"/>
                    </w:rPr>
                    <w:t>标准来源</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13" w:type="pct"/>
                  <w:vAlign w:val="center"/>
                </w:tcPr>
                <w:p>
                  <w:pPr>
                    <w:pStyle w:val="50"/>
                    <w:adjustRightInd w:val="0"/>
                    <w:snapToGrid w:val="0"/>
                    <w:spacing w:line="240" w:lineRule="auto"/>
                    <w:rPr>
                      <w:rFonts w:ascii="Times New Roman" w:hAnsi="Times New Roman"/>
                    </w:rPr>
                  </w:pPr>
                  <w:r>
                    <w:rPr>
                      <w:rFonts w:hint="eastAsia" w:ascii="Times New Roman" w:hAnsi="Times New Roman"/>
                    </w:rPr>
                    <w:t>颗粒物</w:t>
                  </w:r>
                </w:p>
              </w:tc>
              <w:tc>
                <w:tcPr>
                  <w:tcW w:w="1687" w:type="pct"/>
                  <w:vAlign w:val="center"/>
                </w:tcPr>
                <w:p>
                  <w:pPr>
                    <w:pStyle w:val="50"/>
                    <w:adjustRightInd w:val="0"/>
                    <w:snapToGrid w:val="0"/>
                    <w:spacing w:line="240" w:lineRule="auto"/>
                    <w:rPr>
                      <w:rFonts w:ascii="Times New Roman" w:hAnsi="Times New Roman"/>
                    </w:rPr>
                  </w:pPr>
                  <w:r>
                    <w:rPr>
                      <w:rFonts w:hint="eastAsia" w:ascii="Times New Roman" w:hAnsi="Times New Roman"/>
                    </w:rPr>
                    <w:t>0.5</w:t>
                  </w:r>
                </w:p>
              </w:tc>
              <w:tc>
                <w:tcPr>
                  <w:tcW w:w="2200" w:type="pct"/>
                  <w:vAlign w:val="center"/>
                </w:tcPr>
                <w:p>
                  <w:pPr>
                    <w:pStyle w:val="50"/>
                    <w:adjustRightInd w:val="0"/>
                    <w:snapToGrid w:val="0"/>
                    <w:spacing w:line="240" w:lineRule="auto"/>
                    <w:rPr>
                      <w:rFonts w:ascii="Times New Roman" w:hAnsi="Times New Roman"/>
                    </w:rPr>
                  </w:pPr>
                  <w:r>
                    <w:rPr>
                      <w:rFonts w:hint="eastAsia" w:ascii="Times New Roman" w:hAnsi="Times New Roman"/>
                    </w:rPr>
                    <w:t>《大气污染物综合排放标准》（DB32/4041-2021）表3标准</w:t>
                  </w:r>
                </w:p>
              </w:tc>
            </w:tr>
          </w:tbl>
          <w:p>
            <w:pPr>
              <w:wordWrap w:val="0"/>
              <w:adjustRightInd w:val="0"/>
              <w:jc w:val="center"/>
              <w:rPr>
                <w:b/>
                <w:bCs/>
                <w:sz w:val="24"/>
              </w:rPr>
            </w:pPr>
            <w:r>
              <w:rPr>
                <w:rFonts w:hAnsi="宋体"/>
                <w:b/>
                <w:bCs/>
                <w:sz w:val="24"/>
              </w:rPr>
              <w:t>表</w:t>
            </w:r>
            <w:r>
              <w:rPr>
                <w:b/>
                <w:bCs/>
                <w:sz w:val="24"/>
              </w:rPr>
              <w:t>3-</w:t>
            </w:r>
            <w:r>
              <w:rPr>
                <w:rFonts w:hint="eastAsia"/>
                <w:b/>
                <w:bCs/>
                <w:sz w:val="24"/>
              </w:rPr>
              <w:t>7</w:t>
            </w:r>
            <w:r>
              <w:rPr>
                <w:b/>
                <w:bCs/>
                <w:sz w:val="24"/>
              </w:rPr>
              <w:t xml:space="preserve"> </w:t>
            </w:r>
            <w:r>
              <w:rPr>
                <w:rFonts w:hAnsi="宋体"/>
                <w:b/>
                <w:bCs/>
                <w:sz w:val="24"/>
              </w:rPr>
              <w:t>《饮食业油烟排放标准》（</w:t>
            </w:r>
            <w:r>
              <w:rPr>
                <w:b/>
                <w:bCs/>
                <w:sz w:val="24"/>
              </w:rPr>
              <w:t>GB18483—2001</w:t>
            </w:r>
            <w:r>
              <w:rPr>
                <w:rFonts w:hAnsi="宋体"/>
                <w:b/>
                <w:bCs/>
                <w:sz w:val="24"/>
              </w:rPr>
              <w:t>）</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266"/>
              <w:gridCol w:w="1741"/>
              <w:gridCol w:w="1530"/>
              <w:gridCol w:w="135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jc w:val="center"/>
                    <w:rPr>
                      <w:b/>
                      <w:bCs/>
                      <w:szCs w:val="21"/>
                    </w:rPr>
                  </w:pPr>
                  <w:r>
                    <w:rPr>
                      <w:rFonts w:hAnsi="宋体"/>
                      <w:b/>
                      <w:bCs/>
                      <w:szCs w:val="21"/>
                    </w:rPr>
                    <w:t>规模</w:t>
                  </w:r>
                </w:p>
              </w:tc>
              <w:tc>
                <w:tcPr>
                  <w:tcW w:w="1741" w:type="dxa"/>
                  <w:shd w:val="clear" w:color="auto" w:fill="D7D7D7"/>
                  <w:vAlign w:val="center"/>
                </w:tcPr>
                <w:p>
                  <w:pPr>
                    <w:jc w:val="center"/>
                    <w:rPr>
                      <w:b/>
                      <w:bCs/>
                      <w:szCs w:val="21"/>
                    </w:rPr>
                  </w:pPr>
                  <w:r>
                    <w:rPr>
                      <w:rFonts w:hAnsi="宋体"/>
                      <w:b/>
                      <w:bCs/>
                      <w:szCs w:val="21"/>
                    </w:rPr>
                    <w:t>小型</w:t>
                  </w:r>
                </w:p>
              </w:tc>
              <w:tc>
                <w:tcPr>
                  <w:tcW w:w="1530" w:type="dxa"/>
                  <w:shd w:val="clear" w:color="auto" w:fill="auto"/>
                  <w:vAlign w:val="center"/>
                </w:tcPr>
                <w:p>
                  <w:pPr>
                    <w:jc w:val="center"/>
                    <w:rPr>
                      <w:b/>
                      <w:bCs/>
                      <w:szCs w:val="21"/>
                    </w:rPr>
                  </w:pPr>
                  <w:r>
                    <w:rPr>
                      <w:rFonts w:hAnsi="宋体"/>
                      <w:b/>
                      <w:bCs/>
                      <w:szCs w:val="21"/>
                    </w:rPr>
                    <w:t>中型</w:t>
                  </w:r>
                </w:p>
              </w:tc>
              <w:tc>
                <w:tcPr>
                  <w:tcW w:w="1353" w:type="dxa"/>
                  <w:shd w:val="clear" w:color="auto" w:fill="FFFFFF"/>
                  <w:vAlign w:val="center"/>
                </w:tcPr>
                <w:p>
                  <w:pPr>
                    <w:jc w:val="center"/>
                    <w:rPr>
                      <w:b/>
                      <w:bCs/>
                      <w:szCs w:val="21"/>
                    </w:rPr>
                  </w:pPr>
                  <w:r>
                    <w:rPr>
                      <w:rFonts w:hAnsi="宋体"/>
                      <w:b/>
                      <w:bCs/>
                      <w:szCs w:val="21"/>
                    </w:rPr>
                    <w:t>大型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jc w:val="center"/>
                    <w:rPr>
                      <w:szCs w:val="21"/>
                    </w:rPr>
                  </w:pPr>
                  <w:r>
                    <w:rPr>
                      <w:rFonts w:hAnsi="宋体"/>
                      <w:szCs w:val="21"/>
                    </w:rPr>
                    <w:t>基准灶头数</w:t>
                  </w:r>
                </w:p>
              </w:tc>
              <w:tc>
                <w:tcPr>
                  <w:tcW w:w="1741" w:type="dxa"/>
                  <w:shd w:val="clear" w:color="auto" w:fill="D7D7D7"/>
                  <w:vAlign w:val="center"/>
                </w:tcPr>
                <w:p>
                  <w:pPr>
                    <w:jc w:val="center"/>
                    <w:rPr>
                      <w:szCs w:val="21"/>
                    </w:rPr>
                  </w:pPr>
                  <w:r>
                    <w:rPr>
                      <w:szCs w:val="21"/>
                    </w:rPr>
                    <w:t>≥1</w:t>
                  </w:r>
                  <w:r>
                    <w:rPr>
                      <w:rFonts w:hAnsi="宋体"/>
                      <w:szCs w:val="21"/>
                    </w:rPr>
                    <w:t>，＜</w:t>
                  </w:r>
                  <w:r>
                    <w:rPr>
                      <w:szCs w:val="21"/>
                    </w:rPr>
                    <w:t>3</w:t>
                  </w:r>
                </w:p>
              </w:tc>
              <w:tc>
                <w:tcPr>
                  <w:tcW w:w="1530" w:type="dxa"/>
                  <w:shd w:val="clear" w:color="auto" w:fill="auto"/>
                  <w:vAlign w:val="center"/>
                </w:tcPr>
                <w:p>
                  <w:pPr>
                    <w:jc w:val="center"/>
                    <w:rPr>
                      <w:szCs w:val="21"/>
                    </w:rPr>
                  </w:pPr>
                  <w:r>
                    <w:rPr>
                      <w:szCs w:val="21"/>
                    </w:rPr>
                    <w:t>≥3</w:t>
                  </w:r>
                  <w:r>
                    <w:rPr>
                      <w:rFonts w:hAnsi="宋体"/>
                      <w:szCs w:val="21"/>
                    </w:rPr>
                    <w:t>，＜</w:t>
                  </w:r>
                  <w:r>
                    <w:rPr>
                      <w:szCs w:val="21"/>
                    </w:rPr>
                    <w:t>6</w:t>
                  </w:r>
                </w:p>
              </w:tc>
              <w:tc>
                <w:tcPr>
                  <w:tcW w:w="1353" w:type="dxa"/>
                  <w:shd w:val="clear" w:color="auto" w:fill="FFFFFF"/>
                  <w:vAlign w:val="center"/>
                </w:tcPr>
                <w:p>
                  <w:pPr>
                    <w:jc w:val="center"/>
                    <w:rPr>
                      <w:szCs w:val="21"/>
                    </w:rPr>
                  </w:pPr>
                  <w:r>
                    <w:rPr>
                      <w:szCs w:val="21"/>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jc w:val="center"/>
                    <w:rPr>
                      <w:szCs w:val="21"/>
                    </w:rPr>
                  </w:pPr>
                  <w:r>
                    <w:rPr>
                      <w:rFonts w:hAnsi="宋体"/>
                      <w:szCs w:val="21"/>
                    </w:rPr>
                    <w:t>对应灶头总功率（</w:t>
                  </w:r>
                  <w:r>
                    <w:rPr>
                      <w:szCs w:val="21"/>
                    </w:rPr>
                    <w:t>108J/h</w:t>
                  </w:r>
                  <w:r>
                    <w:rPr>
                      <w:rFonts w:hAnsi="宋体"/>
                      <w:szCs w:val="21"/>
                    </w:rPr>
                    <w:t>）</w:t>
                  </w:r>
                </w:p>
              </w:tc>
              <w:tc>
                <w:tcPr>
                  <w:tcW w:w="1741" w:type="dxa"/>
                  <w:shd w:val="clear" w:color="auto" w:fill="D7D7D7"/>
                  <w:vAlign w:val="center"/>
                </w:tcPr>
                <w:p>
                  <w:pPr>
                    <w:jc w:val="center"/>
                    <w:rPr>
                      <w:szCs w:val="21"/>
                    </w:rPr>
                  </w:pPr>
                  <w:r>
                    <w:rPr>
                      <w:szCs w:val="21"/>
                    </w:rPr>
                    <w:t>≥1.67</w:t>
                  </w:r>
                  <w:r>
                    <w:rPr>
                      <w:rFonts w:hAnsi="宋体"/>
                      <w:szCs w:val="21"/>
                    </w:rPr>
                    <w:t>，＜</w:t>
                  </w:r>
                  <w:r>
                    <w:rPr>
                      <w:szCs w:val="21"/>
                    </w:rPr>
                    <w:t>5.00</w:t>
                  </w:r>
                </w:p>
              </w:tc>
              <w:tc>
                <w:tcPr>
                  <w:tcW w:w="1530" w:type="dxa"/>
                  <w:shd w:val="clear" w:color="auto" w:fill="auto"/>
                  <w:vAlign w:val="center"/>
                </w:tcPr>
                <w:p>
                  <w:pPr>
                    <w:jc w:val="center"/>
                    <w:rPr>
                      <w:szCs w:val="21"/>
                    </w:rPr>
                  </w:pPr>
                  <w:r>
                    <w:rPr>
                      <w:szCs w:val="21"/>
                    </w:rPr>
                    <w:t>≥5.00</w:t>
                  </w:r>
                  <w:r>
                    <w:rPr>
                      <w:rFonts w:hAnsi="宋体"/>
                      <w:szCs w:val="21"/>
                    </w:rPr>
                    <w:t>，＜</w:t>
                  </w:r>
                  <w:r>
                    <w:rPr>
                      <w:szCs w:val="21"/>
                    </w:rPr>
                    <w:t>10</w:t>
                  </w:r>
                </w:p>
              </w:tc>
              <w:tc>
                <w:tcPr>
                  <w:tcW w:w="1353" w:type="dxa"/>
                  <w:shd w:val="clear" w:color="auto" w:fill="FFFFFF"/>
                  <w:vAlign w:val="center"/>
                </w:tcPr>
                <w:p>
                  <w:pPr>
                    <w:jc w:val="center"/>
                    <w:rPr>
                      <w:szCs w:val="21"/>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jc w:val="center"/>
                    <w:rPr>
                      <w:szCs w:val="21"/>
                    </w:rPr>
                  </w:pPr>
                  <w:r>
                    <w:rPr>
                      <w:rFonts w:hAnsi="宋体"/>
                      <w:szCs w:val="21"/>
                    </w:rPr>
                    <w:t>对应排气罩灶面总投影面积（</w:t>
                  </w:r>
                  <w:r>
                    <w:rPr>
                      <w:szCs w:val="21"/>
                    </w:rPr>
                    <w:t>m</w:t>
                  </w:r>
                  <w:r>
                    <w:rPr>
                      <w:szCs w:val="21"/>
                      <w:vertAlign w:val="superscript"/>
                    </w:rPr>
                    <w:t>2</w:t>
                  </w:r>
                  <w:r>
                    <w:rPr>
                      <w:rFonts w:hAnsi="宋体"/>
                      <w:szCs w:val="21"/>
                    </w:rPr>
                    <w:t>）</w:t>
                  </w:r>
                </w:p>
              </w:tc>
              <w:tc>
                <w:tcPr>
                  <w:tcW w:w="1741" w:type="dxa"/>
                  <w:shd w:val="clear" w:color="auto" w:fill="D7D7D7"/>
                  <w:vAlign w:val="center"/>
                </w:tcPr>
                <w:p>
                  <w:pPr>
                    <w:jc w:val="center"/>
                    <w:rPr>
                      <w:szCs w:val="21"/>
                    </w:rPr>
                  </w:pPr>
                  <w:r>
                    <w:rPr>
                      <w:szCs w:val="21"/>
                    </w:rPr>
                    <w:t>≥1.1</w:t>
                  </w:r>
                  <w:r>
                    <w:rPr>
                      <w:rFonts w:hAnsi="宋体"/>
                      <w:szCs w:val="21"/>
                    </w:rPr>
                    <w:t>，＜</w:t>
                  </w:r>
                  <w:r>
                    <w:rPr>
                      <w:szCs w:val="21"/>
                    </w:rPr>
                    <w:t>3.3</w:t>
                  </w:r>
                </w:p>
              </w:tc>
              <w:tc>
                <w:tcPr>
                  <w:tcW w:w="1530" w:type="dxa"/>
                  <w:shd w:val="clear" w:color="auto" w:fill="auto"/>
                  <w:vAlign w:val="center"/>
                </w:tcPr>
                <w:p>
                  <w:pPr>
                    <w:jc w:val="center"/>
                    <w:rPr>
                      <w:szCs w:val="21"/>
                    </w:rPr>
                  </w:pPr>
                  <w:r>
                    <w:rPr>
                      <w:szCs w:val="21"/>
                    </w:rPr>
                    <w:t>≥3.3</w:t>
                  </w:r>
                  <w:r>
                    <w:rPr>
                      <w:rFonts w:hAnsi="宋体"/>
                      <w:szCs w:val="21"/>
                    </w:rPr>
                    <w:t>，＜</w:t>
                  </w:r>
                  <w:r>
                    <w:rPr>
                      <w:szCs w:val="21"/>
                    </w:rPr>
                    <w:t>6.6</w:t>
                  </w:r>
                </w:p>
              </w:tc>
              <w:tc>
                <w:tcPr>
                  <w:tcW w:w="1353" w:type="dxa"/>
                  <w:shd w:val="clear" w:color="auto" w:fill="FFFFFF"/>
                  <w:vAlign w:val="center"/>
                </w:tcPr>
                <w:p>
                  <w:pPr>
                    <w:jc w:val="center"/>
                    <w:rPr>
                      <w:szCs w:val="21"/>
                    </w:rPr>
                  </w:pPr>
                  <w:r>
                    <w:rPr>
                      <w:szCs w:val="21"/>
                    </w:rPr>
                    <w:t>≥6.6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jc w:val="center"/>
                    <w:rPr>
                      <w:szCs w:val="21"/>
                    </w:rPr>
                  </w:pPr>
                  <w:r>
                    <w:rPr>
                      <w:rFonts w:hAnsi="宋体"/>
                      <w:szCs w:val="21"/>
                    </w:rPr>
                    <w:t>最高允许排放浓度（</w:t>
                  </w:r>
                  <w:r>
                    <w:rPr>
                      <w:szCs w:val="21"/>
                    </w:rPr>
                    <w:t>mg/m</w:t>
                  </w:r>
                  <w:r>
                    <w:rPr>
                      <w:szCs w:val="21"/>
                      <w:vertAlign w:val="superscript"/>
                    </w:rPr>
                    <w:t>3</w:t>
                  </w:r>
                  <w:r>
                    <w:rPr>
                      <w:rFonts w:hAnsi="宋体"/>
                      <w:szCs w:val="21"/>
                    </w:rPr>
                    <w:t>）</w:t>
                  </w:r>
                </w:p>
              </w:tc>
              <w:tc>
                <w:tcPr>
                  <w:tcW w:w="4624" w:type="dxa"/>
                  <w:gridSpan w:val="3"/>
                  <w:shd w:val="clear" w:color="auto" w:fill="D7D7D7"/>
                  <w:vAlign w:val="center"/>
                </w:tcPr>
                <w:p>
                  <w:pPr>
                    <w:jc w:val="center"/>
                    <w:rPr>
                      <w:szCs w:val="21"/>
                    </w:rPr>
                  </w:pPr>
                  <w:r>
                    <w:rPr>
                      <w:szCs w:val="21"/>
                    </w:rPr>
                    <w:t>2.0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3266" w:type="dxa"/>
                  <w:shd w:val="clear" w:color="auto" w:fill="auto"/>
                  <w:vAlign w:val="center"/>
                </w:tcPr>
                <w:p>
                  <w:pPr>
                    <w:jc w:val="center"/>
                    <w:rPr>
                      <w:szCs w:val="21"/>
                    </w:rPr>
                  </w:pPr>
                  <w:r>
                    <w:rPr>
                      <w:rFonts w:hAnsi="宋体"/>
                      <w:szCs w:val="21"/>
                    </w:rPr>
                    <w:t>净化设施最低去除率（</w:t>
                  </w:r>
                  <w:r>
                    <w:rPr>
                      <w:szCs w:val="21"/>
                    </w:rPr>
                    <w:t>%</w:t>
                  </w:r>
                  <w:r>
                    <w:rPr>
                      <w:rFonts w:hAnsi="宋体"/>
                      <w:szCs w:val="21"/>
                    </w:rPr>
                    <w:t>）</w:t>
                  </w:r>
                </w:p>
              </w:tc>
              <w:tc>
                <w:tcPr>
                  <w:tcW w:w="1741" w:type="dxa"/>
                  <w:shd w:val="clear" w:color="auto" w:fill="D7D7D7"/>
                  <w:vAlign w:val="center"/>
                </w:tcPr>
                <w:p>
                  <w:pPr>
                    <w:jc w:val="center"/>
                    <w:rPr>
                      <w:szCs w:val="21"/>
                    </w:rPr>
                  </w:pPr>
                  <w:r>
                    <w:rPr>
                      <w:szCs w:val="21"/>
                    </w:rPr>
                    <w:t>60</w:t>
                  </w:r>
                </w:p>
              </w:tc>
              <w:tc>
                <w:tcPr>
                  <w:tcW w:w="1530" w:type="dxa"/>
                  <w:shd w:val="clear" w:color="auto" w:fill="auto"/>
                  <w:vAlign w:val="center"/>
                </w:tcPr>
                <w:p>
                  <w:pPr>
                    <w:jc w:val="center"/>
                    <w:rPr>
                      <w:szCs w:val="21"/>
                    </w:rPr>
                  </w:pPr>
                  <w:r>
                    <w:rPr>
                      <w:szCs w:val="21"/>
                    </w:rPr>
                    <w:t>75</w:t>
                  </w:r>
                </w:p>
              </w:tc>
              <w:tc>
                <w:tcPr>
                  <w:tcW w:w="1353" w:type="dxa"/>
                  <w:shd w:val="clear" w:color="auto" w:fill="FFFFFF"/>
                  <w:vAlign w:val="center"/>
                </w:tcPr>
                <w:p>
                  <w:pPr>
                    <w:jc w:val="center"/>
                    <w:rPr>
                      <w:szCs w:val="21"/>
                    </w:rPr>
                  </w:pPr>
                  <w:r>
                    <w:rPr>
                      <w:szCs w:val="21"/>
                    </w:rPr>
                    <w:t>85</w:t>
                  </w:r>
                </w:p>
              </w:tc>
            </w:tr>
          </w:tbl>
          <w:p>
            <w:pPr>
              <w:spacing w:line="360" w:lineRule="auto"/>
              <w:rPr>
                <w:b/>
                <w:sz w:val="24"/>
              </w:rPr>
            </w:pPr>
            <w:r>
              <w:rPr>
                <w:rFonts w:hint="eastAsia"/>
                <w:b/>
                <w:sz w:val="24"/>
              </w:rPr>
              <w:t>3</w:t>
            </w:r>
            <w:r>
              <w:rPr>
                <w:b/>
                <w:sz w:val="24"/>
              </w:rPr>
              <w:t>、噪声</w:t>
            </w:r>
            <w:r>
              <w:rPr>
                <w:rFonts w:hint="eastAsia"/>
                <w:b/>
                <w:sz w:val="24"/>
              </w:rPr>
              <w:t>排放标准</w:t>
            </w:r>
          </w:p>
          <w:p>
            <w:pPr>
              <w:spacing w:line="360" w:lineRule="auto"/>
              <w:ind w:firstLine="480" w:firstLineChars="200"/>
              <w:rPr>
                <w:sz w:val="24"/>
              </w:rPr>
            </w:pPr>
            <w:r>
              <w:rPr>
                <w:sz w:val="24"/>
              </w:rPr>
              <w:t>根据《常州市市区声环境功能区划（2017）》（常政发[2017]161号）</w:t>
            </w:r>
            <w:r>
              <w:rPr>
                <w:rFonts w:hint="eastAsia"/>
                <w:sz w:val="24"/>
              </w:rPr>
              <w:t>、</w:t>
            </w:r>
            <w:r>
              <w:rPr>
                <w:rFonts w:hAnsi="宋体"/>
                <w:bCs/>
                <w:sz w:val="24"/>
              </w:rPr>
              <w:t>《关于加强和规范声环境功能区划分管理工作的通知（环办大气函[2017]1709号）</w:t>
            </w:r>
            <w:r>
              <w:rPr>
                <w:rFonts w:hint="eastAsia" w:hAnsi="宋体"/>
                <w:bCs/>
                <w:sz w:val="24"/>
              </w:rPr>
              <w:t>及《声环境功能区划分技术规范》（GB/T 15190-2014）</w:t>
            </w:r>
            <w:r>
              <w:rPr>
                <w:rFonts w:hAnsi="宋体"/>
                <w:bCs/>
                <w:sz w:val="24"/>
              </w:rPr>
              <w:t>，</w:t>
            </w:r>
            <w:r>
              <w:rPr>
                <w:rFonts w:hint="eastAsia" w:hAnsi="宋体"/>
                <w:bCs/>
                <w:sz w:val="24"/>
              </w:rPr>
              <w:t>本项目所在区域不属于规划范围内。由于本项目所在地周边为居民、工业混合区</w:t>
            </w:r>
            <w:r>
              <w:rPr>
                <w:rFonts w:hint="eastAsia"/>
                <w:sz w:val="24"/>
              </w:rPr>
              <w:t>，</w:t>
            </w:r>
            <w:r>
              <w:rPr>
                <w:sz w:val="24"/>
              </w:rPr>
              <w:t>本项目营运期厂界噪声执行《工业企业厂界环境噪声排放标准》(GB12348-2008)中</w:t>
            </w:r>
            <w:r>
              <w:rPr>
                <w:rFonts w:hint="eastAsia"/>
                <w:sz w:val="24"/>
              </w:rPr>
              <w:t>2</w:t>
            </w:r>
            <w:r>
              <w:rPr>
                <w:sz w:val="24"/>
              </w:rPr>
              <w:t>类标准，具体标准值见下表：</w:t>
            </w:r>
          </w:p>
          <w:p>
            <w:pPr>
              <w:wordWrap w:val="0"/>
              <w:adjustRightInd w:val="0"/>
              <w:ind w:firstLine="2474" w:firstLineChars="1027"/>
              <w:jc w:val="left"/>
              <w:rPr>
                <w:b/>
                <w:bCs/>
                <w:sz w:val="24"/>
                <w:szCs w:val="22"/>
              </w:rPr>
            </w:pPr>
            <w:r>
              <w:rPr>
                <w:b/>
                <w:bCs/>
                <w:sz w:val="24"/>
                <w:szCs w:val="22"/>
              </w:rPr>
              <w:t>表</w:t>
            </w:r>
            <w:r>
              <w:rPr>
                <w:rFonts w:hint="eastAsia"/>
                <w:b/>
                <w:bCs/>
                <w:sz w:val="24"/>
                <w:szCs w:val="22"/>
              </w:rPr>
              <w:t xml:space="preserve">3-8 </w:t>
            </w:r>
            <w:r>
              <w:rPr>
                <w:b/>
                <w:bCs/>
                <w:sz w:val="24"/>
                <w:szCs w:val="22"/>
              </w:rPr>
              <w:t>营运期噪声排放标准</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25"/>
              <w:gridCol w:w="1842"/>
              <w:gridCol w:w="1844"/>
              <w:gridCol w:w="186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21" w:type="pct"/>
                  <w:vAlign w:val="center"/>
                </w:tcPr>
                <w:p>
                  <w:pPr>
                    <w:adjustRightInd w:val="0"/>
                    <w:jc w:val="center"/>
                    <w:rPr>
                      <w:b/>
                      <w:bCs/>
                      <w:szCs w:val="21"/>
                    </w:rPr>
                  </w:pPr>
                  <w:r>
                    <w:rPr>
                      <w:b/>
                      <w:bCs/>
                      <w:szCs w:val="21"/>
                    </w:rPr>
                    <w:t>声环境功能类别</w:t>
                  </w:r>
                </w:p>
              </w:tc>
              <w:tc>
                <w:tcPr>
                  <w:tcW w:w="1155" w:type="pct"/>
                  <w:vAlign w:val="center"/>
                </w:tcPr>
                <w:p>
                  <w:pPr>
                    <w:adjustRightInd w:val="0"/>
                    <w:jc w:val="center"/>
                    <w:rPr>
                      <w:b/>
                      <w:bCs/>
                      <w:szCs w:val="21"/>
                    </w:rPr>
                  </w:pPr>
                  <w:r>
                    <w:rPr>
                      <w:b/>
                      <w:bCs/>
                      <w:szCs w:val="21"/>
                    </w:rPr>
                    <w:t>昼间</w:t>
                  </w:r>
                </w:p>
              </w:tc>
              <w:tc>
                <w:tcPr>
                  <w:tcW w:w="1156" w:type="pct"/>
                  <w:vAlign w:val="center"/>
                </w:tcPr>
                <w:p>
                  <w:pPr>
                    <w:adjustRightInd w:val="0"/>
                    <w:jc w:val="center"/>
                    <w:rPr>
                      <w:b/>
                      <w:bCs/>
                      <w:szCs w:val="21"/>
                    </w:rPr>
                  </w:pPr>
                  <w:r>
                    <w:rPr>
                      <w:b/>
                      <w:bCs/>
                      <w:szCs w:val="21"/>
                    </w:rPr>
                    <w:t>夜间</w:t>
                  </w:r>
                </w:p>
              </w:tc>
              <w:tc>
                <w:tcPr>
                  <w:tcW w:w="1168" w:type="pct"/>
                  <w:vAlign w:val="center"/>
                </w:tcPr>
                <w:p>
                  <w:pPr>
                    <w:adjustRightInd w:val="0"/>
                    <w:jc w:val="center"/>
                    <w:rPr>
                      <w:b/>
                      <w:bCs/>
                      <w:szCs w:val="21"/>
                    </w:rPr>
                  </w:pPr>
                  <w:r>
                    <w:rPr>
                      <w:b/>
                      <w:bCs/>
                      <w:szCs w:val="21"/>
                    </w:rPr>
                    <w:t>执行区域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21" w:type="pct"/>
                  <w:vAlign w:val="center"/>
                </w:tcPr>
                <w:p>
                  <w:pPr>
                    <w:adjustRightInd w:val="0"/>
                    <w:jc w:val="center"/>
                    <w:rPr>
                      <w:szCs w:val="21"/>
                    </w:rPr>
                  </w:pPr>
                  <w:r>
                    <w:rPr>
                      <w:szCs w:val="21"/>
                    </w:rPr>
                    <w:t>2类</w:t>
                  </w:r>
                </w:p>
              </w:tc>
              <w:tc>
                <w:tcPr>
                  <w:tcW w:w="1155" w:type="pct"/>
                  <w:vAlign w:val="center"/>
                </w:tcPr>
                <w:p>
                  <w:pPr>
                    <w:adjustRightInd w:val="0"/>
                    <w:jc w:val="center"/>
                    <w:rPr>
                      <w:szCs w:val="21"/>
                    </w:rPr>
                  </w:pPr>
                  <w:r>
                    <w:rPr>
                      <w:szCs w:val="21"/>
                    </w:rPr>
                    <w:t>≤60dB（A）</w:t>
                  </w:r>
                </w:p>
              </w:tc>
              <w:tc>
                <w:tcPr>
                  <w:tcW w:w="1156" w:type="pct"/>
                  <w:vAlign w:val="center"/>
                </w:tcPr>
                <w:p>
                  <w:pPr>
                    <w:adjustRightInd w:val="0"/>
                    <w:jc w:val="center"/>
                    <w:rPr>
                      <w:szCs w:val="21"/>
                    </w:rPr>
                  </w:pPr>
                  <w:r>
                    <w:rPr>
                      <w:szCs w:val="21"/>
                    </w:rPr>
                    <w:t>≤50dB（A）</w:t>
                  </w:r>
                </w:p>
              </w:tc>
              <w:tc>
                <w:tcPr>
                  <w:tcW w:w="1168" w:type="pct"/>
                  <w:vAlign w:val="center"/>
                </w:tcPr>
                <w:p>
                  <w:pPr>
                    <w:adjustRightInd w:val="0"/>
                    <w:jc w:val="center"/>
                    <w:rPr>
                      <w:szCs w:val="21"/>
                    </w:rPr>
                  </w:pPr>
                  <w:r>
                    <w:rPr>
                      <w:rFonts w:hint="eastAsia"/>
                      <w:szCs w:val="21"/>
                    </w:rPr>
                    <w:t>厂房四周</w:t>
                  </w:r>
                </w:p>
              </w:tc>
            </w:tr>
          </w:tbl>
          <w:p>
            <w:pPr>
              <w:spacing w:line="360" w:lineRule="auto"/>
              <w:rPr>
                <w:b/>
                <w:sz w:val="24"/>
              </w:rPr>
            </w:pPr>
            <w:r>
              <w:rPr>
                <w:rFonts w:hint="eastAsia"/>
                <w:b/>
                <w:sz w:val="24"/>
              </w:rPr>
              <w:t>4</w:t>
            </w:r>
            <w:r>
              <w:rPr>
                <w:rFonts w:hAnsi="宋体"/>
                <w:b/>
                <w:sz w:val="24"/>
              </w:rPr>
              <w:t>、固废</w:t>
            </w:r>
            <w:r>
              <w:rPr>
                <w:rFonts w:hint="eastAsia" w:hAnsi="宋体"/>
                <w:b/>
                <w:sz w:val="24"/>
              </w:rPr>
              <w:t>标准</w:t>
            </w:r>
          </w:p>
          <w:p>
            <w:pPr>
              <w:snapToGrid w:val="0"/>
              <w:spacing w:line="360" w:lineRule="auto"/>
              <w:ind w:firstLine="480" w:firstLineChars="200"/>
              <w:rPr>
                <w:bCs/>
                <w:sz w:val="24"/>
              </w:rPr>
            </w:pPr>
            <w:r>
              <w:rPr>
                <w:bCs/>
                <w:sz w:val="24"/>
              </w:rPr>
              <w:t>（1）一般固体废物执行《一般工业固体废物贮存和填埋污染控制标准》（GB18599-2020）。</w:t>
            </w:r>
          </w:p>
          <w:p>
            <w:pPr>
              <w:snapToGrid w:val="0"/>
              <w:spacing w:line="360" w:lineRule="auto"/>
              <w:ind w:firstLine="480" w:firstLineChars="200"/>
              <w:rPr>
                <w:bCs/>
                <w:sz w:val="24"/>
              </w:rPr>
            </w:pPr>
            <w:r>
              <w:rPr>
                <w:bCs/>
                <w:sz w:val="24"/>
              </w:rPr>
              <w:t>（2）</w:t>
            </w:r>
            <w:r>
              <w:rPr>
                <w:rFonts w:hint="eastAsia"/>
                <w:bCs/>
                <w:sz w:val="24"/>
              </w:rPr>
              <w:t>危险废物</w:t>
            </w:r>
            <w:r>
              <w:rPr>
                <w:bCs/>
                <w:sz w:val="24"/>
              </w:rPr>
              <w:t>执行《危险废物贮存污染控制标准》(GB18597-2001)(2013年修订版)</w:t>
            </w:r>
            <w:r>
              <w:rPr>
                <w:rFonts w:hint="eastAsia"/>
                <w:bCs/>
                <w:sz w:val="24"/>
              </w:rPr>
              <w:t>，</w:t>
            </w:r>
            <w:r>
              <w:rPr>
                <w:bCs/>
                <w:sz w:val="24"/>
              </w:rPr>
              <w:t>同时执行《省生态环境厅关于进一步加强危险废物污染防治工作的实施意见》（苏环办[2019]327号）</w:t>
            </w:r>
            <w:r>
              <w:rPr>
                <w:rFonts w:hint="eastAsia"/>
                <w:bCs/>
                <w:sz w:val="24"/>
              </w:rPr>
              <w:t>、</w:t>
            </w:r>
            <w:r>
              <w:rPr>
                <w:bCs/>
                <w:sz w:val="24"/>
              </w:rPr>
              <w:t>《省生态环境厅关于进一步加强危险废物环境管理工作的通知》（苏环办［2021］207号）的要求。</w:t>
            </w:r>
          </w:p>
          <w:p>
            <w:pPr>
              <w:pStyle w:val="2"/>
              <w:ind w:left="-84" w:firstLine="560"/>
            </w:pPr>
          </w:p>
          <w:p>
            <w:pPr>
              <w:pStyle w:val="2"/>
              <w:ind w:left="-84" w:firstLine="560"/>
            </w:pPr>
          </w:p>
          <w:p>
            <w:pPr>
              <w:pStyle w:val="2"/>
              <w:ind w:left="0" w:leftChars="0" w:firstLine="383" w:firstLineChars="137"/>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3" w:hRule="atLeast"/>
          <w:jc w:val="center"/>
        </w:trPr>
        <w:tc>
          <w:tcPr>
            <w:tcW w:w="800" w:type="dxa"/>
            <w:vAlign w:val="center"/>
          </w:tcPr>
          <w:p>
            <w:pPr>
              <w:adjustRightInd w:val="0"/>
              <w:snapToGrid w:val="0"/>
              <w:jc w:val="center"/>
              <w:rPr>
                <w:rFonts w:ascii="宋体" w:hAnsi="宋体" w:cs="宋体"/>
                <w:kern w:val="0"/>
                <w:szCs w:val="21"/>
              </w:rPr>
            </w:pPr>
            <w:r>
              <w:rPr>
                <w:rFonts w:hint="eastAsia" w:ascii="宋体" w:hAnsi="宋体" w:cs="宋体"/>
                <w:kern w:val="0"/>
                <w:szCs w:val="21"/>
              </w:rPr>
              <w:t>总量</w:t>
            </w:r>
          </w:p>
          <w:p>
            <w:pPr>
              <w:adjustRightInd w:val="0"/>
              <w:snapToGrid w:val="0"/>
              <w:jc w:val="center"/>
              <w:rPr>
                <w:rFonts w:ascii="宋体" w:hAnsi="宋体" w:cs="宋体"/>
                <w:kern w:val="0"/>
                <w:szCs w:val="21"/>
              </w:rPr>
            </w:pPr>
            <w:r>
              <w:rPr>
                <w:rFonts w:hint="eastAsia" w:ascii="宋体" w:hAnsi="宋体" w:cs="宋体"/>
                <w:kern w:val="0"/>
                <w:szCs w:val="21"/>
              </w:rPr>
              <w:t>控制</w:t>
            </w:r>
          </w:p>
          <w:p>
            <w:pPr>
              <w:adjustRightInd w:val="0"/>
              <w:snapToGrid w:val="0"/>
              <w:jc w:val="center"/>
              <w:rPr>
                <w:rFonts w:ascii="宋体" w:hAnsi="宋体" w:cs="宋体"/>
                <w:kern w:val="0"/>
                <w:szCs w:val="21"/>
              </w:rPr>
            </w:pPr>
            <w:r>
              <w:rPr>
                <w:rFonts w:hint="eastAsia" w:ascii="宋体" w:hAnsi="宋体" w:cs="宋体"/>
                <w:kern w:val="0"/>
                <w:szCs w:val="21"/>
              </w:rPr>
              <w:t>指标</w:t>
            </w:r>
          </w:p>
        </w:tc>
        <w:tc>
          <w:tcPr>
            <w:tcW w:w="8190" w:type="dxa"/>
          </w:tcPr>
          <w:p>
            <w:pPr>
              <w:overflowPunct w:val="0"/>
              <w:snapToGrid w:val="0"/>
              <w:spacing w:line="360" w:lineRule="auto"/>
              <w:rPr>
                <w:b/>
                <w:bCs/>
                <w:sz w:val="24"/>
              </w:rPr>
            </w:pPr>
            <w:r>
              <w:rPr>
                <w:rFonts w:hint="eastAsia" w:ascii="宋体" w:hAnsi="宋体"/>
                <w:b/>
                <w:bCs/>
                <w:sz w:val="24"/>
              </w:rPr>
              <w:t>1、</w:t>
            </w:r>
            <w:r>
              <w:rPr>
                <w:b/>
                <w:bCs/>
                <w:sz w:val="24"/>
              </w:rPr>
              <w:t>总量控制因子</w:t>
            </w:r>
          </w:p>
          <w:p>
            <w:pPr>
              <w:overflowPunct w:val="0"/>
              <w:snapToGrid w:val="0"/>
              <w:spacing w:line="360" w:lineRule="auto"/>
              <w:ind w:firstLine="480" w:firstLineChars="200"/>
              <w:rPr>
                <w:sz w:val="24"/>
              </w:rPr>
            </w:pPr>
            <w:r>
              <w:rPr>
                <w:sz w:val="24"/>
              </w:rPr>
              <w:t>根据《市政府办公室关于印发&lt;常州市建设项目主要污染物排放总量指标审核及管理实施细则&gt;的通知》（常政办发[2015]104号）等文件规定，结合本项目排污特征，确定本项目总量控制因子。</w:t>
            </w:r>
          </w:p>
          <w:p>
            <w:pPr>
              <w:overflowPunct w:val="0"/>
              <w:autoSpaceDE w:val="0"/>
              <w:snapToGrid w:val="0"/>
              <w:spacing w:line="360" w:lineRule="auto"/>
              <w:ind w:firstLine="480" w:firstLineChars="200"/>
              <w:rPr>
                <w:rFonts w:ascii="宋体" w:hAnsi="宋体"/>
                <w:b/>
                <w:bCs/>
                <w:sz w:val="24"/>
              </w:rPr>
            </w:pPr>
            <w:r>
              <w:rPr>
                <w:sz w:val="24"/>
              </w:rPr>
              <w:t>水污染物总量控制因子：COD、NH</w:t>
            </w:r>
            <w:r>
              <w:rPr>
                <w:sz w:val="24"/>
                <w:vertAlign w:val="subscript"/>
              </w:rPr>
              <w:t>3</w:t>
            </w:r>
            <w:r>
              <w:rPr>
                <w:sz w:val="24"/>
              </w:rPr>
              <w:t>-N、TN、TP</w:t>
            </w:r>
            <w:r>
              <w:rPr>
                <w:rFonts w:hint="eastAsia"/>
                <w:sz w:val="24"/>
              </w:rPr>
              <w:t>，</w:t>
            </w:r>
            <w:r>
              <w:rPr>
                <w:rFonts w:hint="eastAsia" w:ascii="宋体" w:hAnsi="宋体" w:cs="宋体"/>
                <w:color w:val="000000"/>
                <w:kern w:val="0"/>
                <w:sz w:val="24"/>
              </w:rPr>
              <w:t>总量考核因子：</w:t>
            </w:r>
            <w:r>
              <w:rPr>
                <w:color w:val="000000"/>
                <w:kern w:val="0"/>
                <w:sz w:val="24"/>
              </w:rPr>
              <w:t>SS</w:t>
            </w:r>
            <w:r>
              <w:rPr>
                <w:rFonts w:hint="eastAsia"/>
                <w:color w:val="000000"/>
                <w:kern w:val="0"/>
                <w:sz w:val="24"/>
              </w:rPr>
              <w:t>。</w:t>
            </w:r>
          </w:p>
          <w:p>
            <w:pPr>
              <w:overflowPunct w:val="0"/>
              <w:snapToGrid w:val="0"/>
              <w:spacing w:line="360" w:lineRule="auto"/>
              <w:rPr>
                <w:b/>
                <w:bCs/>
                <w:sz w:val="24"/>
              </w:rPr>
            </w:pPr>
            <w:r>
              <w:rPr>
                <w:b/>
                <w:bCs/>
                <w:sz w:val="24"/>
              </w:rPr>
              <w:t>2、总量控制指标</w:t>
            </w:r>
          </w:p>
          <w:p>
            <w:pPr>
              <w:overflowPunct w:val="0"/>
              <w:snapToGrid w:val="0"/>
              <w:spacing w:line="360" w:lineRule="auto"/>
              <w:ind w:firstLine="480" w:firstLineChars="200"/>
              <w:rPr>
                <w:sz w:val="24"/>
              </w:rPr>
            </w:pPr>
            <w:r>
              <w:rPr>
                <w:sz w:val="24"/>
              </w:rPr>
              <w:t>本项目建成后污染物总量控制指标见下表：</w:t>
            </w:r>
          </w:p>
          <w:p>
            <w:pPr>
              <w:adjustRightInd w:val="0"/>
              <w:snapToGrid w:val="0"/>
              <w:jc w:val="center"/>
              <w:rPr>
                <w:b/>
                <w:bCs/>
                <w:sz w:val="24"/>
              </w:rPr>
            </w:pPr>
            <w:r>
              <w:rPr>
                <w:b/>
                <w:bCs/>
                <w:sz w:val="24"/>
              </w:rPr>
              <w:t>表</w:t>
            </w:r>
            <w:r>
              <w:rPr>
                <w:rFonts w:hint="eastAsia"/>
                <w:b/>
                <w:bCs/>
                <w:sz w:val="24"/>
              </w:rPr>
              <w:t xml:space="preserve">3-9 </w:t>
            </w:r>
            <w:r>
              <w:rPr>
                <w:b/>
                <w:bCs/>
                <w:sz w:val="24"/>
              </w:rPr>
              <w:t>全厂污染物排放情况一览表(t/a)</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84"/>
              <w:gridCol w:w="1330"/>
              <w:gridCol w:w="1451"/>
              <w:gridCol w:w="1322"/>
              <w:gridCol w:w="1445"/>
              <w:gridCol w:w="14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617" w:type="pct"/>
                  <w:vAlign w:val="center"/>
                </w:tcPr>
                <w:p>
                  <w:pPr>
                    <w:widowControl/>
                    <w:jc w:val="center"/>
                    <w:rPr>
                      <w:b/>
                      <w:bCs/>
                      <w:szCs w:val="21"/>
                    </w:rPr>
                  </w:pPr>
                  <w:r>
                    <w:rPr>
                      <w:b/>
                      <w:bCs/>
                      <w:szCs w:val="21"/>
                    </w:rPr>
                    <w:t>种类</w:t>
                  </w:r>
                </w:p>
              </w:tc>
              <w:tc>
                <w:tcPr>
                  <w:tcW w:w="834" w:type="pct"/>
                  <w:vAlign w:val="center"/>
                </w:tcPr>
                <w:p>
                  <w:pPr>
                    <w:widowControl/>
                    <w:jc w:val="center"/>
                    <w:rPr>
                      <w:b/>
                      <w:bCs/>
                      <w:szCs w:val="21"/>
                    </w:rPr>
                  </w:pPr>
                  <w:r>
                    <w:rPr>
                      <w:b/>
                      <w:bCs/>
                      <w:szCs w:val="21"/>
                    </w:rPr>
                    <w:t>污染物名称</w:t>
                  </w:r>
                </w:p>
              </w:tc>
              <w:tc>
                <w:tcPr>
                  <w:tcW w:w="910" w:type="pct"/>
                  <w:vAlign w:val="center"/>
                </w:tcPr>
                <w:p>
                  <w:pPr>
                    <w:widowControl/>
                    <w:jc w:val="center"/>
                    <w:rPr>
                      <w:b/>
                      <w:bCs/>
                      <w:szCs w:val="21"/>
                    </w:rPr>
                  </w:pPr>
                  <w:r>
                    <w:rPr>
                      <w:b/>
                      <w:bCs/>
                      <w:szCs w:val="21"/>
                    </w:rPr>
                    <w:t>产生量</w:t>
                  </w:r>
                </w:p>
              </w:tc>
              <w:tc>
                <w:tcPr>
                  <w:tcW w:w="829" w:type="pct"/>
                  <w:vAlign w:val="center"/>
                </w:tcPr>
                <w:p>
                  <w:pPr>
                    <w:widowControl/>
                    <w:jc w:val="center"/>
                    <w:rPr>
                      <w:b/>
                      <w:bCs/>
                      <w:szCs w:val="21"/>
                    </w:rPr>
                  </w:pPr>
                  <w:r>
                    <w:rPr>
                      <w:b/>
                      <w:bCs/>
                      <w:szCs w:val="21"/>
                    </w:rPr>
                    <w:t>削减量</w:t>
                  </w:r>
                </w:p>
              </w:tc>
              <w:tc>
                <w:tcPr>
                  <w:tcW w:w="906" w:type="pct"/>
                  <w:vAlign w:val="center"/>
                </w:tcPr>
                <w:p>
                  <w:pPr>
                    <w:widowControl/>
                    <w:jc w:val="center"/>
                    <w:rPr>
                      <w:b/>
                      <w:bCs/>
                      <w:szCs w:val="21"/>
                    </w:rPr>
                  </w:pPr>
                  <w:r>
                    <w:rPr>
                      <w:b/>
                      <w:bCs/>
                      <w:szCs w:val="21"/>
                    </w:rPr>
                    <w:t>排放量</w:t>
                  </w:r>
                </w:p>
              </w:tc>
              <w:tc>
                <w:tcPr>
                  <w:tcW w:w="904" w:type="pct"/>
                  <w:vAlign w:val="center"/>
                </w:tcPr>
                <w:p>
                  <w:pPr>
                    <w:widowControl/>
                    <w:jc w:val="center"/>
                    <w:rPr>
                      <w:b/>
                      <w:bCs/>
                      <w:szCs w:val="21"/>
                    </w:rPr>
                  </w:pPr>
                  <w:r>
                    <w:rPr>
                      <w:b/>
                      <w:bCs/>
                      <w:szCs w:val="21"/>
                    </w:rPr>
                    <w:t>外排环境量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7" w:type="pct"/>
                  <w:vMerge w:val="restart"/>
                  <w:vAlign w:val="center"/>
                </w:tcPr>
                <w:p>
                  <w:pPr>
                    <w:widowControl/>
                    <w:jc w:val="center"/>
                    <w:rPr>
                      <w:bCs/>
                      <w:szCs w:val="21"/>
                    </w:rPr>
                  </w:pPr>
                  <w:r>
                    <w:rPr>
                      <w:bCs/>
                      <w:szCs w:val="21"/>
                    </w:rPr>
                    <w:t>废水</w:t>
                  </w:r>
                </w:p>
              </w:tc>
              <w:tc>
                <w:tcPr>
                  <w:tcW w:w="834" w:type="pct"/>
                  <w:vAlign w:val="center"/>
                </w:tcPr>
                <w:p>
                  <w:pPr>
                    <w:jc w:val="center"/>
                    <w:rPr>
                      <w:szCs w:val="21"/>
                    </w:rPr>
                  </w:pPr>
                  <w:r>
                    <w:rPr>
                      <w:szCs w:val="21"/>
                    </w:rPr>
                    <w:t>水量</w:t>
                  </w:r>
                </w:p>
              </w:tc>
              <w:tc>
                <w:tcPr>
                  <w:tcW w:w="910" w:type="pct"/>
                  <w:vAlign w:val="center"/>
                </w:tcPr>
                <w:p>
                  <w:pPr>
                    <w:jc w:val="center"/>
                    <w:rPr>
                      <w:szCs w:val="21"/>
                    </w:rPr>
                  </w:pPr>
                  <w:r>
                    <w:rPr>
                      <w:rFonts w:hint="eastAsia"/>
                      <w:szCs w:val="21"/>
                    </w:rPr>
                    <w:t>528</w:t>
                  </w:r>
                </w:p>
              </w:tc>
              <w:tc>
                <w:tcPr>
                  <w:tcW w:w="829" w:type="pct"/>
                  <w:vAlign w:val="center"/>
                </w:tcPr>
                <w:p>
                  <w:pPr>
                    <w:jc w:val="center"/>
                    <w:rPr>
                      <w:szCs w:val="21"/>
                    </w:rPr>
                  </w:pPr>
                  <w:r>
                    <w:rPr>
                      <w:rFonts w:hint="eastAsia"/>
                      <w:szCs w:val="21"/>
                    </w:rPr>
                    <w:t>0</w:t>
                  </w:r>
                </w:p>
              </w:tc>
              <w:tc>
                <w:tcPr>
                  <w:tcW w:w="906" w:type="pct"/>
                  <w:vAlign w:val="center"/>
                </w:tcPr>
                <w:p>
                  <w:pPr>
                    <w:jc w:val="center"/>
                    <w:rPr>
                      <w:szCs w:val="21"/>
                    </w:rPr>
                  </w:pPr>
                  <w:r>
                    <w:rPr>
                      <w:rFonts w:hint="eastAsia"/>
                      <w:szCs w:val="21"/>
                    </w:rPr>
                    <w:t>528</w:t>
                  </w:r>
                </w:p>
              </w:tc>
              <w:tc>
                <w:tcPr>
                  <w:tcW w:w="904" w:type="pct"/>
                  <w:vAlign w:val="center"/>
                </w:tcPr>
                <w:p>
                  <w:pPr>
                    <w:jc w:val="center"/>
                    <w:rPr>
                      <w:szCs w:val="21"/>
                    </w:rPr>
                  </w:pPr>
                  <w:r>
                    <w:rPr>
                      <w:rFonts w:hint="eastAsia"/>
                      <w:szCs w:val="21"/>
                    </w:rPr>
                    <w:t>528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7" w:type="pct"/>
                  <w:vMerge w:val="continue"/>
                  <w:vAlign w:val="center"/>
                </w:tcPr>
                <w:p>
                  <w:pPr>
                    <w:widowControl/>
                    <w:jc w:val="left"/>
                    <w:rPr>
                      <w:bCs/>
                      <w:szCs w:val="21"/>
                    </w:rPr>
                  </w:pPr>
                </w:p>
              </w:tc>
              <w:tc>
                <w:tcPr>
                  <w:tcW w:w="834" w:type="pct"/>
                  <w:vAlign w:val="center"/>
                </w:tcPr>
                <w:p>
                  <w:pPr>
                    <w:jc w:val="center"/>
                    <w:rPr>
                      <w:szCs w:val="21"/>
                    </w:rPr>
                  </w:pPr>
                  <w:r>
                    <w:rPr>
                      <w:szCs w:val="21"/>
                    </w:rPr>
                    <w:t>COD</w:t>
                  </w:r>
                </w:p>
              </w:tc>
              <w:tc>
                <w:tcPr>
                  <w:tcW w:w="910" w:type="pct"/>
                  <w:vAlign w:val="center"/>
                </w:tcPr>
                <w:p>
                  <w:pPr>
                    <w:widowControl/>
                    <w:jc w:val="center"/>
                    <w:rPr>
                      <w:szCs w:val="21"/>
                    </w:rPr>
                  </w:pPr>
                  <w:r>
                    <w:rPr>
                      <w:rFonts w:hint="eastAsia"/>
                      <w:szCs w:val="21"/>
                    </w:rPr>
                    <w:t>0.211</w:t>
                  </w:r>
                </w:p>
              </w:tc>
              <w:tc>
                <w:tcPr>
                  <w:tcW w:w="829" w:type="pct"/>
                  <w:vAlign w:val="center"/>
                </w:tcPr>
                <w:p>
                  <w:pPr>
                    <w:jc w:val="center"/>
                    <w:rPr>
                      <w:szCs w:val="21"/>
                    </w:rPr>
                  </w:pPr>
                  <w:r>
                    <w:rPr>
                      <w:rFonts w:hint="eastAsia"/>
                      <w:szCs w:val="21"/>
                    </w:rPr>
                    <w:t>0</w:t>
                  </w:r>
                </w:p>
              </w:tc>
              <w:tc>
                <w:tcPr>
                  <w:tcW w:w="906" w:type="pct"/>
                  <w:vAlign w:val="center"/>
                </w:tcPr>
                <w:p>
                  <w:pPr>
                    <w:widowControl/>
                    <w:jc w:val="center"/>
                    <w:rPr>
                      <w:szCs w:val="21"/>
                    </w:rPr>
                  </w:pPr>
                  <w:r>
                    <w:rPr>
                      <w:rFonts w:hint="eastAsia"/>
                      <w:szCs w:val="21"/>
                    </w:rPr>
                    <w:t>0.211</w:t>
                  </w:r>
                </w:p>
              </w:tc>
              <w:tc>
                <w:tcPr>
                  <w:tcW w:w="904" w:type="pct"/>
                  <w:vAlign w:val="center"/>
                </w:tcPr>
                <w:p>
                  <w:pPr>
                    <w:widowControl/>
                    <w:jc w:val="center"/>
                    <w:rPr>
                      <w:szCs w:val="21"/>
                    </w:rPr>
                  </w:pPr>
                  <w:r>
                    <w:rPr>
                      <w:rFonts w:hint="eastAsia"/>
                      <w:szCs w:val="21"/>
                    </w:rPr>
                    <w:t>0.0264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7" w:type="pct"/>
                  <w:vMerge w:val="continue"/>
                  <w:vAlign w:val="center"/>
                </w:tcPr>
                <w:p>
                  <w:pPr>
                    <w:widowControl/>
                    <w:jc w:val="left"/>
                    <w:rPr>
                      <w:bCs/>
                      <w:szCs w:val="21"/>
                    </w:rPr>
                  </w:pPr>
                </w:p>
              </w:tc>
              <w:tc>
                <w:tcPr>
                  <w:tcW w:w="834" w:type="pct"/>
                  <w:vAlign w:val="center"/>
                </w:tcPr>
                <w:p>
                  <w:pPr>
                    <w:jc w:val="center"/>
                    <w:rPr>
                      <w:szCs w:val="21"/>
                    </w:rPr>
                  </w:pPr>
                  <w:r>
                    <w:rPr>
                      <w:szCs w:val="21"/>
                    </w:rPr>
                    <w:t>SS</w:t>
                  </w:r>
                </w:p>
              </w:tc>
              <w:tc>
                <w:tcPr>
                  <w:tcW w:w="910" w:type="pct"/>
                  <w:vAlign w:val="center"/>
                </w:tcPr>
                <w:p>
                  <w:pPr>
                    <w:widowControl/>
                    <w:jc w:val="center"/>
                    <w:rPr>
                      <w:szCs w:val="21"/>
                    </w:rPr>
                  </w:pPr>
                  <w:r>
                    <w:rPr>
                      <w:rFonts w:hint="eastAsia"/>
                      <w:szCs w:val="21"/>
                    </w:rPr>
                    <w:t>0.158</w:t>
                  </w:r>
                </w:p>
              </w:tc>
              <w:tc>
                <w:tcPr>
                  <w:tcW w:w="829" w:type="pct"/>
                  <w:vAlign w:val="center"/>
                </w:tcPr>
                <w:p>
                  <w:pPr>
                    <w:jc w:val="center"/>
                    <w:rPr>
                      <w:szCs w:val="21"/>
                    </w:rPr>
                  </w:pPr>
                  <w:r>
                    <w:rPr>
                      <w:rFonts w:hint="eastAsia"/>
                      <w:szCs w:val="21"/>
                    </w:rPr>
                    <w:t>0</w:t>
                  </w:r>
                </w:p>
              </w:tc>
              <w:tc>
                <w:tcPr>
                  <w:tcW w:w="906" w:type="pct"/>
                  <w:vAlign w:val="center"/>
                </w:tcPr>
                <w:p>
                  <w:pPr>
                    <w:widowControl/>
                    <w:jc w:val="center"/>
                    <w:rPr>
                      <w:szCs w:val="21"/>
                    </w:rPr>
                  </w:pPr>
                  <w:r>
                    <w:rPr>
                      <w:rFonts w:hint="eastAsia"/>
                      <w:szCs w:val="21"/>
                    </w:rPr>
                    <w:t>0.158</w:t>
                  </w:r>
                </w:p>
              </w:tc>
              <w:tc>
                <w:tcPr>
                  <w:tcW w:w="904" w:type="pct"/>
                  <w:vAlign w:val="center"/>
                </w:tcPr>
                <w:p>
                  <w:pPr>
                    <w:widowControl/>
                    <w:jc w:val="center"/>
                    <w:rPr>
                      <w:szCs w:val="21"/>
                    </w:rPr>
                  </w:pPr>
                  <w:r>
                    <w:rPr>
                      <w:rFonts w:hint="eastAsia"/>
                      <w:szCs w:val="21"/>
                    </w:rPr>
                    <w:t>0.00528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7" w:type="pct"/>
                  <w:vMerge w:val="continue"/>
                  <w:vAlign w:val="center"/>
                </w:tcPr>
                <w:p>
                  <w:pPr>
                    <w:widowControl/>
                    <w:jc w:val="left"/>
                    <w:rPr>
                      <w:bCs/>
                      <w:szCs w:val="21"/>
                    </w:rPr>
                  </w:pPr>
                </w:p>
              </w:tc>
              <w:tc>
                <w:tcPr>
                  <w:tcW w:w="834" w:type="pct"/>
                  <w:vAlign w:val="center"/>
                </w:tcPr>
                <w:p>
                  <w:pPr>
                    <w:jc w:val="center"/>
                    <w:rPr>
                      <w:szCs w:val="21"/>
                    </w:rPr>
                  </w:pPr>
                  <w:r>
                    <w:rPr>
                      <w:szCs w:val="21"/>
                    </w:rPr>
                    <w:t>TN</w:t>
                  </w:r>
                </w:p>
              </w:tc>
              <w:tc>
                <w:tcPr>
                  <w:tcW w:w="910" w:type="pct"/>
                  <w:vAlign w:val="center"/>
                </w:tcPr>
                <w:p>
                  <w:pPr>
                    <w:widowControl/>
                    <w:jc w:val="center"/>
                    <w:rPr>
                      <w:szCs w:val="21"/>
                    </w:rPr>
                  </w:pPr>
                  <w:r>
                    <w:rPr>
                      <w:rFonts w:hint="eastAsia"/>
                      <w:szCs w:val="21"/>
                    </w:rPr>
                    <w:t>0.0264</w:t>
                  </w:r>
                </w:p>
              </w:tc>
              <w:tc>
                <w:tcPr>
                  <w:tcW w:w="829" w:type="pct"/>
                  <w:vAlign w:val="center"/>
                </w:tcPr>
                <w:p>
                  <w:pPr>
                    <w:jc w:val="center"/>
                    <w:rPr>
                      <w:szCs w:val="21"/>
                    </w:rPr>
                  </w:pPr>
                  <w:r>
                    <w:rPr>
                      <w:rFonts w:hint="eastAsia"/>
                      <w:szCs w:val="21"/>
                    </w:rPr>
                    <w:t>0</w:t>
                  </w:r>
                </w:p>
              </w:tc>
              <w:tc>
                <w:tcPr>
                  <w:tcW w:w="906" w:type="pct"/>
                  <w:vAlign w:val="center"/>
                </w:tcPr>
                <w:p>
                  <w:pPr>
                    <w:widowControl/>
                    <w:jc w:val="center"/>
                    <w:rPr>
                      <w:szCs w:val="21"/>
                    </w:rPr>
                  </w:pPr>
                  <w:r>
                    <w:rPr>
                      <w:rFonts w:hint="eastAsia"/>
                      <w:szCs w:val="21"/>
                    </w:rPr>
                    <w:t>0.0264</w:t>
                  </w:r>
                </w:p>
              </w:tc>
              <w:tc>
                <w:tcPr>
                  <w:tcW w:w="904" w:type="pct"/>
                  <w:vAlign w:val="center"/>
                </w:tcPr>
                <w:p>
                  <w:pPr>
                    <w:widowControl/>
                    <w:jc w:val="center"/>
                    <w:rPr>
                      <w:szCs w:val="21"/>
                    </w:rPr>
                  </w:pPr>
                  <w:r>
                    <w:rPr>
                      <w:rFonts w:hint="eastAsia"/>
                      <w:szCs w:val="21"/>
                    </w:rPr>
                    <w:t>0.00634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7" w:type="pct"/>
                  <w:vMerge w:val="continue"/>
                  <w:vAlign w:val="center"/>
                </w:tcPr>
                <w:p>
                  <w:pPr>
                    <w:widowControl/>
                    <w:jc w:val="left"/>
                    <w:rPr>
                      <w:bCs/>
                      <w:szCs w:val="21"/>
                    </w:rPr>
                  </w:pPr>
                </w:p>
              </w:tc>
              <w:tc>
                <w:tcPr>
                  <w:tcW w:w="834" w:type="pct"/>
                  <w:vAlign w:val="center"/>
                </w:tcPr>
                <w:p>
                  <w:pPr>
                    <w:jc w:val="center"/>
                    <w:rPr>
                      <w:szCs w:val="21"/>
                    </w:rPr>
                  </w:pPr>
                  <w:r>
                    <w:rPr>
                      <w:szCs w:val="21"/>
                    </w:rPr>
                    <w:t>氨氮</w:t>
                  </w:r>
                </w:p>
              </w:tc>
              <w:tc>
                <w:tcPr>
                  <w:tcW w:w="910" w:type="pct"/>
                  <w:vAlign w:val="center"/>
                </w:tcPr>
                <w:p>
                  <w:pPr>
                    <w:widowControl/>
                    <w:jc w:val="center"/>
                    <w:rPr>
                      <w:szCs w:val="21"/>
                    </w:rPr>
                  </w:pPr>
                  <w:r>
                    <w:rPr>
                      <w:rFonts w:hint="eastAsia"/>
                      <w:szCs w:val="21"/>
                    </w:rPr>
                    <w:t>0.0132</w:t>
                  </w:r>
                </w:p>
              </w:tc>
              <w:tc>
                <w:tcPr>
                  <w:tcW w:w="829" w:type="pct"/>
                  <w:vAlign w:val="center"/>
                </w:tcPr>
                <w:p>
                  <w:pPr>
                    <w:jc w:val="center"/>
                    <w:rPr>
                      <w:szCs w:val="21"/>
                    </w:rPr>
                  </w:pPr>
                  <w:r>
                    <w:rPr>
                      <w:rFonts w:hint="eastAsia"/>
                      <w:szCs w:val="21"/>
                    </w:rPr>
                    <w:t>0</w:t>
                  </w:r>
                </w:p>
              </w:tc>
              <w:tc>
                <w:tcPr>
                  <w:tcW w:w="906" w:type="pct"/>
                  <w:vAlign w:val="center"/>
                </w:tcPr>
                <w:p>
                  <w:pPr>
                    <w:widowControl/>
                    <w:jc w:val="center"/>
                    <w:rPr>
                      <w:szCs w:val="21"/>
                    </w:rPr>
                  </w:pPr>
                  <w:r>
                    <w:rPr>
                      <w:rFonts w:hint="eastAsia"/>
                      <w:szCs w:val="21"/>
                    </w:rPr>
                    <w:t>0.0132</w:t>
                  </w:r>
                </w:p>
              </w:tc>
              <w:tc>
                <w:tcPr>
                  <w:tcW w:w="904" w:type="pct"/>
                  <w:vAlign w:val="center"/>
                </w:tcPr>
                <w:p>
                  <w:pPr>
                    <w:widowControl/>
                    <w:jc w:val="center"/>
                    <w:rPr>
                      <w:szCs w:val="21"/>
                    </w:rPr>
                  </w:pPr>
                  <w:r>
                    <w:rPr>
                      <w:rFonts w:hint="eastAsia"/>
                      <w:szCs w:val="21"/>
                    </w:rPr>
                    <w:t>0.00211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7" w:type="pct"/>
                  <w:vMerge w:val="continue"/>
                  <w:vAlign w:val="center"/>
                </w:tcPr>
                <w:p>
                  <w:pPr>
                    <w:widowControl/>
                    <w:jc w:val="left"/>
                    <w:rPr>
                      <w:bCs/>
                      <w:szCs w:val="21"/>
                    </w:rPr>
                  </w:pPr>
                </w:p>
              </w:tc>
              <w:tc>
                <w:tcPr>
                  <w:tcW w:w="834" w:type="pct"/>
                  <w:vAlign w:val="center"/>
                </w:tcPr>
                <w:p>
                  <w:pPr>
                    <w:jc w:val="center"/>
                    <w:rPr>
                      <w:szCs w:val="21"/>
                    </w:rPr>
                  </w:pPr>
                  <w:r>
                    <w:rPr>
                      <w:szCs w:val="21"/>
                    </w:rPr>
                    <w:t>TP</w:t>
                  </w:r>
                </w:p>
              </w:tc>
              <w:tc>
                <w:tcPr>
                  <w:tcW w:w="910" w:type="pct"/>
                  <w:vAlign w:val="center"/>
                </w:tcPr>
                <w:p>
                  <w:pPr>
                    <w:widowControl/>
                    <w:jc w:val="center"/>
                    <w:rPr>
                      <w:szCs w:val="21"/>
                    </w:rPr>
                  </w:pPr>
                  <w:r>
                    <w:rPr>
                      <w:rFonts w:hint="eastAsia"/>
                      <w:szCs w:val="21"/>
                    </w:rPr>
                    <w:t>0.00264</w:t>
                  </w:r>
                </w:p>
              </w:tc>
              <w:tc>
                <w:tcPr>
                  <w:tcW w:w="829" w:type="pct"/>
                  <w:vAlign w:val="center"/>
                </w:tcPr>
                <w:p>
                  <w:pPr>
                    <w:jc w:val="center"/>
                    <w:rPr>
                      <w:szCs w:val="21"/>
                    </w:rPr>
                  </w:pPr>
                  <w:r>
                    <w:rPr>
                      <w:rFonts w:hint="eastAsia"/>
                      <w:szCs w:val="21"/>
                    </w:rPr>
                    <w:t>0</w:t>
                  </w:r>
                </w:p>
              </w:tc>
              <w:tc>
                <w:tcPr>
                  <w:tcW w:w="906" w:type="pct"/>
                  <w:vAlign w:val="center"/>
                </w:tcPr>
                <w:p>
                  <w:pPr>
                    <w:widowControl/>
                    <w:jc w:val="center"/>
                    <w:rPr>
                      <w:szCs w:val="21"/>
                    </w:rPr>
                  </w:pPr>
                  <w:r>
                    <w:rPr>
                      <w:rFonts w:hint="eastAsia"/>
                      <w:szCs w:val="21"/>
                    </w:rPr>
                    <w:t>0.00264</w:t>
                  </w:r>
                </w:p>
              </w:tc>
              <w:tc>
                <w:tcPr>
                  <w:tcW w:w="904" w:type="pct"/>
                  <w:vAlign w:val="center"/>
                </w:tcPr>
                <w:p>
                  <w:pPr>
                    <w:widowControl/>
                    <w:jc w:val="center"/>
                    <w:rPr>
                      <w:szCs w:val="21"/>
                    </w:rPr>
                  </w:pPr>
                  <w:r>
                    <w:rPr>
                      <w:rFonts w:hint="eastAsia"/>
                      <w:szCs w:val="21"/>
                    </w:rPr>
                    <w:t>0.000264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7" w:type="pct"/>
                  <w:vMerge w:val="continue"/>
                  <w:vAlign w:val="center"/>
                </w:tcPr>
                <w:p>
                  <w:pPr>
                    <w:widowControl/>
                    <w:jc w:val="left"/>
                    <w:rPr>
                      <w:bCs/>
                      <w:szCs w:val="21"/>
                    </w:rPr>
                  </w:pPr>
                </w:p>
              </w:tc>
              <w:tc>
                <w:tcPr>
                  <w:tcW w:w="834" w:type="pct"/>
                  <w:vAlign w:val="center"/>
                </w:tcPr>
                <w:p>
                  <w:pPr>
                    <w:jc w:val="center"/>
                    <w:rPr>
                      <w:szCs w:val="21"/>
                    </w:rPr>
                  </w:pPr>
                  <w:r>
                    <w:rPr>
                      <w:rFonts w:hint="eastAsia"/>
                      <w:szCs w:val="21"/>
                    </w:rPr>
                    <w:t>动植物油</w:t>
                  </w:r>
                </w:p>
              </w:tc>
              <w:tc>
                <w:tcPr>
                  <w:tcW w:w="910" w:type="pct"/>
                  <w:vAlign w:val="center"/>
                </w:tcPr>
                <w:p>
                  <w:pPr>
                    <w:widowControl/>
                    <w:jc w:val="center"/>
                    <w:rPr>
                      <w:szCs w:val="21"/>
                    </w:rPr>
                  </w:pPr>
                  <w:r>
                    <w:rPr>
                      <w:rFonts w:hint="eastAsia"/>
                      <w:szCs w:val="21"/>
                    </w:rPr>
                    <w:t>0.00384</w:t>
                  </w:r>
                </w:p>
              </w:tc>
              <w:tc>
                <w:tcPr>
                  <w:tcW w:w="829" w:type="pct"/>
                  <w:vAlign w:val="center"/>
                </w:tcPr>
                <w:p>
                  <w:pPr>
                    <w:jc w:val="center"/>
                  </w:pPr>
                  <w:r>
                    <w:rPr>
                      <w:rFonts w:hint="eastAsia"/>
                      <w:szCs w:val="21"/>
                    </w:rPr>
                    <w:t>0.00192</w:t>
                  </w:r>
                </w:p>
              </w:tc>
              <w:tc>
                <w:tcPr>
                  <w:tcW w:w="906" w:type="pct"/>
                  <w:vAlign w:val="center"/>
                </w:tcPr>
                <w:p>
                  <w:pPr>
                    <w:widowControl/>
                    <w:jc w:val="center"/>
                    <w:rPr>
                      <w:szCs w:val="21"/>
                    </w:rPr>
                  </w:pPr>
                  <w:r>
                    <w:rPr>
                      <w:rFonts w:hint="eastAsia"/>
                      <w:szCs w:val="21"/>
                    </w:rPr>
                    <w:t>0.00192</w:t>
                  </w:r>
                </w:p>
              </w:tc>
              <w:tc>
                <w:tcPr>
                  <w:tcW w:w="904" w:type="pct"/>
                  <w:vAlign w:val="center"/>
                </w:tcPr>
                <w:p>
                  <w:pPr>
                    <w:widowControl/>
                    <w:jc w:val="center"/>
                    <w:rPr>
                      <w:szCs w:val="21"/>
                    </w:rPr>
                  </w:pPr>
                  <w:r>
                    <w:rPr>
                      <w:rFonts w:hint="eastAsia"/>
                      <w:szCs w:val="21"/>
                    </w:rPr>
                    <w:t>0.000528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7" w:type="pct"/>
                  <w:vMerge w:val="restart"/>
                  <w:vAlign w:val="center"/>
                </w:tcPr>
                <w:p>
                  <w:pPr>
                    <w:widowControl/>
                    <w:jc w:val="center"/>
                    <w:rPr>
                      <w:bCs/>
                      <w:szCs w:val="21"/>
                    </w:rPr>
                  </w:pPr>
                  <w:r>
                    <w:rPr>
                      <w:bCs/>
                      <w:szCs w:val="21"/>
                    </w:rPr>
                    <w:t>固废</w:t>
                  </w:r>
                </w:p>
              </w:tc>
              <w:tc>
                <w:tcPr>
                  <w:tcW w:w="834" w:type="pct"/>
                  <w:vAlign w:val="center"/>
                </w:tcPr>
                <w:p>
                  <w:pPr>
                    <w:jc w:val="center"/>
                    <w:rPr>
                      <w:szCs w:val="21"/>
                    </w:rPr>
                  </w:pPr>
                  <w:r>
                    <w:rPr>
                      <w:szCs w:val="21"/>
                    </w:rPr>
                    <w:t>一般固废</w:t>
                  </w:r>
                </w:p>
              </w:tc>
              <w:tc>
                <w:tcPr>
                  <w:tcW w:w="910" w:type="pct"/>
                  <w:vAlign w:val="center"/>
                </w:tcPr>
                <w:p>
                  <w:pPr>
                    <w:jc w:val="center"/>
                    <w:rPr>
                      <w:szCs w:val="21"/>
                    </w:rPr>
                  </w:pPr>
                  <w:r>
                    <w:rPr>
                      <w:rFonts w:hint="eastAsia"/>
                      <w:szCs w:val="21"/>
                    </w:rPr>
                    <w:t>11.01</w:t>
                  </w:r>
                </w:p>
              </w:tc>
              <w:tc>
                <w:tcPr>
                  <w:tcW w:w="829" w:type="pct"/>
                  <w:vAlign w:val="center"/>
                </w:tcPr>
                <w:p>
                  <w:pPr>
                    <w:jc w:val="center"/>
                  </w:pPr>
                  <w:r>
                    <w:rPr>
                      <w:rFonts w:hint="eastAsia"/>
                      <w:szCs w:val="21"/>
                    </w:rPr>
                    <w:t>11.01</w:t>
                  </w:r>
                </w:p>
              </w:tc>
              <w:tc>
                <w:tcPr>
                  <w:tcW w:w="906" w:type="pct"/>
                  <w:vAlign w:val="center"/>
                </w:tcPr>
                <w:p>
                  <w:pPr>
                    <w:jc w:val="center"/>
                    <w:rPr>
                      <w:szCs w:val="21"/>
                    </w:rPr>
                  </w:pPr>
                  <w:r>
                    <w:rPr>
                      <w:rFonts w:hint="eastAsia"/>
                      <w:szCs w:val="21"/>
                    </w:rPr>
                    <w:t>0</w:t>
                  </w:r>
                </w:p>
              </w:tc>
              <w:tc>
                <w:tcPr>
                  <w:tcW w:w="904" w:type="pct"/>
                  <w:vAlign w:val="center"/>
                </w:tcPr>
                <w:p>
                  <w:pPr>
                    <w:jc w:val="center"/>
                    <w:rPr>
                      <w:szCs w:val="21"/>
                    </w:rPr>
                  </w:pPr>
                  <w:r>
                    <w:rPr>
                      <w:rFonts w:hint="eastAsia"/>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617" w:type="pct"/>
                  <w:vMerge w:val="continue"/>
                  <w:vAlign w:val="center"/>
                </w:tcPr>
                <w:p>
                  <w:pPr>
                    <w:widowControl/>
                    <w:jc w:val="left"/>
                    <w:rPr>
                      <w:bCs/>
                      <w:szCs w:val="21"/>
                    </w:rPr>
                  </w:pPr>
                </w:p>
              </w:tc>
              <w:tc>
                <w:tcPr>
                  <w:tcW w:w="834" w:type="pct"/>
                  <w:vAlign w:val="center"/>
                </w:tcPr>
                <w:p>
                  <w:pPr>
                    <w:jc w:val="center"/>
                    <w:rPr>
                      <w:szCs w:val="21"/>
                    </w:rPr>
                  </w:pPr>
                  <w:r>
                    <w:rPr>
                      <w:szCs w:val="21"/>
                    </w:rPr>
                    <w:t>危险固废</w:t>
                  </w:r>
                </w:p>
              </w:tc>
              <w:tc>
                <w:tcPr>
                  <w:tcW w:w="910" w:type="pct"/>
                  <w:vAlign w:val="center"/>
                </w:tcPr>
                <w:p>
                  <w:pPr>
                    <w:jc w:val="center"/>
                    <w:rPr>
                      <w:szCs w:val="21"/>
                    </w:rPr>
                  </w:pPr>
                  <w:r>
                    <w:rPr>
                      <w:rFonts w:hint="eastAsia"/>
                      <w:szCs w:val="21"/>
                    </w:rPr>
                    <w:t>2.408</w:t>
                  </w:r>
                </w:p>
              </w:tc>
              <w:tc>
                <w:tcPr>
                  <w:tcW w:w="829" w:type="pct"/>
                  <w:vAlign w:val="center"/>
                </w:tcPr>
                <w:p>
                  <w:pPr>
                    <w:jc w:val="center"/>
                    <w:rPr>
                      <w:szCs w:val="21"/>
                    </w:rPr>
                  </w:pPr>
                  <w:r>
                    <w:rPr>
                      <w:rFonts w:hint="eastAsia"/>
                      <w:szCs w:val="21"/>
                    </w:rPr>
                    <w:t>2.408</w:t>
                  </w:r>
                </w:p>
              </w:tc>
              <w:tc>
                <w:tcPr>
                  <w:tcW w:w="906" w:type="pct"/>
                  <w:vAlign w:val="center"/>
                </w:tcPr>
                <w:p>
                  <w:pPr>
                    <w:jc w:val="center"/>
                    <w:rPr>
                      <w:szCs w:val="21"/>
                    </w:rPr>
                  </w:pPr>
                  <w:r>
                    <w:rPr>
                      <w:rFonts w:hint="eastAsia"/>
                      <w:szCs w:val="21"/>
                    </w:rPr>
                    <w:t>0</w:t>
                  </w:r>
                </w:p>
              </w:tc>
              <w:tc>
                <w:tcPr>
                  <w:tcW w:w="904" w:type="pct"/>
                  <w:vAlign w:val="center"/>
                </w:tcPr>
                <w:p>
                  <w:pPr>
                    <w:jc w:val="center"/>
                    <w:rPr>
                      <w:szCs w:val="21"/>
                    </w:rPr>
                  </w:pPr>
                  <w:r>
                    <w:rPr>
                      <w:rFonts w:hint="eastAsia"/>
                      <w:szCs w:val="21"/>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17" w:type="pct"/>
                  <w:vMerge w:val="continue"/>
                  <w:vAlign w:val="center"/>
                </w:tcPr>
                <w:p>
                  <w:pPr>
                    <w:widowControl/>
                    <w:jc w:val="left"/>
                    <w:rPr>
                      <w:bCs/>
                      <w:szCs w:val="21"/>
                    </w:rPr>
                  </w:pPr>
                </w:p>
              </w:tc>
              <w:tc>
                <w:tcPr>
                  <w:tcW w:w="834" w:type="pct"/>
                  <w:vAlign w:val="center"/>
                </w:tcPr>
                <w:p>
                  <w:pPr>
                    <w:jc w:val="center"/>
                    <w:rPr>
                      <w:szCs w:val="21"/>
                    </w:rPr>
                  </w:pPr>
                  <w:r>
                    <w:rPr>
                      <w:szCs w:val="21"/>
                    </w:rPr>
                    <w:t>生活垃圾</w:t>
                  </w:r>
                </w:p>
              </w:tc>
              <w:tc>
                <w:tcPr>
                  <w:tcW w:w="910" w:type="pct"/>
                  <w:vAlign w:val="center"/>
                </w:tcPr>
                <w:p>
                  <w:pPr>
                    <w:jc w:val="center"/>
                    <w:rPr>
                      <w:szCs w:val="21"/>
                    </w:rPr>
                  </w:pPr>
                  <w:r>
                    <w:rPr>
                      <w:rFonts w:hint="eastAsia"/>
                      <w:szCs w:val="21"/>
                    </w:rPr>
                    <w:t>6</w:t>
                  </w:r>
                </w:p>
              </w:tc>
              <w:tc>
                <w:tcPr>
                  <w:tcW w:w="829" w:type="pct"/>
                  <w:vAlign w:val="center"/>
                </w:tcPr>
                <w:p>
                  <w:pPr>
                    <w:jc w:val="center"/>
                    <w:rPr>
                      <w:szCs w:val="21"/>
                    </w:rPr>
                  </w:pPr>
                  <w:r>
                    <w:rPr>
                      <w:rFonts w:hint="eastAsia"/>
                      <w:szCs w:val="21"/>
                    </w:rPr>
                    <w:t>6</w:t>
                  </w:r>
                </w:p>
              </w:tc>
              <w:tc>
                <w:tcPr>
                  <w:tcW w:w="906" w:type="pct"/>
                  <w:vAlign w:val="center"/>
                </w:tcPr>
                <w:p>
                  <w:pPr>
                    <w:jc w:val="center"/>
                    <w:rPr>
                      <w:szCs w:val="21"/>
                    </w:rPr>
                  </w:pPr>
                  <w:r>
                    <w:rPr>
                      <w:rFonts w:hint="eastAsia"/>
                      <w:szCs w:val="21"/>
                    </w:rPr>
                    <w:t>0</w:t>
                  </w:r>
                </w:p>
              </w:tc>
              <w:tc>
                <w:tcPr>
                  <w:tcW w:w="904" w:type="pct"/>
                  <w:vAlign w:val="center"/>
                </w:tcPr>
                <w:p>
                  <w:pPr>
                    <w:jc w:val="center"/>
                    <w:rPr>
                      <w:szCs w:val="21"/>
                    </w:rPr>
                  </w:pPr>
                  <w:r>
                    <w:rPr>
                      <w:rFonts w:hint="eastAsia"/>
                      <w:szCs w:val="21"/>
                    </w:rPr>
                    <w:t>0</w:t>
                  </w:r>
                </w:p>
              </w:tc>
            </w:tr>
          </w:tbl>
          <w:p>
            <w:pPr>
              <w:overflowPunct w:val="0"/>
              <w:autoSpaceDE w:val="0"/>
              <w:snapToGrid w:val="0"/>
              <w:spacing w:line="360" w:lineRule="auto"/>
              <w:ind w:firstLine="482" w:firstLineChars="200"/>
              <w:rPr>
                <w:rFonts w:ascii="宋体" w:hAnsi="宋体"/>
                <w:b/>
                <w:bCs/>
                <w:sz w:val="24"/>
              </w:rPr>
            </w:pPr>
            <w:r>
              <w:rPr>
                <w:b/>
                <w:bCs/>
                <w:sz w:val="24"/>
              </w:rPr>
              <w:t>2、总</w:t>
            </w:r>
            <w:r>
              <w:rPr>
                <w:rFonts w:hint="eastAsia" w:ascii="宋体" w:hAnsi="宋体"/>
                <w:b/>
                <w:bCs/>
                <w:sz w:val="24"/>
              </w:rPr>
              <w:t>量平衡方案</w:t>
            </w:r>
          </w:p>
          <w:p>
            <w:pPr>
              <w:overflowPunct w:val="0"/>
              <w:autoSpaceDE w:val="0"/>
              <w:snapToGrid w:val="0"/>
              <w:spacing w:line="360" w:lineRule="auto"/>
              <w:ind w:firstLine="480" w:firstLineChars="200"/>
              <w:rPr>
                <w:sz w:val="24"/>
              </w:rPr>
            </w:pPr>
            <w:r>
              <w:rPr>
                <w:sz w:val="24"/>
              </w:rPr>
              <w:t>废水：</w:t>
            </w:r>
            <w:r>
              <w:rPr>
                <w:rFonts w:hint="eastAsia"/>
                <w:sz w:val="24"/>
              </w:rPr>
              <w:t>水污染物：本项目污水水量528t/a，COD 0.211t/a、SS 0.158t/a、TN 0.0264t/a、NH</w:t>
            </w:r>
            <w:r>
              <w:rPr>
                <w:rFonts w:hint="eastAsia"/>
                <w:sz w:val="24"/>
                <w:vertAlign w:val="subscript"/>
              </w:rPr>
              <w:t>3</w:t>
            </w:r>
            <w:r>
              <w:rPr>
                <w:rFonts w:hint="eastAsia"/>
                <w:sz w:val="24"/>
              </w:rPr>
              <w:t>-N 0.0132t/a、TP 0.00264t/a、动植物油 0.00192t/a，接入污水管网，排入武南污水处理厂集中处理，污染物总量在污水处理厂内平衡。</w:t>
            </w:r>
          </w:p>
          <w:p>
            <w:pPr>
              <w:spacing w:line="360" w:lineRule="auto"/>
              <w:ind w:firstLine="480" w:firstLineChars="200"/>
              <w:rPr>
                <w:szCs w:val="21"/>
              </w:rPr>
            </w:pPr>
            <w:r>
              <w:rPr>
                <w:sz w:val="24"/>
              </w:rPr>
              <w:t>固废：本项目产生的固体废物均进行合理处置，实现固体废物零排放，无需申请总量。</w:t>
            </w:r>
          </w:p>
          <w:p>
            <w:pPr>
              <w:pStyle w:val="2"/>
              <w:ind w:left="-84" w:firstLine="560"/>
              <w:rPr>
                <w:rFonts w:eastAsiaTheme="minorEastAsia"/>
              </w:rPr>
            </w:pPr>
          </w:p>
          <w:p>
            <w:pPr>
              <w:pStyle w:val="2"/>
              <w:ind w:left="-84" w:firstLine="560"/>
              <w:rPr>
                <w:rFonts w:eastAsiaTheme="minorEastAsia"/>
              </w:rPr>
            </w:pPr>
          </w:p>
          <w:p>
            <w:pPr>
              <w:pStyle w:val="2"/>
              <w:ind w:left="-84" w:firstLine="560"/>
              <w:rPr>
                <w:rFonts w:eastAsiaTheme="minorEastAsia"/>
              </w:rPr>
            </w:pPr>
          </w:p>
          <w:p>
            <w:pPr>
              <w:pStyle w:val="2"/>
              <w:ind w:left="-84" w:firstLine="560"/>
              <w:rPr>
                <w:rFonts w:eastAsiaTheme="minorEastAsia"/>
              </w:rPr>
            </w:pPr>
          </w:p>
          <w:p>
            <w:pPr>
              <w:pStyle w:val="2"/>
              <w:ind w:left="-84" w:firstLine="560"/>
              <w:rPr>
                <w:rFonts w:eastAsiaTheme="minorEastAsia"/>
              </w:rPr>
            </w:pPr>
          </w:p>
          <w:p>
            <w:pPr>
              <w:pStyle w:val="2"/>
              <w:ind w:left="0" w:leftChars="0" w:firstLine="383" w:firstLineChars="137"/>
              <w:rPr>
                <w:rFonts w:eastAsiaTheme="minorEastAsia"/>
              </w:rPr>
            </w:pPr>
          </w:p>
        </w:tc>
      </w:tr>
    </w:tbl>
    <w:p>
      <w:pPr>
        <w:pStyle w:val="19"/>
        <w:spacing w:before="0" w:beforeAutospacing="0" w:after="0" w:afterAutospacing="0"/>
        <w:jc w:val="center"/>
        <w:outlineLvl w:val="0"/>
        <w:rPr>
          <w:rFonts w:ascii="黑体" w:hAnsi="黑体" w:eastAsia="黑体"/>
          <w:snapToGrid w:val="0"/>
          <w:sz w:val="30"/>
          <w:szCs w:val="30"/>
        </w:rPr>
      </w:pPr>
      <w:r>
        <w:rPr>
          <w:rFonts w:ascii="黑体" w:hAnsi="黑体" w:eastAsia="黑体"/>
          <w:snapToGrid w:val="0"/>
          <w:sz w:val="36"/>
          <w:szCs w:val="36"/>
        </w:rPr>
        <w:br w:type="page"/>
      </w:r>
      <w:bookmarkStart w:id="10" w:name="_Toc104299249"/>
      <w:bookmarkStart w:id="11" w:name="_Toc104298942"/>
      <w:r>
        <w:rPr>
          <w:rFonts w:hint="eastAsia" w:ascii="黑体" w:hAnsi="黑体" w:eastAsia="黑体"/>
          <w:snapToGrid w:val="0"/>
          <w:sz w:val="30"/>
          <w:szCs w:val="30"/>
        </w:rPr>
        <w:t>四、主要环境影响和保护措施</w:t>
      </w:r>
      <w:bookmarkEnd w:id="10"/>
      <w:bookmarkEnd w:id="11"/>
    </w:p>
    <w:tbl>
      <w:tblPr>
        <w:tblStyle w:val="22"/>
        <w:tblW w:w="8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82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778" w:type="dxa"/>
            <w:tcMar>
              <w:left w:w="28" w:type="dxa"/>
              <w:right w:w="28" w:type="dxa"/>
            </w:tcMar>
            <w:vAlign w:val="center"/>
          </w:tcPr>
          <w:p>
            <w:pPr>
              <w:pStyle w:val="19"/>
              <w:adjustRightInd w:val="0"/>
              <w:snapToGrid w:val="0"/>
              <w:spacing w:before="0" w:beforeAutospacing="0" w:after="0" w:afterAutospacing="0"/>
              <w:jc w:val="center"/>
              <w:rPr>
                <w:rFonts w:cs="宋体"/>
                <w:kern w:val="2"/>
                <w:sz w:val="21"/>
                <w:szCs w:val="21"/>
              </w:rPr>
            </w:pPr>
            <w:r>
              <w:rPr>
                <w:rFonts w:hint="eastAsia" w:cs="宋体"/>
                <w:kern w:val="2"/>
                <w:sz w:val="21"/>
                <w:szCs w:val="21"/>
              </w:rPr>
              <w:t>施工</w:t>
            </w:r>
          </w:p>
          <w:p>
            <w:pPr>
              <w:pStyle w:val="19"/>
              <w:adjustRightInd w:val="0"/>
              <w:snapToGrid w:val="0"/>
              <w:spacing w:before="0" w:beforeAutospacing="0" w:after="0" w:afterAutospacing="0"/>
              <w:jc w:val="center"/>
              <w:rPr>
                <w:rFonts w:cs="宋体"/>
                <w:kern w:val="2"/>
                <w:sz w:val="21"/>
                <w:szCs w:val="21"/>
              </w:rPr>
            </w:pPr>
            <w:r>
              <w:rPr>
                <w:rFonts w:hint="eastAsia" w:cs="宋体"/>
                <w:kern w:val="2"/>
                <w:sz w:val="21"/>
                <w:szCs w:val="21"/>
              </w:rPr>
              <w:t>期环</w:t>
            </w:r>
          </w:p>
          <w:p>
            <w:pPr>
              <w:pStyle w:val="19"/>
              <w:adjustRightInd w:val="0"/>
              <w:snapToGrid w:val="0"/>
              <w:spacing w:before="0" w:beforeAutospacing="0" w:after="0" w:afterAutospacing="0"/>
              <w:jc w:val="center"/>
              <w:rPr>
                <w:rFonts w:cs="宋体"/>
                <w:kern w:val="2"/>
                <w:sz w:val="21"/>
                <w:szCs w:val="21"/>
              </w:rPr>
            </w:pPr>
            <w:r>
              <w:rPr>
                <w:rFonts w:hint="eastAsia" w:cs="宋体"/>
                <w:kern w:val="2"/>
                <w:sz w:val="21"/>
                <w:szCs w:val="21"/>
              </w:rPr>
              <w:t>境保</w:t>
            </w:r>
          </w:p>
          <w:p>
            <w:pPr>
              <w:pStyle w:val="19"/>
              <w:adjustRightInd w:val="0"/>
              <w:snapToGrid w:val="0"/>
              <w:spacing w:before="0" w:beforeAutospacing="0" w:after="0" w:afterAutospacing="0"/>
              <w:jc w:val="center"/>
              <w:rPr>
                <w:rFonts w:cs="宋体"/>
                <w:kern w:val="2"/>
                <w:sz w:val="21"/>
                <w:szCs w:val="21"/>
              </w:rPr>
            </w:pPr>
            <w:r>
              <w:rPr>
                <w:rFonts w:hint="eastAsia" w:cs="宋体"/>
                <w:kern w:val="2"/>
                <w:sz w:val="21"/>
                <w:szCs w:val="21"/>
              </w:rPr>
              <w:t>护措</w:t>
            </w:r>
          </w:p>
          <w:p>
            <w:pPr>
              <w:pStyle w:val="19"/>
              <w:adjustRightInd w:val="0"/>
              <w:snapToGrid w:val="0"/>
              <w:spacing w:before="0" w:beforeAutospacing="0" w:after="0" w:afterAutospacing="0"/>
              <w:jc w:val="center"/>
              <w:rPr>
                <w:rFonts w:cs="宋体"/>
                <w:bCs/>
                <w:kern w:val="2"/>
                <w:sz w:val="21"/>
                <w:szCs w:val="21"/>
              </w:rPr>
            </w:pPr>
            <w:r>
              <w:rPr>
                <w:rFonts w:hint="eastAsia" w:cs="宋体"/>
                <w:kern w:val="2"/>
                <w:sz w:val="21"/>
                <w:szCs w:val="21"/>
              </w:rPr>
              <w:t>施</w:t>
            </w:r>
          </w:p>
        </w:tc>
        <w:tc>
          <w:tcPr>
            <w:tcW w:w="8203" w:type="dxa"/>
            <w:vAlign w:val="center"/>
          </w:tcPr>
          <w:p>
            <w:pPr>
              <w:adjustRightInd w:val="0"/>
              <w:snapToGrid w:val="0"/>
              <w:spacing w:line="360" w:lineRule="auto"/>
              <w:ind w:firstLine="480" w:firstLineChars="200"/>
              <w:rPr>
                <w:rFonts w:ascii="宋体" w:hAnsi="宋体" w:cs="宋体"/>
                <w:bCs/>
                <w:spacing w:val="-10"/>
                <w:szCs w:val="21"/>
              </w:rPr>
            </w:pPr>
            <w:r>
              <w:rPr>
                <w:rFonts w:hint="eastAsia" w:ascii="宋体" w:hAnsi="宋体" w:cs="宋体"/>
                <w:color w:val="000000"/>
                <w:sz w:val="24"/>
              </w:rPr>
              <w:t>本项目</w:t>
            </w:r>
            <w:r>
              <w:rPr>
                <w:rFonts w:hint="eastAsia" w:ascii="宋体" w:hAnsi="宋体" w:cs="宋体"/>
                <w:bCs/>
                <w:color w:val="000000"/>
                <w:sz w:val="24"/>
              </w:rPr>
              <w:t>租赁常州市武进新谊色织有限公司</w:t>
            </w:r>
            <w:r>
              <w:rPr>
                <w:rFonts w:hint="eastAsia" w:cs="宋体"/>
                <w:bCs/>
                <w:color w:val="000000"/>
                <w:sz w:val="24"/>
              </w:rPr>
              <w:t>1056m</w:t>
            </w:r>
            <w:r>
              <w:rPr>
                <w:rFonts w:hint="eastAsia" w:cs="宋体"/>
                <w:bCs/>
                <w:color w:val="000000"/>
                <w:sz w:val="24"/>
                <w:vertAlign w:val="superscript"/>
              </w:rPr>
              <w:t>2</w:t>
            </w:r>
            <w:r>
              <w:rPr>
                <w:rFonts w:hint="eastAsia" w:ascii="宋体" w:hAnsi="宋体" w:cs="宋体"/>
                <w:color w:val="000000"/>
                <w:sz w:val="24"/>
              </w:rPr>
              <w:t>厂房进行生产，不涉及新建厂房，仅需将设备安装到位。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778" w:type="dxa"/>
            <w:tcMar>
              <w:left w:w="28" w:type="dxa"/>
              <w:right w:w="28" w:type="dxa"/>
            </w:tcMar>
            <w:vAlign w:val="center"/>
          </w:tcPr>
          <w:p>
            <w:pPr>
              <w:adjustRightInd w:val="0"/>
              <w:snapToGrid w:val="0"/>
              <w:jc w:val="center"/>
              <w:rPr>
                <w:rFonts w:ascii="宋体" w:hAnsi="宋体" w:cs="宋体"/>
                <w:bCs/>
                <w:szCs w:val="21"/>
              </w:rPr>
            </w:pPr>
            <w:r>
              <w:rPr>
                <w:rFonts w:hint="eastAsia" w:ascii="宋体" w:hAnsi="宋体" w:cs="宋体"/>
                <w:bCs/>
                <w:szCs w:val="21"/>
              </w:rPr>
              <w:t>运营</w:t>
            </w:r>
          </w:p>
          <w:p>
            <w:pPr>
              <w:adjustRightInd w:val="0"/>
              <w:snapToGrid w:val="0"/>
              <w:jc w:val="center"/>
              <w:rPr>
                <w:rFonts w:ascii="宋体" w:hAnsi="宋体" w:cs="宋体"/>
                <w:bCs/>
                <w:szCs w:val="21"/>
              </w:rPr>
            </w:pPr>
            <w:r>
              <w:rPr>
                <w:rFonts w:hint="eastAsia" w:ascii="宋体" w:hAnsi="宋体" w:cs="宋体"/>
                <w:bCs/>
                <w:szCs w:val="21"/>
              </w:rPr>
              <w:t>期环</w:t>
            </w:r>
          </w:p>
          <w:p>
            <w:pPr>
              <w:adjustRightInd w:val="0"/>
              <w:snapToGrid w:val="0"/>
              <w:jc w:val="center"/>
              <w:rPr>
                <w:rFonts w:ascii="宋体" w:hAnsi="宋体" w:cs="宋体"/>
                <w:bCs/>
                <w:szCs w:val="21"/>
              </w:rPr>
            </w:pPr>
            <w:r>
              <w:rPr>
                <w:rFonts w:hint="eastAsia" w:ascii="宋体" w:hAnsi="宋体" w:cs="宋体"/>
                <w:bCs/>
                <w:szCs w:val="21"/>
              </w:rPr>
              <w:t>境影</w:t>
            </w:r>
          </w:p>
          <w:p>
            <w:pPr>
              <w:adjustRightInd w:val="0"/>
              <w:snapToGrid w:val="0"/>
              <w:jc w:val="center"/>
              <w:rPr>
                <w:rFonts w:ascii="宋体" w:hAnsi="宋体" w:cs="宋体"/>
                <w:bCs/>
                <w:szCs w:val="21"/>
              </w:rPr>
            </w:pPr>
            <w:r>
              <w:rPr>
                <w:rFonts w:hint="eastAsia" w:ascii="宋体" w:hAnsi="宋体" w:cs="宋体"/>
                <w:bCs/>
                <w:szCs w:val="21"/>
              </w:rPr>
              <w:t>响和</w:t>
            </w:r>
          </w:p>
          <w:p>
            <w:pPr>
              <w:adjustRightInd w:val="0"/>
              <w:snapToGrid w:val="0"/>
              <w:jc w:val="center"/>
              <w:rPr>
                <w:rFonts w:ascii="宋体" w:hAnsi="宋体" w:cs="宋体"/>
                <w:bCs/>
                <w:szCs w:val="21"/>
              </w:rPr>
            </w:pPr>
            <w:r>
              <w:rPr>
                <w:rFonts w:hint="eastAsia" w:ascii="宋体" w:hAnsi="宋体" w:cs="宋体"/>
                <w:bCs/>
                <w:szCs w:val="21"/>
              </w:rPr>
              <w:t>保护</w:t>
            </w:r>
          </w:p>
          <w:p>
            <w:pPr>
              <w:adjustRightInd w:val="0"/>
              <w:snapToGrid w:val="0"/>
              <w:jc w:val="center"/>
              <w:rPr>
                <w:rFonts w:ascii="宋体" w:hAnsi="宋体" w:cs="宋体"/>
                <w:bCs/>
                <w:szCs w:val="21"/>
              </w:rPr>
            </w:pPr>
            <w:r>
              <w:rPr>
                <w:rFonts w:hint="eastAsia" w:ascii="宋体" w:hAnsi="宋体" w:cs="宋体"/>
                <w:bCs/>
                <w:szCs w:val="21"/>
              </w:rPr>
              <w:t>措施</w:t>
            </w:r>
          </w:p>
        </w:tc>
        <w:tc>
          <w:tcPr>
            <w:tcW w:w="8203" w:type="dxa"/>
            <w:vAlign w:val="center"/>
          </w:tcPr>
          <w:p>
            <w:pPr>
              <w:adjustRightInd w:val="0"/>
              <w:snapToGrid w:val="0"/>
              <w:spacing w:line="360" w:lineRule="auto"/>
              <w:rPr>
                <w:rFonts w:ascii="宋体"/>
                <w:b/>
                <w:bCs/>
                <w:sz w:val="24"/>
              </w:rPr>
            </w:pPr>
            <w:r>
              <w:rPr>
                <w:rFonts w:hint="eastAsia" w:ascii="宋体"/>
                <w:b/>
                <w:bCs/>
                <w:sz w:val="24"/>
              </w:rPr>
              <w:t>1、废气</w:t>
            </w:r>
          </w:p>
          <w:p>
            <w:pPr>
              <w:adjustRightInd w:val="0"/>
              <w:snapToGrid w:val="0"/>
              <w:spacing w:line="360" w:lineRule="auto"/>
              <w:ind w:firstLine="482" w:firstLineChars="200"/>
              <w:rPr>
                <w:b/>
                <w:bCs/>
                <w:sz w:val="24"/>
              </w:rPr>
            </w:pPr>
            <w:r>
              <w:rPr>
                <w:b/>
                <w:bCs/>
                <w:sz w:val="24"/>
              </w:rPr>
              <w:t>（1）产污情况分析</w:t>
            </w:r>
          </w:p>
          <w:p>
            <w:pPr>
              <w:widowControl/>
              <w:spacing w:line="360" w:lineRule="auto"/>
              <w:ind w:firstLine="482" w:firstLineChars="200"/>
              <w:rPr>
                <w:rFonts w:hAnsi="宋体"/>
                <w:b/>
                <w:sz w:val="24"/>
              </w:rPr>
            </w:pPr>
            <w:r>
              <w:rPr>
                <w:rFonts w:hint="eastAsia" w:hAnsi="宋体"/>
                <w:b/>
                <w:sz w:val="24"/>
              </w:rPr>
              <w:t>焊接烟尘</w:t>
            </w:r>
            <w:r>
              <w:rPr>
                <w:rFonts w:hAnsi="宋体"/>
                <w:b/>
                <w:sz w:val="24"/>
              </w:rPr>
              <w:t>：</w:t>
            </w:r>
            <w:r>
              <w:rPr>
                <w:rFonts w:hint="eastAsia" w:hAnsi="宋体"/>
                <w:sz w:val="24"/>
              </w:rPr>
              <w:t>本项目在焊接过程会产生少量焊接烟尘，参考《焊接车间环境污染及控制技术进展》(《上海环境科学》)中的经验数据，焊接过程的发尘量为5~8g/kg(取8g/kg)，该工段焊丝使用量为0.01t/a，则焊接烟尘产生量为0.00008t/a，废气经移动式滤芯除尘器处理后在车间内无组织排放。焊接烟尘经移动式滤芯除尘器处理后在车间内无组织排放，移动式滤芯除尘器捕集率为80%，处理效率为60%，则捕集的焊接烟尘量为0.000064t/a，未捕集和未处理的焊接烟尘量为0.00004t/a。</w:t>
            </w:r>
          </w:p>
          <w:p>
            <w:pPr>
              <w:widowControl/>
              <w:spacing w:line="360" w:lineRule="auto"/>
              <w:ind w:firstLine="482" w:firstLineChars="200"/>
              <w:rPr>
                <w:sz w:val="24"/>
              </w:rPr>
            </w:pPr>
            <w:r>
              <w:rPr>
                <w:rFonts w:hAnsi="宋体"/>
                <w:b/>
                <w:sz w:val="24"/>
              </w:rPr>
              <w:t>食堂油烟：</w:t>
            </w:r>
            <w:r>
              <w:rPr>
                <w:rFonts w:hAnsi="宋体"/>
                <w:sz w:val="24"/>
              </w:rPr>
              <w:t>本项目厂区设有食堂，采用天然气作为燃料，天然气属于清洁能源，年使用量约为</w:t>
            </w:r>
            <w:r>
              <w:rPr>
                <w:rFonts w:hint="eastAsia"/>
                <w:sz w:val="24"/>
              </w:rPr>
              <w:t>5</w:t>
            </w:r>
            <w:r>
              <w:rPr>
                <w:sz w:val="24"/>
              </w:rPr>
              <w:t>00m</w:t>
            </w:r>
            <w:r>
              <w:rPr>
                <w:sz w:val="24"/>
                <w:vertAlign w:val="superscript"/>
              </w:rPr>
              <w:t>3</w:t>
            </w:r>
            <w:r>
              <w:rPr>
                <w:rFonts w:hAnsi="宋体"/>
                <w:sz w:val="24"/>
              </w:rPr>
              <w:t>，过程中产生的污染物很少，对外环境影响较小，忽略不计。</w:t>
            </w:r>
          </w:p>
          <w:p>
            <w:pPr>
              <w:adjustRightInd w:val="0"/>
              <w:snapToGrid w:val="0"/>
              <w:spacing w:line="360" w:lineRule="auto"/>
              <w:ind w:firstLine="480" w:firstLineChars="200"/>
              <w:rPr>
                <w:b/>
                <w:sz w:val="24"/>
              </w:rPr>
            </w:pPr>
            <w:r>
              <w:rPr>
                <w:rFonts w:hAnsi="宋体"/>
                <w:sz w:val="24"/>
              </w:rPr>
              <w:t>食物在烹饪、加工过程中将挥发出油脂、有机质及热分解或裂解产物，从而产生油烟废气。食堂每日</w:t>
            </w:r>
            <w:r>
              <w:rPr>
                <w:rFonts w:hint="eastAsia"/>
                <w:sz w:val="24"/>
              </w:rPr>
              <w:t>2</w:t>
            </w:r>
            <w:r>
              <w:rPr>
                <w:sz w:val="24"/>
              </w:rPr>
              <w:t>0</w:t>
            </w:r>
            <w:r>
              <w:rPr>
                <w:rFonts w:hAnsi="宋体"/>
                <w:sz w:val="24"/>
              </w:rPr>
              <w:t>人次就餐。根据类比调查，人均食用油消耗量以</w:t>
            </w:r>
            <w:r>
              <w:rPr>
                <w:kern w:val="0"/>
                <w:sz w:val="24"/>
              </w:rPr>
              <w:t>15g/</w:t>
            </w:r>
            <w:r>
              <w:rPr>
                <w:rFonts w:hAnsi="宋体"/>
                <w:kern w:val="0"/>
                <w:sz w:val="24"/>
              </w:rPr>
              <w:t>人</w:t>
            </w:r>
            <w:r>
              <w:rPr>
                <w:kern w:val="0"/>
                <w:sz w:val="24"/>
              </w:rPr>
              <w:t>·d</w:t>
            </w:r>
            <w:r>
              <w:rPr>
                <w:rFonts w:hAnsi="宋体"/>
                <w:sz w:val="24"/>
              </w:rPr>
              <w:t>计，则本项目食堂食用油消耗量为</w:t>
            </w:r>
            <w:r>
              <w:rPr>
                <w:sz w:val="24"/>
              </w:rPr>
              <w:t>0.</w:t>
            </w:r>
            <w:r>
              <w:rPr>
                <w:rFonts w:hint="eastAsia"/>
                <w:sz w:val="24"/>
              </w:rPr>
              <w:t>09</w:t>
            </w:r>
            <w:r>
              <w:rPr>
                <w:sz w:val="24"/>
              </w:rPr>
              <w:t>t/a</w:t>
            </w:r>
            <w:r>
              <w:rPr>
                <w:rFonts w:hAnsi="宋体"/>
                <w:sz w:val="24"/>
              </w:rPr>
              <w:t>。一般油烟挥发量占总耗油量的</w:t>
            </w:r>
            <w:r>
              <w:rPr>
                <w:sz w:val="24"/>
              </w:rPr>
              <w:t>2~4%</w:t>
            </w:r>
            <w:r>
              <w:rPr>
                <w:rFonts w:hAnsi="宋体"/>
                <w:sz w:val="24"/>
              </w:rPr>
              <w:t>，平均取</w:t>
            </w:r>
            <w:r>
              <w:rPr>
                <w:sz w:val="24"/>
              </w:rPr>
              <w:t>3%</w:t>
            </w:r>
            <w:r>
              <w:rPr>
                <w:rFonts w:hAnsi="宋体"/>
                <w:sz w:val="24"/>
              </w:rPr>
              <w:t>，则本项目油烟产生量约为</w:t>
            </w:r>
            <w:r>
              <w:rPr>
                <w:sz w:val="24"/>
              </w:rPr>
              <w:t>0.0</w:t>
            </w:r>
            <w:r>
              <w:rPr>
                <w:rFonts w:hint="eastAsia"/>
                <w:sz w:val="24"/>
              </w:rPr>
              <w:t>027</w:t>
            </w:r>
            <w:r>
              <w:rPr>
                <w:sz w:val="24"/>
              </w:rPr>
              <w:t>t/a</w:t>
            </w:r>
            <w:r>
              <w:rPr>
                <w:rFonts w:hAnsi="宋体"/>
                <w:sz w:val="24"/>
              </w:rPr>
              <w:t>。</w:t>
            </w:r>
            <w:r>
              <w:rPr>
                <w:rFonts w:hAnsi="宋体"/>
                <w:kern w:val="0"/>
                <w:sz w:val="24"/>
              </w:rPr>
              <w:t>油烟废气经油烟净化器脱油烟处理</w:t>
            </w:r>
            <w:r>
              <w:rPr>
                <w:rFonts w:hAnsi="宋体"/>
                <w:sz w:val="24"/>
              </w:rPr>
              <w:t>，油烟</w:t>
            </w:r>
            <w:r>
              <w:rPr>
                <w:rFonts w:hAnsi="宋体"/>
                <w:kern w:val="0"/>
                <w:sz w:val="24"/>
              </w:rPr>
              <w:t>净化器</w:t>
            </w:r>
            <w:r>
              <w:rPr>
                <w:rFonts w:hAnsi="宋体"/>
                <w:sz w:val="24"/>
              </w:rPr>
              <w:t>处理效率为</w:t>
            </w:r>
            <w:r>
              <w:rPr>
                <w:sz w:val="24"/>
              </w:rPr>
              <w:t>60%</w:t>
            </w:r>
            <w:r>
              <w:rPr>
                <w:rFonts w:hAnsi="宋体"/>
                <w:sz w:val="24"/>
              </w:rPr>
              <w:t>，</w:t>
            </w:r>
            <w:r>
              <w:rPr>
                <w:rFonts w:hAnsi="宋体"/>
                <w:kern w:val="0"/>
                <w:sz w:val="24"/>
              </w:rPr>
              <w:t>油烟净化器</w:t>
            </w:r>
            <w:r>
              <w:rPr>
                <w:rFonts w:hAnsi="宋体"/>
                <w:sz w:val="24"/>
              </w:rPr>
              <w:t>风量按</w:t>
            </w:r>
            <w:r>
              <w:rPr>
                <w:rFonts w:hint="eastAsia"/>
                <w:sz w:val="24"/>
              </w:rPr>
              <w:t>2</w:t>
            </w:r>
            <w:r>
              <w:rPr>
                <w:sz w:val="24"/>
              </w:rPr>
              <w:t>000m</w:t>
            </w:r>
            <w:r>
              <w:rPr>
                <w:sz w:val="24"/>
                <w:vertAlign w:val="superscript"/>
              </w:rPr>
              <w:t>3</w:t>
            </w:r>
            <w:r>
              <w:rPr>
                <w:sz w:val="24"/>
              </w:rPr>
              <w:t>/</w:t>
            </w:r>
            <w:r>
              <w:rPr>
                <w:rFonts w:hAnsi="宋体"/>
                <w:sz w:val="24"/>
              </w:rPr>
              <w:t>台</w:t>
            </w:r>
            <w:r>
              <w:rPr>
                <w:sz w:val="24"/>
              </w:rPr>
              <w:t>·h</w:t>
            </w:r>
            <w:r>
              <w:rPr>
                <w:rFonts w:hAnsi="宋体"/>
                <w:sz w:val="24"/>
              </w:rPr>
              <w:t>计（共一台），以每天平均烹调作业</w:t>
            </w:r>
            <w:r>
              <w:rPr>
                <w:sz w:val="24"/>
              </w:rPr>
              <w:t>4</w:t>
            </w:r>
            <w:r>
              <w:rPr>
                <w:rFonts w:hAnsi="宋体"/>
                <w:sz w:val="24"/>
              </w:rPr>
              <w:t>小时计，则年产生油烟废气为</w:t>
            </w:r>
            <w:r>
              <w:rPr>
                <w:rFonts w:hint="eastAsia"/>
                <w:sz w:val="24"/>
              </w:rPr>
              <w:t>2</w:t>
            </w:r>
            <w:r>
              <w:rPr>
                <w:sz w:val="24"/>
              </w:rPr>
              <w:t>00</w:t>
            </w:r>
            <w:r>
              <w:rPr>
                <w:rFonts w:hAnsi="宋体"/>
                <w:sz w:val="24"/>
              </w:rPr>
              <w:t>万</w:t>
            </w:r>
            <w:r>
              <w:rPr>
                <w:sz w:val="24"/>
              </w:rPr>
              <w:t>m</w:t>
            </w:r>
            <w:r>
              <w:rPr>
                <w:sz w:val="24"/>
                <w:vertAlign w:val="superscript"/>
              </w:rPr>
              <w:t>3</w:t>
            </w:r>
            <w:r>
              <w:rPr>
                <w:rFonts w:hAnsi="宋体"/>
                <w:sz w:val="24"/>
              </w:rPr>
              <w:t>，油烟浓度为</w:t>
            </w:r>
            <w:r>
              <w:rPr>
                <w:rFonts w:hint="eastAsia"/>
                <w:sz w:val="24"/>
              </w:rPr>
              <w:t>1.125</w:t>
            </w:r>
            <w:r>
              <w:rPr>
                <w:sz w:val="24"/>
              </w:rPr>
              <w:t>mg/m</w:t>
            </w:r>
            <w:r>
              <w:rPr>
                <w:sz w:val="24"/>
                <w:vertAlign w:val="superscript"/>
              </w:rPr>
              <w:t>3</w:t>
            </w:r>
            <w:r>
              <w:rPr>
                <w:rFonts w:hAnsi="宋体"/>
                <w:sz w:val="24"/>
              </w:rPr>
              <w:t>。油烟废气经油烟净化器处理后（处理效率</w:t>
            </w:r>
            <w:r>
              <w:rPr>
                <w:sz w:val="24"/>
              </w:rPr>
              <w:t>≥60%</w:t>
            </w:r>
            <w:r>
              <w:rPr>
                <w:rFonts w:hAnsi="宋体"/>
                <w:sz w:val="24"/>
              </w:rPr>
              <w:t>），油烟浓度为</w:t>
            </w:r>
            <w:r>
              <w:rPr>
                <w:sz w:val="24"/>
              </w:rPr>
              <w:t>0.</w:t>
            </w:r>
            <w:r>
              <w:rPr>
                <w:rFonts w:hint="eastAsia"/>
                <w:sz w:val="24"/>
              </w:rPr>
              <w:t>46</w:t>
            </w:r>
            <w:r>
              <w:rPr>
                <w:sz w:val="24"/>
              </w:rPr>
              <w:t>mg/m</w:t>
            </w:r>
            <w:r>
              <w:rPr>
                <w:sz w:val="24"/>
                <w:vertAlign w:val="superscript"/>
              </w:rPr>
              <w:t>3</w:t>
            </w:r>
            <w:r>
              <w:rPr>
                <w:rFonts w:hAnsi="宋体"/>
                <w:sz w:val="24"/>
              </w:rPr>
              <w:t>，油烟排放量约</w:t>
            </w:r>
            <w:r>
              <w:rPr>
                <w:sz w:val="24"/>
              </w:rPr>
              <w:t>0.00</w:t>
            </w:r>
            <w:r>
              <w:rPr>
                <w:rFonts w:hint="eastAsia"/>
                <w:sz w:val="24"/>
              </w:rPr>
              <w:t>11</w:t>
            </w:r>
            <w:r>
              <w:rPr>
                <w:sz w:val="24"/>
              </w:rPr>
              <w:t>t/a</w:t>
            </w:r>
            <w:r>
              <w:rPr>
                <w:rFonts w:hAnsi="宋体"/>
                <w:sz w:val="24"/>
              </w:rPr>
              <w:t>，排气筒高度约为</w:t>
            </w:r>
            <w:r>
              <w:rPr>
                <w:sz w:val="24"/>
              </w:rPr>
              <w:t>8m</w:t>
            </w:r>
            <w:r>
              <w:rPr>
                <w:rFonts w:hAnsi="宋体"/>
                <w:sz w:val="24"/>
              </w:rPr>
              <w:t>。</w:t>
            </w:r>
          </w:p>
          <w:p>
            <w:pPr>
              <w:adjustRightInd w:val="0"/>
              <w:snapToGrid w:val="0"/>
              <w:spacing w:line="360" w:lineRule="auto"/>
              <w:ind w:firstLine="480" w:firstLineChars="200"/>
              <w:rPr>
                <w:rFonts w:hAnsi="宋体"/>
                <w:b/>
                <w:sz w:val="24"/>
              </w:rPr>
            </w:pPr>
            <w:r>
              <w:rPr>
                <w:rFonts w:hint="eastAsia" w:ascii="宋体" w:hAnsi="宋体"/>
                <w:sz w:val="24"/>
              </w:rPr>
              <w:t>本项目无</w:t>
            </w:r>
            <w:r>
              <w:rPr>
                <w:sz w:val="24"/>
              </w:rPr>
              <w:t>组织废气产生情况见下表：</w:t>
            </w:r>
          </w:p>
          <w:p>
            <w:pPr>
              <w:jc w:val="center"/>
              <w:rPr>
                <w:b/>
                <w:bCs/>
                <w:sz w:val="24"/>
              </w:rPr>
            </w:pPr>
          </w:p>
          <w:p>
            <w:pPr>
              <w:jc w:val="center"/>
              <w:rPr>
                <w:b/>
                <w:bCs/>
                <w:sz w:val="24"/>
              </w:rPr>
            </w:pPr>
          </w:p>
          <w:p>
            <w:pPr>
              <w:jc w:val="center"/>
              <w:rPr>
                <w:b/>
                <w:bCs/>
                <w:sz w:val="24"/>
              </w:rPr>
            </w:pPr>
          </w:p>
          <w:p>
            <w:pPr>
              <w:jc w:val="center"/>
              <w:rPr>
                <w:b/>
                <w:bCs/>
                <w:sz w:val="24"/>
              </w:rPr>
            </w:pPr>
          </w:p>
          <w:p>
            <w:pPr>
              <w:jc w:val="center"/>
              <w:rPr>
                <w:rFonts w:ascii="宋体" w:hAnsi="宋体"/>
                <w:b/>
                <w:bCs/>
                <w:sz w:val="24"/>
              </w:rPr>
            </w:pPr>
            <w:r>
              <w:rPr>
                <w:b/>
                <w:bCs/>
                <w:sz w:val="24"/>
              </w:rPr>
              <w:t>表4-</w:t>
            </w:r>
            <w:r>
              <w:rPr>
                <w:rFonts w:hint="eastAsia"/>
                <w:b/>
                <w:bCs/>
                <w:sz w:val="24"/>
                <w:lang w:val="en-US" w:eastAsia="zh-CN"/>
              </w:rPr>
              <w:t>1</w:t>
            </w:r>
            <w:r>
              <w:rPr>
                <w:b/>
                <w:bCs/>
                <w:sz w:val="24"/>
              </w:rPr>
              <w:t xml:space="preserve"> 本项目无组织</w:t>
            </w:r>
            <w:r>
              <w:rPr>
                <w:rFonts w:hint="eastAsia" w:ascii="宋体" w:hAnsi="宋体"/>
                <w:b/>
                <w:bCs/>
                <w:sz w:val="24"/>
              </w:rPr>
              <w:t>废气污染物产生情况</w:t>
            </w:r>
          </w:p>
          <w:tbl>
            <w:tblPr>
              <w:tblStyle w:val="22"/>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058"/>
              <w:gridCol w:w="837"/>
              <w:gridCol w:w="1114"/>
              <w:gridCol w:w="1065"/>
              <w:gridCol w:w="1113"/>
              <w:gridCol w:w="982"/>
              <w:gridCol w:w="10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9" w:type="pct"/>
                  <w:vAlign w:val="center"/>
                </w:tcPr>
                <w:p>
                  <w:pPr>
                    <w:jc w:val="center"/>
                    <w:rPr>
                      <w:b/>
                      <w:bCs/>
                    </w:rPr>
                  </w:pPr>
                  <w:r>
                    <w:rPr>
                      <w:rFonts w:hint="eastAsia"/>
                      <w:b/>
                    </w:rPr>
                    <w:t>所在车间</w:t>
                  </w:r>
                </w:p>
              </w:tc>
              <w:tc>
                <w:tcPr>
                  <w:tcW w:w="662" w:type="pct"/>
                  <w:vAlign w:val="center"/>
                </w:tcPr>
                <w:p>
                  <w:pPr>
                    <w:jc w:val="center"/>
                    <w:rPr>
                      <w:b/>
                      <w:bCs/>
                    </w:rPr>
                  </w:pPr>
                  <w:r>
                    <w:rPr>
                      <w:rFonts w:hint="eastAsia"/>
                      <w:b/>
                      <w:bCs/>
                    </w:rPr>
                    <w:t>工段</w:t>
                  </w:r>
                </w:p>
              </w:tc>
              <w:tc>
                <w:tcPr>
                  <w:tcW w:w="524" w:type="pct"/>
                  <w:vAlign w:val="center"/>
                </w:tcPr>
                <w:p>
                  <w:pPr>
                    <w:jc w:val="center"/>
                    <w:rPr>
                      <w:b/>
                      <w:bCs/>
                    </w:rPr>
                  </w:pPr>
                  <w:r>
                    <w:rPr>
                      <w:rFonts w:hint="eastAsia"/>
                      <w:b/>
                      <w:bCs/>
                    </w:rPr>
                    <w:t>年运行时间/h</w:t>
                  </w:r>
                </w:p>
              </w:tc>
              <w:tc>
                <w:tcPr>
                  <w:tcW w:w="698" w:type="pct"/>
                  <w:vAlign w:val="center"/>
                </w:tcPr>
                <w:p>
                  <w:pPr>
                    <w:jc w:val="center"/>
                    <w:rPr>
                      <w:b/>
                      <w:bCs/>
                    </w:rPr>
                  </w:pPr>
                  <w:r>
                    <w:rPr>
                      <w:rFonts w:hint="eastAsia"/>
                      <w:b/>
                      <w:bCs/>
                    </w:rPr>
                    <w:t>污染物名称</w:t>
                  </w:r>
                </w:p>
              </w:tc>
              <w:tc>
                <w:tcPr>
                  <w:tcW w:w="667" w:type="pct"/>
                  <w:vAlign w:val="center"/>
                </w:tcPr>
                <w:p>
                  <w:pPr>
                    <w:jc w:val="center"/>
                    <w:rPr>
                      <w:b/>
                      <w:bCs/>
                    </w:rPr>
                  </w:pPr>
                  <w:r>
                    <w:rPr>
                      <w:rFonts w:hint="eastAsia"/>
                      <w:b/>
                      <w:bCs/>
                    </w:rPr>
                    <w:t>污染物排放量（t/a）</w:t>
                  </w:r>
                </w:p>
              </w:tc>
              <w:tc>
                <w:tcPr>
                  <w:tcW w:w="697" w:type="pct"/>
                  <w:vAlign w:val="center"/>
                </w:tcPr>
                <w:p>
                  <w:pPr>
                    <w:jc w:val="center"/>
                    <w:rPr>
                      <w:b/>
                      <w:bCs/>
                    </w:rPr>
                  </w:pPr>
                  <w:r>
                    <w:rPr>
                      <w:rFonts w:hint="eastAsia"/>
                      <w:b/>
                      <w:bCs/>
                    </w:rPr>
                    <w:t>排放速率(kg/h)</w:t>
                  </w:r>
                </w:p>
              </w:tc>
              <w:tc>
                <w:tcPr>
                  <w:tcW w:w="615" w:type="pct"/>
                  <w:vAlign w:val="center"/>
                </w:tcPr>
                <w:p>
                  <w:pPr>
                    <w:jc w:val="center"/>
                    <w:rPr>
                      <w:b/>
                      <w:bCs/>
                    </w:rPr>
                  </w:pPr>
                  <w:r>
                    <w:rPr>
                      <w:rFonts w:hint="eastAsia"/>
                      <w:b/>
                      <w:bCs/>
                    </w:rPr>
                    <w:t>面源面积（m</w:t>
                  </w:r>
                  <w:r>
                    <w:rPr>
                      <w:rFonts w:hint="eastAsia"/>
                      <w:b/>
                      <w:bCs/>
                      <w:vertAlign w:val="superscript"/>
                    </w:rPr>
                    <w:t>2</w:t>
                  </w:r>
                  <w:r>
                    <w:rPr>
                      <w:rFonts w:hint="eastAsia"/>
                      <w:b/>
                      <w:bCs/>
                    </w:rPr>
                    <w:t>）</w:t>
                  </w:r>
                </w:p>
              </w:tc>
              <w:tc>
                <w:tcPr>
                  <w:tcW w:w="655" w:type="pct"/>
                  <w:vAlign w:val="center"/>
                </w:tcPr>
                <w:p>
                  <w:pPr>
                    <w:jc w:val="center"/>
                    <w:rPr>
                      <w:b/>
                      <w:bCs/>
                    </w:rPr>
                  </w:pPr>
                  <w:r>
                    <w:rPr>
                      <w:rFonts w:hint="eastAsia"/>
                      <w:b/>
                      <w:bCs/>
                    </w:rPr>
                    <w:t>面源高度(m)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9" w:type="pct"/>
                  <w:vAlign w:val="center"/>
                </w:tcPr>
                <w:p>
                  <w:pPr>
                    <w:jc w:val="center"/>
                  </w:pPr>
                  <w:r>
                    <w:rPr>
                      <w:rFonts w:hint="eastAsia"/>
                    </w:rPr>
                    <w:t>生产车间</w:t>
                  </w:r>
                </w:p>
              </w:tc>
              <w:tc>
                <w:tcPr>
                  <w:tcW w:w="662" w:type="pct"/>
                  <w:vAlign w:val="center"/>
                </w:tcPr>
                <w:p>
                  <w:pPr>
                    <w:jc w:val="center"/>
                  </w:pPr>
                  <w:r>
                    <w:rPr>
                      <w:rFonts w:hint="eastAsia"/>
                    </w:rPr>
                    <w:t>焊接</w:t>
                  </w:r>
                </w:p>
              </w:tc>
              <w:tc>
                <w:tcPr>
                  <w:tcW w:w="524" w:type="pct"/>
                  <w:vAlign w:val="center"/>
                </w:tcPr>
                <w:p>
                  <w:pPr>
                    <w:jc w:val="center"/>
                  </w:pPr>
                  <w:r>
                    <w:rPr>
                      <w:rFonts w:hint="eastAsia"/>
                    </w:rPr>
                    <w:t>300</w:t>
                  </w:r>
                </w:p>
              </w:tc>
              <w:tc>
                <w:tcPr>
                  <w:tcW w:w="698" w:type="pct"/>
                  <w:vAlign w:val="center"/>
                </w:tcPr>
                <w:p>
                  <w:pPr>
                    <w:jc w:val="center"/>
                  </w:pPr>
                  <w:r>
                    <w:rPr>
                      <w:rFonts w:hint="eastAsia"/>
                    </w:rPr>
                    <w:t>焊接烟尘</w:t>
                  </w:r>
                </w:p>
              </w:tc>
              <w:tc>
                <w:tcPr>
                  <w:tcW w:w="667" w:type="pct"/>
                  <w:vAlign w:val="center"/>
                </w:tcPr>
                <w:p>
                  <w:pPr>
                    <w:adjustRightInd w:val="0"/>
                    <w:snapToGrid w:val="0"/>
                    <w:jc w:val="center"/>
                    <w:rPr>
                      <w:szCs w:val="21"/>
                    </w:rPr>
                  </w:pPr>
                  <w:r>
                    <w:rPr>
                      <w:rFonts w:hint="eastAsia"/>
                      <w:szCs w:val="21"/>
                    </w:rPr>
                    <w:t>0.00004</w:t>
                  </w:r>
                </w:p>
              </w:tc>
              <w:tc>
                <w:tcPr>
                  <w:tcW w:w="697" w:type="pct"/>
                  <w:vAlign w:val="center"/>
                </w:tcPr>
                <w:p>
                  <w:pPr>
                    <w:jc w:val="center"/>
                    <w:rPr>
                      <w:szCs w:val="21"/>
                    </w:rPr>
                  </w:pPr>
                  <w:r>
                    <w:rPr>
                      <w:rFonts w:hint="eastAsia"/>
                      <w:szCs w:val="21"/>
                    </w:rPr>
                    <w:t>0.0000001</w:t>
                  </w:r>
                </w:p>
              </w:tc>
              <w:tc>
                <w:tcPr>
                  <w:tcW w:w="615" w:type="pct"/>
                  <w:vAlign w:val="center"/>
                </w:tcPr>
                <w:p>
                  <w:pPr>
                    <w:jc w:val="center"/>
                  </w:pPr>
                  <w:r>
                    <w:rPr>
                      <w:rFonts w:hint="eastAsia"/>
                    </w:rPr>
                    <w:t>352</w:t>
                  </w:r>
                </w:p>
              </w:tc>
              <w:tc>
                <w:tcPr>
                  <w:tcW w:w="655" w:type="pct"/>
                  <w:vAlign w:val="center"/>
                </w:tcPr>
                <w:p>
                  <w:pPr>
                    <w:jc w:val="center"/>
                  </w:pPr>
                  <w:r>
                    <w:rPr>
                      <w:rFonts w:hint="eastAsia"/>
                    </w:rPr>
                    <w:t>4</w:t>
                  </w:r>
                </w:p>
              </w:tc>
            </w:tr>
          </w:tbl>
          <w:p>
            <w:pPr>
              <w:adjustRightInd w:val="0"/>
              <w:snapToGrid w:val="0"/>
              <w:spacing w:line="360" w:lineRule="auto"/>
              <w:ind w:firstLine="480" w:firstLineChars="200"/>
              <w:rPr>
                <w:rFonts w:hAnsi="宋体"/>
                <w:b/>
                <w:sz w:val="24"/>
              </w:rPr>
            </w:pPr>
            <w:r>
              <w:rPr>
                <w:rFonts w:hint="eastAsia" w:ascii="宋体" w:hAnsi="宋体"/>
                <w:sz w:val="24"/>
              </w:rPr>
              <w:t>本项目</w:t>
            </w:r>
            <w:r>
              <w:rPr>
                <w:rFonts w:hint="eastAsia" w:ascii="宋体" w:hAnsi="宋体"/>
                <w:sz w:val="24"/>
                <w:lang w:eastAsia="zh-CN"/>
              </w:rPr>
              <w:t>食堂</w:t>
            </w:r>
            <w:r>
              <w:rPr>
                <w:rFonts w:hint="eastAsia"/>
                <w:sz w:val="24"/>
                <w:lang w:eastAsia="zh-CN"/>
              </w:rPr>
              <w:t>油烟</w:t>
            </w:r>
            <w:r>
              <w:rPr>
                <w:sz w:val="24"/>
              </w:rPr>
              <w:t>产生情况见下表：</w:t>
            </w:r>
          </w:p>
          <w:p>
            <w:pPr>
              <w:adjustRightInd w:val="0"/>
              <w:snapToGrid w:val="0"/>
              <w:jc w:val="center"/>
              <w:rPr>
                <w:b/>
                <w:sz w:val="24"/>
              </w:rPr>
            </w:pPr>
            <w:r>
              <w:rPr>
                <w:b/>
                <w:sz w:val="24"/>
              </w:rPr>
              <w:t>表</w:t>
            </w:r>
            <w:r>
              <w:rPr>
                <w:rFonts w:hint="eastAsia"/>
                <w:b/>
                <w:sz w:val="24"/>
              </w:rPr>
              <w:t>4-</w:t>
            </w:r>
            <w:r>
              <w:rPr>
                <w:rFonts w:hint="eastAsia"/>
                <w:b/>
                <w:sz w:val="24"/>
                <w:lang w:val="en-US" w:eastAsia="zh-CN"/>
              </w:rPr>
              <w:t>2</w:t>
            </w:r>
            <w:r>
              <w:rPr>
                <w:b/>
                <w:sz w:val="24"/>
              </w:rPr>
              <w:t xml:space="preserve"> 本项目</w:t>
            </w:r>
            <w:r>
              <w:rPr>
                <w:rFonts w:hint="eastAsia"/>
                <w:b/>
                <w:sz w:val="24"/>
                <w:lang w:eastAsia="zh-CN"/>
              </w:rPr>
              <w:t>食堂油烟</w:t>
            </w:r>
            <w:r>
              <w:rPr>
                <w:rFonts w:hint="eastAsia"/>
                <w:b/>
                <w:sz w:val="24"/>
              </w:rPr>
              <w:t>产生情况表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908"/>
              <w:gridCol w:w="669"/>
              <w:gridCol w:w="1244"/>
              <w:gridCol w:w="1024"/>
              <w:gridCol w:w="1035"/>
              <w:gridCol w:w="1037"/>
              <w:gridCol w:w="1035"/>
              <w:gridCol w:w="103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68" w:type="pct"/>
                  <w:vMerge w:val="restart"/>
                  <w:tcBorders>
                    <w:top w:val="single" w:color="auto" w:sz="12" w:space="0"/>
                    <w:left w:val="nil"/>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所在车间</w:t>
                  </w:r>
                </w:p>
              </w:tc>
              <w:tc>
                <w:tcPr>
                  <w:tcW w:w="419" w:type="pct"/>
                  <w:vMerge w:val="restart"/>
                  <w:tcBorders>
                    <w:top w:val="single" w:color="auto" w:sz="12" w:space="0"/>
                    <w:left w:val="single" w:color="auto" w:sz="4" w:space="0"/>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排气筒编号</w:t>
                  </w:r>
                </w:p>
              </w:tc>
              <w:tc>
                <w:tcPr>
                  <w:tcW w:w="779" w:type="pct"/>
                  <w:vMerge w:val="restart"/>
                  <w:tcBorders>
                    <w:top w:val="single" w:color="auto" w:sz="12" w:space="0"/>
                    <w:left w:val="single" w:color="auto" w:sz="4" w:space="0"/>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污染源名称</w:t>
                  </w:r>
                </w:p>
              </w:tc>
              <w:tc>
                <w:tcPr>
                  <w:tcW w:w="641" w:type="pct"/>
                  <w:vMerge w:val="restart"/>
                  <w:tcBorders>
                    <w:top w:val="single" w:color="auto" w:sz="12" w:space="0"/>
                    <w:left w:val="single" w:color="auto" w:sz="4" w:space="0"/>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排气量</w:t>
                  </w:r>
                </w:p>
                <w:p>
                  <w:pPr>
                    <w:pStyle w:val="63"/>
                    <w:rPr>
                      <w:rFonts w:ascii="Times New Roman" w:hAnsi="Times New Roman" w:eastAsia="宋体"/>
                      <w:b/>
                      <w:sz w:val="21"/>
                      <w:szCs w:val="21"/>
                    </w:rPr>
                  </w:pPr>
                  <w:r>
                    <w:rPr>
                      <w:rFonts w:ascii="Times New Roman" w:hAnsi="Times New Roman" w:eastAsia="宋体"/>
                      <w:b/>
                      <w:sz w:val="21"/>
                      <w:szCs w:val="21"/>
                    </w:rPr>
                    <w:t>m</w:t>
                  </w:r>
                  <w:r>
                    <w:rPr>
                      <w:rFonts w:ascii="Times New Roman" w:hAnsi="Times New Roman" w:eastAsia="宋体"/>
                      <w:b/>
                      <w:sz w:val="21"/>
                      <w:szCs w:val="21"/>
                      <w:vertAlign w:val="superscript"/>
                    </w:rPr>
                    <w:t>3</w:t>
                  </w:r>
                  <w:r>
                    <w:rPr>
                      <w:rFonts w:ascii="Times New Roman" w:hAnsi="Times New Roman" w:eastAsia="宋体"/>
                      <w:b/>
                      <w:sz w:val="21"/>
                      <w:szCs w:val="21"/>
                    </w:rPr>
                    <w:t>/h</w:t>
                  </w:r>
                </w:p>
              </w:tc>
              <w:tc>
                <w:tcPr>
                  <w:tcW w:w="2593" w:type="pct"/>
                  <w:gridSpan w:val="4"/>
                  <w:tcBorders>
                    <w:top w:val="single" w:color="auto" w:sz="12" w:space="0"/>
                    <w:left w:val="single" w:color="auto" w:sz="4" w:space="0"/>
                    <w:bottom w:val="single" w:color="auto" w:sz="4" w:space="0"/>
                    <w:right w:val="nil"/>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污染物产生情况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68" w:type="pct"/>
                  <w:vMerge w:val="continue"/>
                  <w:tcBorders>
                    <w:top w:val="single" w:color="auto" w:sz="12" w:space="0"/>
                    <w:left w:val="nil"/>
                    <w:bottom w:val="single" w:color="auto" w:sz="4" w:space="0"/>
                    <w:right w:val="single" w:color="auto" w:sz="4" w:space="0"/>
                  </w:tcBorders>
                  <w:vAlign w:val="center"/>
                </w:tcPr>
                <w:p>
                  <w:pPr>
                    <w:widowControl/>
                    <w:jc w:val="left"/>
                    <w:rPr>
                      <w:b/>
                      <w:kern w:val="44"/>
                      <w:szCs w:val="21"/>
                    </w:rPr>
                  </w:pPr>
                </w:p>
              </w:tc>
              <w:tc>
                <w:tcPr>
                  <w:tcW w:w="419" w:type="pct"/>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kern w:val="44"/>
                      <w:szCs w:val="21"/>
                    </w:rPr>
                  </w:pPr>
                </w:p>
              </w:tc>
              <w:tc>
                <w:tcPr>
                  <w:tcW w:w="779" w:type="pct"/>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kern w:val="44"/>
                      <w:szCs w:val="21"/>
                    </w:rPr>
                  </w:pPr>
                </w:p>
              </w:tc>
              <w:tc>
                <w:tcPr>
                  <w:tcW w:w="641" w:type="pct"/>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kern w:val="44"/>
                      <w:szCs w:val="21"/>
                    </w:rPr>
                  </w:pPr>
                </w:p>
              </w:tc>
              <w:tc>
                <w:tcPr>
                  <w:tcW w:w="648" w:type="pct"/>
                  <w:tcBorders>
                    <w:top w:val="single" w:color="auto" w:sz="4" w:space="0"/>
                    <w:left w:val="single" w:color="auto" w:sz="4" w:space="0"/>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名称</w:t>
                  </w:r>
                </w:p>
              </w:tc>
              <w:tc>
                <w:tcPr>
                  <w:tcW w:w="649" w:type="pct"/>
                  <w:tcBorders>
                    <w:top w:val="single" w:color="auto" w:sz="4" w:space="0"/>
                    <w:left w:val="single" w:color="auto" w:sz="4" w:space="0"/>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浓度mg/m</w:t>
                  </w:r>
                  <w:r>
                    <w:rPr>
                      <w:rFonts w:ascii="Times New Roman" w:hAnsi="Times New Roman" w:eastAsia="宋体"/>
                      <w:b/>
                      <w:sz w:val="21"/>
                      <w:szCs w:val="21"/>
                      <w:vertAlign w:val="superscript"/>
                    </w:rPr>
                    <w:t>3</w:t>
                  </w:r>
                </w:p>
              </w:tc>
              <w:tc>
                <w:tcPr>
                  <w:tcW w:w="648" w:type="pct"/>
                  <w:tcBorders>
                    <w:top w:val="single" w:color="auto" w:sz="4" w:space="0"/>
                    <w:left w:val="single" w:color="auto" w:sz="4" w:space="0"/>
                    <w:bottom w:val="single" w:color="auto" w:sz="4" w:space="0"/>
                    <w:right w:val="single" w:color="auto" w:sz="4" w:space="0"/>
                  </w:tcBorders>
                  <w:vAlign w:val="center"/>
                </w:tcPr>
                <w:p>
                  <w:pPr>
                    <w:snapToGrid w:val="0"/>
                    <w:jc w:val="center"/>
                    <w:rPr>
                      <w:b/>
                      <w:szCs w:val="21"/>
                    </w:rPr>
                  </w:pPr>
                  <w:r>
                    <w:rPr>
                      <w:b/>
                      <w:szCs w:val="21"/>
                    </w:rPr>
                    <w:t>速率kg/h</w:t>
                  </w:r>
                </w:p>
              </w:tc>
              <w:tc>
                <w:tcPr>
                  <w:tcW w:w="649" w:type="pct"/>
                  <w:tcBorders>
                    <w:top w:val="single" w:color="auto" w:sz="4" w:space="0"/>
                    <w:left w:val="single" w:color="auto" w:sz="4" w:space="0"/>
                    <w:bottom w:val="single" w:color="auto" w:sz="4" w:space="0"/>
                    <w:right w:val="nil"/>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产生量t/a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568" w:type="pct"/>
                  <w:tcBorders>
                    <w:left w:val="nil"/>
                    <w:right w:val="single" w:color="auto" w:sz="4" w:space="0"/>
                  </w:tcBorders>
                  <w:vAlign w:val="center"/>
                </w:tcPr>
                <w:p>
                  <w:pPr>
                    <w:pStyle w:val="63"/>
                    <w:rPr>
                      <w:rFonts w:ascii="Times New Roman" w:hAnsi="Times New Roman" w:eastAsia="宋体"/>
                      <w:sz w:val="21"/>
                      <w:szCs w:val="21"/>
                    </w:rPr>
                  </w:pPr>
                  <w:r>
                    <w:rPr>
                      <w:rFonts w:hint="eastAsia" w:ascii="Times New Roman" w:hAnsi="Times New Roman" w:eastAsia="宋体"/>
                      <w:sz w:val="21"/>
                      <w:szCs w:val="21"/>
                    </w:rPr>
                    <w:t>食堂</w:t>
                  </w:r>
                </w:p>
              </w:tc>
              <w:tc>
                <w:tcPr>
                  <w:tcW w:w="419" w:type="pct"/>
                  <w:tcBorders>
                    <w:left w:val="single" w:color="auto" w:sz="4" w:space="0"/>
                    <w:right w:val="single" w:color="auto" w:sz="4" w:space="0"/>
                  </w:tcBorders>
                  <w:vAlign w:val="center"/>
                </w:tcPr>
                <w:p>
                  <w:pPr>
                    <w:snapToGrid w:val="0"/>
                    <w:jc w:val="center"/>
                    <w:rPr>
                      <w:szCs w:val="21"/>
                    </w:rPr>
                  </w:pPr>
                  <w:r>
                    <w:rPr>
                      <w:rFonts w:hint="eastAsia"/>
                      <w:szCs w:val="21"/>
                    </w:rPr>
                    <w:t>FQ-1</w:t>
                  </w:r>
                </w:p>
              </w:tc>
              <w:tc>
                <w:tcPr>
                  <w:tcW w:w="779" w:type="pct"/>
                  <w:tcBorders>
                    <w:top w:val="single" w:color="auto" w:sz="4" w:space="0"/>
                    <w:left w:val="single" w:color="auto" w:sz="4" w:space="0"/>
                    <w:right w:val="single" w:color="auto" w:sz="4" w:space="0"/>
                  </w:tcBorders>
                  <w:vAlign w:val="center"/>
                </w:tcPr>
                <w:p>
                  <w:pPr>
                    <w:pStyle w:val="63"/>
                    <w:rPr>
                      <w:rFonts w:ascii="Times New Roman" w:hAnsi="Times New Roman" w:eastAsia="宋体"/>
                      <w:sz w:val="21"/>
                      <w:szCs w:val="21"/>
                    </w:rPr>
                  </w:pPr>
                  <w:r>
                    <w:rPr>
                      <w:rFonts w:hint="eastAsia" w:ascii="Times New Roman" w:hAnsi="Times New Roman" w:eastAsia="宋体"/>
                      <w:sz w:val="21"/>
                      <w:szCs w:val="21"/>
                    </w:rPr>
                    <w:t>食堂油烟</w:t>
                  </w:r>
                </w:p>
              </w:tc>
              <w:tc>
                <w:tcPr>
                  <w:tcW w:w="641" w:type="pct"/>
                  <w:tcBorders>
                    <w:left w:val="single" w:color="auto" w:sz="4" w:space="0"/>
                    <w:right w:val="single" w:color="auto" w:sz="4" w:space="0"/>
                  </w:tcBorders>
                  <w:vAlign w:val="center"/>
                </w:tcPr>
                <w:p>
                  <w:pPr>
                    <w:pStyle w:val="63"/>
                    <w:rPr>
                      <w:rFonts w:ascii="Times New Roman" w:hAnsi="Times New Roman" w:eastAsia="宋体"/>
                      <w:sz w:val="21"/>
                      <w:szCs w:val="21"/>
                    </w:rPr>
                  </w:pPr>
                  <w:r>
                    <w:rPr>
                      <w:rFonts w:hint="eastAsia" w:ascii="Times New Roman" w:hAnsi="Times New Roman" w:eastAsia="宋体"/>
                      <w:sz w:val="21"/>
                      <w:szCs w:val="21"/>
                    </w:rPr>
                    <w:t>2000</w:t>
                  </w:r>
                </w:p>
              </w:tc>
              <w:tc>
                <w:tcPr>
                  <w:tcW w:w="648" w:type="pct"/>
                  <w:tcBorders>
                    <w:top w:val="single" w:color="auto" w:sz="4" w:space="0"/>
                    <w:left w:val="single" w:color="auto" w:sz="4" w:space="0"/>
                    <w:bottom w:val="single" w:color="auto" w:sz="12" w:space="0"/>
                    <w:right w:val="single" w:color="auto" w:sz="4" w:space="0"/>
                  </w:tcBorders>
                  <w:vAlign w:val="center"/>
                </w:tcPr>
                <w:p>
                  <w:pPr>
                    <w:pStyle w:val="63"/>
                    <w:rPr>
                      <w:rFonts w:ascii="Times New Roman" w:hAnsi="Times New Roman" w:eastAsia="宋体"/>
                      <w:sz w:val="21"/>
                      <w:szCs w:val="21"/>
                    </w:rPr>
                  </w:pPr>
                  <w:r>
                    <w:rPr>
                      <w:rFonts w:hint="eastAsia" w:ascii="Times New Roman" w:hAnsi="Times New Roman" w:eastAsia="宋体"/>
                      <w:sz w:val="21"/>
                      <w:szCs w:val="21"/>
                    </w:rPr>
                    <w:t>食堂油烟</w:t>
                  </w:r>
                </w:p>
              </w:tc>
              <w:tc>
                <w:tcPr>
                  <w:tcW w:w="649" w:type="pct"/>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ascii="Times New Roman" w:hAnsi="Times New Roman"/>
                    </w:rPr>
                  </w:pPr>
                  <w:r>
                    <w:rPr>
                      <w:rFonts w:hint="eastAsia" w:ascii="Times New Roman" w:hAnsi="Times New Roman"/>
                    </w:rPr>
                    <w:t>1.125</w:t>
                  </w:r>
                </w:p>
              </w:tc>
              <w:tc>
                <w:tcPr>
                  <w:tcW w:w="648" w:type="pct"/>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ascii="Times New Roman" w:hAnsi="Times New Roman"/>
                    </w:rPr>
                  </w:pPr>
                  <w:r>
                    <w:rPr>
                      <w:rFonts w:hint="eastAsia" w:ascii="Times New Roman" w:hAnsi="Times New Roman"/>
                    </w:rPr>
                    <w:t>0.00225</w:t>
                  </w:r>
                </w:p>
              </w:tc>
              <w:tc>
                <w:tcPr>
                  <w:tcW w:w="649" w:type="pct"/>
                  <w:tcBorders>
                    <w:top w:val="single" w:color="auto" w:sz="4" w:space="0"/>
                    <w:left w:val="single" w:color="auto" w:sz="4" w:space="0"/>
                    <w:bottom w:val="single" w:color="auto" w:sz="12" w:space="0"/>
                    <w:right w:val="nil"/>
                  </w:tcBorders>
                  <w:vAlign w:val="center"/>
                </w:tcPr>
                <w:p>
                  <w:pPr>
                    <w:pStyle w:val="5"/>
                    <w:adjustRightInd w:val="0"/>
                    <w:snapToGrid w:val="0"/>
                    <w:ind w:firstLine="0"/>
                    <w:jc w:val="center"/>
                    <w:rPr>
                      <w:rFonts w:ascii="Times New Roman" w:hAnsi="Times New Roman"/>
                    </w:rPr>
                  </w:pPr>
                  <w:r>
                    <w:rPr>
                      <w:rFonts w:hint="eastAsia" w:ascii="Times New Roman" w:hAnsi="Times New Roman"/>
                    </w:rPr>
                    <w:t>0.0027</w:t>
                  </w:r>
                </w:p>
              </w:tc>
            </w:tr>
          </w:tbl>
          <w:p>
            <w:pPr>
              <w:adjustRightInd w:val="0"/>
              <w:snapToGrid w:val="0"/>
              <w:rPr>
                <w:b/>
                <w:szCs w:val="21"/>
              </w:rPr>
            </w:pPr>
            <w:r>
              <w:rPr>
                <w:rFonts w:hAnsi="宋体"/>
                <w:b/>
                <w:szCs w:val="21"/>
              </w:rPr>
              <w:t>注：食堂运行时间约为</w:t>
            </w:r>
            <w:r>
              <w:rPr>
                <w:b/>
                <w:szCs w:val="21"/>
              </w:rPr>
              <w:t>1200h/a</w:t>
            </w:r>
            <w:r>
              <w:rPr>
                <w:rFonts w:hAnsi="宋体"/>
                <w:b/>
                <w:szCs w:val="21"/>
              </w:rPr>
              <w:t>。</w:t>
            </w:r>
          </w:p>
          <w:p>
            <w:pPr>
              <w:adjustRightInd w:val="0"/>
              <w:snapToGrid w:val="0"/>
              <w:spacing w:line="360" w:lineRule="auto"/>
              <w:ind w:firstLine="482" w:firstLineChars="200"/>
              <w:rPr>
                <w:b/>
                <w:bCs/>
                <w:sz w:val="24"/>
              </w:rPr>
            </w:pPr>
            <w:r>
              <w:rPr>
                <w:rFonts w:hint="eastAsia"/>
                <w:b/>
                <w:bCs/>
                <w:sz w:val="24"/>
              </w:rPr>
              <w:t>（2）</w:t>
            </w:r>
            <w:r>
              <w:rPr>
                <w:b/>
                <w:bCs/>
                <w:sz w:val="24"/>
              </w:rPr>
              <w:t>防治措施</w:t>
            </w:r>
            <w:r>
              <w:rPr>
                <w:rFonts w:hint="eastAsia"/>
                <w:b/>
                <w:bCs/>
                <w:sz w:val="24"/>
              </w:rPr>
              <w:t>及污染物排放分析</w:t>
            </w:r>
          </w:p>
          <w:p>
            <w:pPr>
              <w:adjustRightInd w:val="0"/>
              <w:snapToGrid w:val="0"/>
              <w:spacing w:line="360" w:lineRule="auto"/>
              <w:ind w:firstLine="482" w:firstLineChars="200"/>
              <w:jc w:val="left"/>
              <w:rPr>
                <w:b/>
                <w:bCs/>
                <w:sz w:val="24"/>
              </w:rPr>
            </w:pPr>
            <w:r>
              <w:rPr>
                <w:rFonts w:hint="eastAsia"/>
                <w:b/>
                <w:bCs/>
                <w:sz w:val="24"/>
              </w:rPr>
              <w:t>1）防治措施</w:t>
            </w:r>
          </w:p>
          <w:p>
            <w:pPr>
              <w:adjustRightInd w:val="0"/>
              <w:snapToGrid w:val="0"/>
              <w:spacing w:line="360" w:lineRule="auto"/>
              <w:ind w:firstLine="480" w:firstLineChars="200"/>
              <w:jc w:val="left"/>
              <w:rPr>
                <w:sz w:val="24"/>
              </w:rPr>
            </w:pPr>
            <w:r>
              <w:rPr>
                <w:rFonts w:hAnsi="宋体"/>
                <w:sz w:val="24"/>
              </w:rPr>
              <w:t>食堂油烟经油烟净化器处理后通过一根</w:t>
            </w:r>
            <w:r>
              <w:rPr>
                <w:sz w:val="24"/>
              </w:rPr>
              <w:t>8</w:t>
            </w:r>
            <w:r>
              <w:rPr>
                <w:rFonts w:hAnsi="宋体"/>
                <w:sz w:val="24"/>
              </w:rPr>
              <w:t>米高排气筒排放。</w:t>
            </w:r>
          </w:p>
          <w:p>
            <w:pPr>
              <w:adjustRightInd w:val="0"/>
              <w:snapToGrid w:val="0"/>
              <w:spacing w:line="360" w:lineRule="auto"/>
              <w:ind w:firstLine="480" w:firstLineChars="200"/>
              <w:jc w:val="left"/>
              <w:rPr>
                <w:bCs/>
                <w:sz w:val="24"/>
              </w:rPr>
            </w:pPr>
            <w:r>
              <w:rPr>
                <w:rFonts w:hint="eastAsia" w:ascii="宋体" w:hAnsi="宋体"/>
                <w:sz w:val="24"/>
              </w:rPr>
              <w:t>焊接过程中产生的焊接烟尘经</w:t>
            </w:r>
            <w:r>
              <w:rPr>
                <w:rFonts w:hint="eastAsia" w:hAnsi="宋体"/>
                <w:sz w:val="24"/>
              </w:rPr>
              <w:t>移动式滤芯除尘器</w:t>
            </w:r>
            <w:r>
              <w:rPr>
                <w:rFonts w:hint="eastAsia" w:ascii="宋体" w:hAnsi="宋体"/>
                <w:sz w:val="24"/>
              </w:rPr>
              <w:t>处理后在车间内无组织排放；</w:t>
            </w:r>
            <w:r>
              <w:rPr>
                <w:rFonts w:hint="eastAsia" w:ascii="宋体" w:hAnsi="宋体" w:cs="宋体"/>
                <w:bCs/>
                <w:sz w:val="24"/>
                <w:szCs w:val="22"/>
              </w:rPr>
              <w:t>焊接工序未捕集废气在车间内无组织排放，</w:t>
            </w:r>
            <w:r>
              <w:rPr>
                <w:sz w:val="24"/>
              </w:rPr>
              <w:t>通过加强车间通风可减少其对周围大气环境的影响</w:t>
            </w:r>
            <w:r>
              <w:rPr>
                <w:rFonts w:hint="eastAsia" w:ascii="宋体" w:hAnsi="宋体" w:cs="宋体"/>
                <w:bCs/>
                <w:sz w:val="24"/>
                <w:szCs w:val="22"/>
              </w:rPr>
              <w:t>。</w:t>
            </w:r>
          </w:p>
          <w:p>
            <w:pPr>
              <w:adjustRightInd w:val="0"/>
              <w:snapToGrid w:val="0"/>
              <w:spacing w:line="360" w:lineRule="auto"/>
              <w:ind w:firstLine="482" w:firstLineChars="200"/>
              <w:rPr>
                <w:b/>
                <w:sz w:val="24"/>
              </w:rPr>
            </w:pPr>
            <w:r>
              <w:rPr>
                <w:rFonts w:hint="eastAsia"/>
                <w:b/>
                <w:sz w:val="24"/>
              </w:rPr>
              <w:t>2）排放情况</w:t>
            </w:r>
          </w:p>
          <w:p>
            <w:pPr>
              <w:snapToGrid w:val="0"/>
              <w:spacing w:line="360" w:lineRule="auto"/>
              <w:ind w:firstLine="480" w:firstLineChars="200"/>
              <w:rPr>
                <w:rFonts w:ascii="宋体" w:hAnsi="宋体"/>
                <w:kern w:val="0"/>
                <w:sz w:val="24"/>
              </w:rPr>
            </w:pPr>
            <w:r>
              <w:rPr>
                <w:rFonts w:hint="eastAsia" w:ascii="宋体" w:hAnsi="宋体"/>
                <w:kern w:val="0"/>
                <w:sz w:val="24"/>
              </w:rPr>
              <w:t>本项目废气无组织排放情况见下表：</w:t>
            </w:r>
          </w:p>
          <w:p>
            <w:pPr>
              <w:jc w:val="center"/>
              <w:rPr>
                <w:rFonts w:ascii="宋体" w:hAnsi="宋体"/>
                <w:b/>
                <w:bCs/>
                <w:sz w:val="24"/>
              </w:rPr>
            </w:pPr>
            <w:r>
              <w:rPr>
                <w:b/>
                <w:bCs/>
                <w:sz w:val="24"/>
              </w:rPr>
              <w:t>表4-</w:t>
            </w:r>
            <w:r>
              <w:rPr>
                <w:rFonts w:hint="eastAsia"/>
                <w:b/>
                <w:bCs/>
                <w:sz w:val="24"/>
                <w:lang w:val="en-US" w:eastAsia="zh-CN"/>
              </w:rPr>
              <w:t>3</w:t>
            </w:r>
            <w:r>
              <w:rPr>
                <w:b/>
                <w:bCs/>
                <w:sz w:val="24"/>
              </w:rPr>
              <w:t xml:space="preserve"> 本项目无</w:t>
            </w:r>
            <w:r>
              <w:rPr>
                <w:rFonts w:hint="eastAsia" w:ascii="宋体" w:hAnsi="宋体"/>
                <w:b/>
                <w:bCs/>
                <w:sz w:val="24"/>
              </w:rPr>
              <w:t>组织废气污染物排放情况</w:t>
            </w:r>
          </w:p>
          <w:tbl>
            <w:tblPr>
              <w:tblStyle w:val="22"/>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6"/>
              <w:gridCol w:w="1058"/>
              <w:gridCol w:w="837"/>
              <w:gridCol w:w="1114"/>
              <w:gridCol w:w="1065"/>
              <w:gridCol w:w="1113"/>
              <w:gridCol w:w="982"/>
              <w:gridCol w:w="104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9" w:type="pct"/>
                  <w:vAlign w:val="center"/>
                </w:tcPr>
                <w:p>
                  <w:pPr>
                    <w:jc w:val="center"/>
                    <w:rPr>
                      <w:b/>
                      <w:bCs/>
                    </w:rPr>
                  </w:pPr>
                  <w:r>
                    <w:rPr>
                      <w:rFonts w:hint="eastAsia"/>
                      <w:b/>
                    </w:rPr>
                    <w:t>所在车间</w:t>
                  </w:r>
                </w:p>
              </w:tc>
              <w:tc>
                <w:tcPr>
                  <w:tcW w:w="662" w:type="pct"/>
                  <w:vAlign w:val="center"/>
                </w:tcPr>
                <w:p>
                  <w:pPr>
                    <w:jc w:val="center"/>
                    <w:rPr>
                      <w:b/>
                      <w:bCs/>
                    </w:rPr>
                  </w:pPr>
                  <w:r>
                    <w:rPr>
                      <w:rFonts w:hint="eastAsia"/>
                      <w:b/>
                      <w:bCs/>
                    </w:rPr>
                    <w:t>工段</w:t>
                  </w:r>
                </w:p>
              </w:tc>
              <w:tc>
                <w:tcPr>
                  <w:tcW w:w="524" w:type="pct"/>
                  <w:vAlign w:val="center"/>
                </w:tcPr>
                <w:p>
                  <w:pPr>
                    <w:jc w:val="center"/>
                    <w:rPr>
                      <w:b/>
                      <w:bCs/>
                    </w:rPr>
                  </w:pPr>
                  <w:r>
                    <w:rPr>
                      <w:rFonts w:hint="eastAsia"/>
                      <w:b/>
                      <w:bCs/>
                    </w:rPr>
                    <w:t>年运行时间/h</w:t>
                  </w:r>
                </w:p>
              </w:tc>
              <w:tc>
                <w:tcPr>
                  <w:tcW w:w="698" w:type="pct"/>
                  <w:vAlign w:val="center"/>
                </w:tcPr>
                <w:p>
                  <w:pPr>
                    <w:jc w:val="center"/>
                    <w:rPr>
                      <w:b/>
                      <w:bCs/>
                    </w:rPr>
                  </w:pPr>
                  <w:r>
                    <w:rPr>
                      <w:rFonts w:hint="eastAsia"/>
                      <w:b/>
                      <w:bCs/>
                    </w:rPr>
                    <w:t>污染物名称</w:t>
                  </w:r>
                </w:p>
              </w:tc>
              <w:tc>
                <w:tcPr>
                  <w:tcW w:w="667" w:type="pct"/>
                  <w:vAlign w:val="center"/>
                </w:tcPr>
                <w:p>
                  <w:pPr>
                    <w:jc w:val="center"/>
                    <w:rPr>
                      <w:b/>
                      <w:bCs/>
                    </w:rPr>
                  </w:pPr>
                  <w:r>
                    <w:rPr>
                      <w:rFonts w:hint="eastAsia"/>
                      <w:b/>
                      <w:bCs/>
                    </w:rPr>
                    <w:t>污染物排放量（t/a）</w:t>
                  </w:r>
                </w:p>
              </w:tc>
              <w:tc>
                <w:tcPr>
                  <w:tcW w:w="697" w:type="pct"/>
                  <w:vAlign w:val="center"/>
                </w:tcPr>
                <w:p>
                  <w:pPr>
                    <w:jc w:val="center"/>
                    <w:rPr>
                      <w:b/>
                      <w:bCs/>
                    </w:rPr>
                  </w:pPr>
                  <w:r>
                    <w:rPr>
                      <w:rFonts w:hint="eastAsia"/>
                      <w:b/>
                      <w:bCs/>
                    </w:rPr>
                    <w:t>排放速率(kg/h)</w:t>
                  </w:r>
                </w:p>
              </w:tc>
              <w:tc>
                <w:tcPr>
                  <w:tcW w:w="615" w:type="pct"/>
                  <w:vAlign w:val="center"/>
                </w:tcPr>
                <w:p>
                  <w:pPr>
                    <w:jc w:val="center"/>
                    <w:rPr>
                      <w:b/>
                      <w:bCs/>
                    </w:rPr>
                  </w:pPr>
                  <w:r>
                    <w:rPr>
                      <w:rFonts w:hint="eastAsia"/>
                      <w:b/>
                      <w:bCs/>
                    </w:rPr>
                    <w:t>面源面积（m</w:t>
                  </w:r>
                  <w:r>
                    <w:rPr>
                      <w:rFonts w:hint="eastAsia"/>
                      <w:b/>
                      <w:bCs/>
                      <w:vertAlign w:val="superscript"/>
                    </w:rPr>
                    <w:t>2</w:t>
                  </w:r>
                  <w:r>
                    <w:rPr>
                      <w:rFonts w:hint="eastAsia"/>
                      <w:b/>
                      <w:bCs/>
                    </w:rPr>
                    <w:t>）</w:t>
                  </w:r>
                </w:p>
              </w:tc>
              <w:tc>
                <w:tcPr>
                  <w:tcW w:w="655" w:type="pct"/>
                  <w:vAlign w:val="center"/>
                </w:tcPr>
                <w:p>
                  <w:pPr>
                    <w:jc w:val="center"/>
                    <w:rPr>
                      <w:b/>
                      <w:bCs/>
                    </w:rPr>
                  </w:pPr>
                  <w:r>
                    <w:rPr>
                      <w:rFonts w:hint="eastAsia"/>
                      <w:b/>
                      <w:bCs/>
                    </w:rPr>
                    <w:t>面源高度(m)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79" w:type="pct"/>
                  <w:vAlign w:val="center"/>
                </w:tcPr>
                <w:p>
                  <w:pPr>
                    <w:jc w:val="center"/>
                  </w:pPr>
                  <w:r>
                    <w:rPr>
                      <w:rFonts w:hint="eastAsia"/>
                    </w:rPr>
                    <w:t>生产车间</w:t>
                  </w:r>
                </w:p>
              </w:tc>
              <w:tc>
                <w:tcPr>
                  <w:tcW w:w="662" w:type="pct"/>
                  <w:vAlign w:val="center"/>
                </w:tcPr>
                <w:p>
                  <w:pPr>
                    <w:jc w:val="center"/>
                  </w:pPr>
                  <w:r>
                    <w:rPr>
                      <w:rFonts w:hint="eastAsia"/>
                    </w:rPr>
                    <w:t>焊接</w:t>
                  </w:r>
                </w:p>
              </w:tc>
              <w:tc>
                <w:tcPr>
                  <w:tcW w:w="524" w:type="pct"/>
                  <w:vAlign w:val="center"/>
                </w:tcPr>
                <w:p>
                  <w:pPr>
                    <w:jc w:val="center"/>
                  </w:pPr>
                  <w:r>
                    <w:rPr>
                      <w:rFonts w:hint="eastAsia"/>
                    </w:rPr>
                    <w:t>300</w:t>
                  </w:r>
                </w:p>
              </w:tc>
              <w:tc>
                <w:tcPr>
                  <w:tcW w:w="698" w:type="pct"/>
                  <w:vAlign w:val="center"/>
                </w:tcPr>
                <w:p>
                  <w:pPr>
                    <w:jc w:val="center"/>
                  </w:pPr>
                  <w:r>
                    <w:rPr>
                      <w:rFonts w:hint="eastAsia"/>
                    </w:rPr>
                    <w:t>焊接烟尘</w:t>
                  </w:r>
                </w:p>
              </w:tc>
              <w:tc>
                <w:tcPr>
                  <w:tcW w:w="667" w:type="pct"/>
                  <w:vAlign w:val="center"/>
                </w:tcPr>
                <w:p>
                  <w:pPr>
                    <w:adjustRightInd w:val="0"/>
                    <w:snapToGrid w:val="0"/>
                    <w:jc w:val="center"/>
                    <w:rPr>
                      <w:szCs w:val="21"/>
                    </w:rPr>
                  </w:pPr>
                  <w:r>
                    <w:rPr>
                      <w:rFonts w:hint="eastAsia"/>
                      <w:szCs w:val="21"/>
                    </w:rPr>
                    <w:t>0.00004</w:t>
                  </w:r>
                </w:p>
              </w:tc>
              <w:tc>
                <w:tcPr>
                  <w:tcW w:w="697" w:type="pct"/>
                  <w:vAlign w:val="center"/>
                </w:tcPr>
                <w:p>
                  <w:pPr>
                    <w:jc w:val="center"/>
                    <w:rPr>
                      <w:szCs w:val="21"/>
                    </w:rPr>
                  </w:pPr>
                  <w:r>
                    <w:rPr>
                      <w:rFonts w:hint="eastAsia"/>
                      <w:szCs w:val="21"/>
                    </w:rPr>
                    <w:t>0.0000001</w:t>
                  </w:r>
                </w:p>
              </w:tc>
              <w:tc>
                <w:tcPr>
                  <w:tcW w:w="615" w:type="pct"/>
                  <w:vAlign w:val="center"/>
                </w:tcPr>
                <w:p>
                  <w:pPr>
                    <w:jc w:val="center"/>
                  </w:pPr>
                  <w:r>
                    <w:rPr>
                      <w:rFonts w:hint="eastAsia"/>
                    </w:rPr>
                    <w:t>352</w:t>
                  </w:r>
                </w:p>
              </w:tc>
              <w:tc>
                <w:tcPr>
                  <w:tcW w:w="655" w:type="pct"/>
                  <w:vAlign w:val="center"/>
                </w:tcPr>
                <w:p>
                  <w:pPr>
                    <w:jc w:val="center"/>
                  </w:pPr>
                  <w:r>
                    <w:rPr>
                      <w:rFonts w:hint="eastAsia"/>
                    </w:rPr>
                    <w:t>4</w:t>
                  </w:r>
                </w:p>
              </w:tc>
            </w:tr>
          </w:tbl>
          <w:p>
            <w:pPr>
              <w:snapToGrid w:val="0"/>
              <w:spacing w:line="360" w:lineRule="auto"/>
              <w:ind w:firstLine="420"/>
              <w:rPr>
                <w:rFonts w:ascii="宋体" w:hAnsi="宋体"/>
                <w:kern w:val="0"/>
                <w:sz w:val="24"/>
              </w:rPr>
            </w:pPr>
            <w:r>
              <w:rPr>
                <w:rFonts w:hint="eastAsia" w:ascii="宋体" w:hAnsi="宋体"/>
                <w:kern w:val="0"/>
                <w:sz w:val="24"/>
              </w:rPr>
              <w:t>本项目</w:t>
            </w:r>
            <w:r>
              <w:rPr>
                <w:rFonts w:hint="eastAsia" w:ascii="宋体" w:hAnsi="宋体"/>
                <w:kern w:val="0"/>
                <w:sz w:val="24"/>
                <w:lang w:eastAsia="zh-CN"/>
              </w:rPr>
              <w:t>食堂油烟</w:t>
            </w:r>
            <w:r>
              <w:rPr>
                <w:rFonts w:hint="eastAsia" w:ascii="宋体" w:hAnsi="宋体"/>
                <w:kern w:val="0"/>
                <w:sz w:val="24"/>
              </w:rPr>
              <w:t>排放情况见下表：</w:t>
            </w:r>
          </w:p>
          <w:p>
            <w:pPr>
              <w:jc w:val="center"/>
              <w:rPr>
                <w:rFonts w:ascii="宋体" w:hAnsi="宋体"/>
                <w:b/>
                <w:bCs/>
                <w:sz w:val="24"/>
              </w:rPr>
            </w:pPr>
            <w:r>
              <w:rPr>
                <w:b/>
                <w:bCs/>
                <w:sz w:val="24"/>
              </w:rPr>
              <w:t>表4-</w:t>
            </w:r>
            <w:r>
              <w:rPr>
                <w:rFonts w:hint="eastAsia"/>
                <w:b/>
                <w:bCs/>
                <w:sz w:val="24"/>
                <w:lang w:val="en-US" w:eastAsia="zh-CN"/>
              </w:rPr>
              <w:t xml:space="preserve">4 </w:t>
            </w:r>
            <w:r>
              <w:rPr>
                <w:b/>
                <w:bCs/>
                <w:sz w:val="24"/>
              </w:rPr>
              <w:t>本项目</w:t>
            </w:r>
            <w:r>
              <w:rPr>
                <w:rFonts w:hint="eastAsia"/>
                <w:b/>
                <w:bCs/>
                <w:sz w:val="24"/>
                <w:lang w:eastAsia="zh-CN"/>
              </w:rPr>
              <w:t>食堂油烟</w:t>
            </w:r>
            <w:r>
              <w:rPr>
                <w:rFonts w:hint="eastAsia" w:ascii="宋体" w:hAnsi="宋体"/>
                <w:b/>
                <w:bCs/>
                <w:sz w:val="24"/>
              </w:rPr>
              <w:t>排放情况</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662"/>
              <w:gridCol w:w="1064"/>
              <w:gridCol w:w="797"/>
              <w:gridCol w:w="1196"/>
              <w:gridCol w:w="665"/>
              <w:gridCol w:w="1026"/>
              <w:gridCol w:w="693"/>
              <w:gridCol w:w="887"/>
              <w:gridCol w:w="9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5" w:type="pct"/>
                  <w:vMerge w:val="restart"/>
                  <w:tcBorders>
                    <w:top w:val="single" w:color="auto" w:sz="12" w:space="0"/>
                    <w:left w:val="nil"/>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排气筒设置</w:t>
                  </w:r>
                </w:p>
              </w:tc>
              <w:tc>
                <w:tcPr>
                  <w:tcW w:w="666" w:type="pct"/>
                  <w:vMerge w:val="restart"/>
                  <w:tcBorders>
                    <w:top w:val="single" w:color="auto" w:sz="12" w:space="0"/>
                    <w:left w:val="single" w:color="auto" w:sz="4" w:space="0"/>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工段</w:t>
                  </w:r>
                </w:p>
              </w:tc>
              <w:tc>
                <w:tcPr>
                  <w:tcW w:w="499" w:type="pct"/>
                  <w:vMerge w:val="restart"/>
                  <w:tcBorders>
                    <w:top w:val="single" w:color="auto" w:sz="12" w:space="0"/>
                    <w:left w:val="single" w:color="auto" w:sz="4" w:space="0"/>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风量m</w:t>
                  </w:r>
                  <w:r>
                    <w:rPr>
                      <w:rFonts w:ascii="Times New Roman" w:hAnsi="Times New Roman" w:eastAsia="宋体"/>
                      <w:b/>
                      <w:sz w:val="21"/>
                      <w:szCs w:val="21"/>
                      <w:vertAlign w:val="superscript"/>
                    </w:rPr>
                    <w:t>3</w:t>
                  </w:r>
                  <w:r>
                    <w:rPr>
                      <w:rFonts w:ascii="Times New Roman" w:hAnsi="Times New Roman" w:eastAsia="宋体"/>
                      <w:b/>
                      <w:sz w:val="21"/>
                      <w:szCs w:val="21"/>
                    </w:rPr>
                    <w:t>/h</w:t>
                  </w:r>
                </w:p>
              </w:tc>
              <w:tc>
                <w:tcPr>
                  <w:tcW w:w="749" w:type="pct"/>
                  <w:vMerge w:val="restart"/>
                  <w:tcBorders>
                    <w:top w:val="single" w:color="auto" w:sz="12" w:space="0"/>
                    <w:left w:val="single" w:color="auto" w:sz="4" w:space="0"/>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拟采取的处理方式</w:t>
                  </w:r>
                </w:p>
              </w:tc>
              <w:tc>
                <w:tcPr>
                  <w:tcW w:w="416" w:type="pct"/>
                  <w:vMerge w:val="restart"/>
                  <w:tcBorders>
                    <w:top w:val="single" w:color="auto" w:sz="12" w:space="0"/>
                    <w:left w:val="single" w:color="auto" w:sz="4" w:space="0"/>
                    <w:bottom w:val="single" w:color="auto" w:sz="4" w:space="0"/>
                    <w:right w:val="single" w:color="auto" w:sz="4" w:space="0"/>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去除率</w:t>
                  </w:r>
                </w:p>
                <w:p>
                  <w:pPr>
                    <w:pStyle w:val="63"/>
                    <w:rPr>
                      <w:rFonts w:ascii="Times New Roman" w:hAnsi="Times New Roman" w:eastAsia="宋体"/>
                      <w:b/>
                      <w:sz w:val="21"/>
                      <w:szCs w:val="21"/>
                    </w:rPr>
                  </w:pPr>
                  <w:r>
                    <w:rPr>
                      <w:rFonts w:ascii="Times New Roman" w:hAnsi="Times New Roman" w:eastAsia="宋体"/>
                      <w:b/>
                      <w:sz w:val="21"/>
                      <w:szCs w:val="21"/>
                    </w:rPr>
                    <w:t>%</w:t>
                  </w:r>
                </w:p>
              </w:tc>
              <w:tc>
                <w:tcPr>
                  <w:tcW w:w="642" w:type="pct"/>
                  <w:vMerge w:val="restart"/>
                  <w:tcBorders>
                    <w:top w:val="single" w:color="auto" w:sz="12" w:space="0"/>
                    <w:left w:val="single" w:color="auto" w:sz="4" w:space="0"/>
                    <w:bottom w:val="single" w:color="auto" w:sz="4" w:space="0"/>
                    <w:right w:val="single" w:color="auto" w:sz="4" w:space="0"/>
                  </w:tcBorders>
                  <w:vAlign w:val="center"/>
                </w:tcPr>
                <w:p>
                  <w:pPr>
                    <w:jc w:val="center"/>
                    <w:rPr>
                      <w:b/>
                      <w:szCs w:val="21"/>
                    </w:rPr>
                  </w:pPr>
                  <w:r>
                    <w:rPr>
                      <w:b/>
                      <w:bCs/>
                      <w:szCs w:val="21"/>
                    </w:rPr>
                    <w:t>污染物名称</w:t>
                  </w:r>
                </w:p>
              </w:tc>
              <w:tc>
                <w:tcPr>
                  <w:tcW w:w="1614" w:type="pct"/>
                  <w:gridSpan w:val="3"/>
                  <w:tcBorders>
                    <w:top w:val="single" w:color="auto" w:sz="12" w:space="0"/>
                    <w:left w:val="single" w:color="auto" w:sz="4" w:space="0"/>
                    <w:bottom w:val="single" w:color="auto" w:sz="4" w:space="0"/>
                    <w:right w:val="nil"/>
                  </w:tcBorders>
                  <w:vAlign w:val="center"/>
                </w:tcPr>
                <w:p>
                  <w:pPr>
                    <w:pStyle w:val="63"/>
                    <w:rPr>
                      <w:rFonts w:ascii="Times New Roman" w:hAnsi="Times New Roman" w:eastAsia="宋体"/>
                      <w:b/>
                      <w:sz w:val="21"/>
                      <w:szCs w:val="21"/>
                    </w:rPr>
                  </w:pPr>
                  <w:r>
                    <w:rPr>
                      <w:rFonts w:ascii="Times New Roman" w:hAnsi="Times New Roman" w:eastAsia="宋体"/>
                      <w:b/>
                      <w:sz w:val="21"/>
                      <w:szCs w:val="21"/>
                    </w:rPr>
                    <w:t>排放状况</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5" w:type="pct"/>
                  <w:vMerge w:val="continue"/>
                  <w:tcBorders>
                    <w:top w:val="single" w:color="auto" w:sz="12" w:space="0"/>
                    <w:left w:val="nil"/>
                    <w:bottom w:val="single" w:color="auto" w:sz="4" w:space="0"/>
                    <w:right w:val="single" w:color="auto" w:sz="4" w:space="0"/>
                  </w:tcBorders>
                  <w:vAlign w:val="center"/>
                </w:tcPr>
                <w:p>
                  <w:pPr>
                    <w:widowControl/>
                    <w:jc w:val="left"/>
                    <w:rPr>
                      <w:b/>
                      <w:kern w:val="44"/>
                      <w:szCs w:val="21"/>
                    </w:rPr>
                  </w:pPr>
                </w:p>
              </w:tc>
              <w:tc>
                <w:tcPr>
                  <w:tcW w:w="666" w:type="pct"/>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kern w:val="44"/>
                      <w:szCs w:val="21"/>
                    </w:rPr>
                  </w:pPr>
                </w:p>
              </w:tc>
              <w:tc>
                <w:tcPr>
                  <w:tcW w:w="499" w:type="pct"/>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kern w:val="44"/>
                      <w:szCs w:val="21"/>
                    </w:rPr>
                  </w:pPr>
                </w:p>
              </w:tc>
              <w:tc>
                <w:tcPr>
                  <w:tcW w:w="749" w:type="pct"/>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kern w:val="44"/>
                      <w:szCs w:val="21"/>
                    </w:rPr>
                  </w:pPr>
                </w:p>
              </w:tc>
              <w:tc>
                <w:tcPr>
                  <w:tcW w:w="416" w:type="pct"/>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kern w:val="44"/>
                      <w:szCs w:val="21"/>
                    </w:rPr>
                  </w:pPr>
                </w:p>
              </w:tc>
              <w:tc>
                <w:tcPr>
                  <w:tcW w:w="642" w:type="pct"/>
                  <w:vMerge w:val="continue"/>
                  <w:tcBorders>
                    <w:top w:val="single" w:color="auto" w:sz="12" w:space="0"/>
                    <w:left w:val="single" w:color="auto" w:sz="4" w:space="0"/>
                    <w:bottom w:val="single" w:color="auto" w:sz="4" w:space="0"/>
                    <w:right w:val="single" w:color="auto" w:sz="4" w:space="0"/>
                  </w:tcBorders>
                  <w:vAlign w:val="center"/>
                </w:tcPr>
                <w:p>
                  <w:pPr>
                    <w:widowControl/>
                    <w:jc w:val="left"/>
                    <w:rPr>
                      <w:b/>
                      <w:szCs w:val="21"/>
                    </w:rPr>
                  </w:pPr>
                </w:p>
              </w:tc>
              <w:tc>
                <w:tcPr>
                  <w:tcW w:w="434" w:type="pct"/>
                  <w:tcBorders>
                    <w:top w:val="single" w:color="auto" w:sz="4" w:space="0"/>
                    <w:left w:val="single" w:color="auto" w:sz="4" w:space="0"/>
                    <w:bottom w:val="single" w:color="auto" w:sz="4" w:space="0"/>
                    <w:right w:val="single" w:color="auto" w:sz="4" w:space="0"/>
                  </w:tcBorders>
                  <w:vAlign w:val="center"/>
                </w:tcPr>
                <w:p>
                  <w:pPr>
                    <w:snapToGrid w:val="0"/>
                    <w:jc w:val="center"/>
                    <w:rPr>
                      <w:b/>
                      <w:szCs w:val="21"/>
                    </w:rPr>
                  </w:pPr>
                  <w:r>
                    <w:rPr>
                      <w:b/>
                      <w:szCs w:val="21"/>
                    </w:rPr>
                    <w:t>浓度mg/m</w:t>
                  </w:r>
                  <w:r>
                    <w:rPr>
                      <w:b/>
                      <w:szCs w:val="21"/>
                      <w:vertAlign w:val="superscript"/>
                    </w:rPr>
                    <w:t>3</w:t>
                  </w:r>
                </w:p>
              </w:tc>
              <w:tc>
                <w:tcPr>
                  <w:tcW w:w="555" w:type="pct"/>
                  <w:tcBorders>
                    <w:top w:val="single" w:color="auto" w:sz="4" w:space="0"/>
                    <w:left w:val="single" w:color="auto" w:sz="4" w:space="0"/>
                    <w:bottom w:val="single" w:color="auto" w:sz="4" w:space="0"/>
                    <w:right w:val="single" w:color="auto" w:sz="4" w:space="0"/>
                  </w:tcBorders>
                  <w:vAlign w:val="center"/>
                </w:tcPr>
                <w:p>
                  <w:pPr>
                    <w:snapToGrid w:val="0"/>
                    <w:jc w:val="center"/>
                    <w:rPr>
                      <w:b/>
                      <w:szCs w:val="21"/>
                    </w:rPr>
                  </w:pPr>
                  <w:r>
                    <w:rPr>
                      <w:b/>
                      <w:szCs w:val="21"/>
                    </w:rPr>
                    <w:t>速率kg/h</w:t>
                  </w:r>
                </w:p>
              </w:tc>
              <w:tc>
                <w:tcPr>
                  <w:tcW w:w="625" w:type="pct"/>
                  <w:tcBorders>
                    <w:top w:val="single" w:color="auto" w:sz="4" w:space="0"/>
                    <w:left w:val="single" w:color="auto" w:sz="4" w:space="0"/>
                    <w:bottom w:val="single" w:color="auto" w:sz="4" w:space="0"/>
                    <w:right w:val="nil"/>
                  </w:tcBorders>
                  <w:vAlign w:val="center"/>
                </w:tcPr>
                <w:p>
                  <w:pPr>
                    <w:snapToGrid w:val="0"/>
                    <w:jc w:val="center"/>
                    <w:rPr>
                      <w:b/>
                      <w:szCs w:val="21"/>
                    </w:rPr>
                  </w:pPr>
                  <w:r>
                    <w:rPr>
                      <w:b/>
                      <w:szCs w:val="21"/>
                    </w:rPr>
                    <w:t>排放量t/a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cantSplit/>
                <w:trHeight w:val="340" w:hRule="atLeast"/>
                <w:jc w:val="center"/>
              </w:trPr>
              <w:tc>
                <w:tcPr>
                  <w:tcW w:w="415" w:type="pct"/>
                  <w:tcBorders>
                    <w:left w:val="nil"/>
                    <w:right w:val="single" w:color="auto" w:sz="4" w:space="0"/>
                  </w:tcBorders>
                  <w:vAlign w:val="center"/>
                </w:tcPr>
                <w:p>
                  <w:pPr>
                    <w:snapToGrid w:val="0"/>
                    <w:jc w:val="center"/>
                    <w:rPr>
                      <w:szCs w:val="21"/>
                    </w:rPr>
                  </w:pPr>
                  <w:r>
                    <w:rPr>
                      <w:rFonts w:hint="eastAsia"/>
                      <w:szCs w:val="21"/>
                    </w:rPr>
                    <w:t>FQ-1</w:t>
                  </w:r>
                </w:p>
              </w:tc>
              <w:tc>
                <w:tcPr>
                  <w:tcW w:w="666" w:type="pct"/>
                  <w:tcBorders>
                    <w:top w:val="single" w:color="auto" w:sz="4" w:space="0"/>
                    <w:left w:val="single" w:color="auto" w:sz="4" w:space="0"/>
                    <w:right w:val="single" w:color="auto" w:sz="4" w:space="0"/>
                  </w:tcBorders>
                  <w:vAlign w:val="center"/>
                </w:tcPr>
                <w:p>
                  <w:pPr>
                    <w:pStyle w:val="63"/>
                    <w:rPr>
                      <w:rFonts w:ascii="Times New Roman" w:hAnsi="Times New Roman" w:eastAsia="宋体"/>
                      <w:sz w:val="21"/>
                      <w:szCs w:val="21"/>
                    </w:rPr>
                  </w:pPr>
                  <w:r>
                    <w:rPr>
                      <w:rFonts w:hint="eastAsia" w:ascii="Times New Roman" w:hAnsi="Times New Roman" w:eastAsia="宋体"/>
                      <w:sz w:val="21"/>
                      <w:szCs w:val="21"/>
                    </w:rPr>
                    <w:t>食堂</w:t>
                  </w:r>
                </w:p>
              </w:tc>
              <w:tc>
                <w:tcPr>
                  <w:tcW w:w="499" w:type="pct"/>
                  <w:tcBorders>
                    <w:left w:val="single" w:color="auto" w:sz="4" w:space="0"/>
                    <w:right w:val="single" w:color="auto" w:sz="4" w:space="0"/>
                  </w:tcBorders>
                  <w:vAlign w:val="center"/>
                </w:tcPr>
                <w:p>
                  <w:pPr>
                    <w:pStyle w:val="63"/>
                    <w:rPr>
                      <w:rFonts w:ascii="Times New Roman" w:hAnsi="Times New Roman" w:eastAsia="宋体"/>
                      <w:sz w:val="21"/>
                      <w:szCs w:val="21"/>
                    </w:rPr>
                  </w:pPr>
                  <w:r>
                    <w:rPr>
                      <w:rFonts w:hint="eastAsia" w:ascii="Times New Roman" w:hAnsi="Times New Roman" w:eastAsia="宋体"/>
                      <w:sz w:val="21"/>
                      <w:szCs w:val="21"/>
                    </w:rPr>
                    <w:t>2000</w:t>
                  </w:r>
                </w:p>
              </w:tc>
              <w:tc>
                <w:tcPr>
                  <w:tcW w:w="749" w:type="pct"/>
                  <w:tcBorders>
                    <w:left w:val="single" w:color="auto" w:sz="4" w:space="0"/>
                    <w:right w:val="single" w:color="auto" w:sz="4" w:space="0"/>
                  </w:tcBorders>
                  <w:vAlign w:val="center"/>
                </w:tcPr>
                <w:p>
                  <w:pPr>
                    <w:snapToGrid w:val="0"/>
                    <w:jc w:val="center"/>
                    <w:rPr>
                      <w:szCs w:val="21"/>
                    </w:rPr>
                  </w:pPr>
                  <w:r>
                    <w:rPr>
                      <w:rFonts w:hint="eastAsia"/>
                      <w:szCs w:val="21"/>
                    </w:rPr>
                    <w:t>油烟净化处理装置</w:t>
                  </w:r>
                </w:p>
              </w:tc>
              <w:tc>
                <w:tcPr>
                  <w:tcW w:w="416" w:type="pct"/>
                  <w:tcBorders>
                    <w:left w:val="single" w:color="auto" w:sz="4" w:space="0"/>
                    <w:right w:val="single" w:color="auto" w:sz="4" w:space="0"/>
                  </w:tcBorders>
                  <w:vAlign w:val="center"/>
                </w:tcPr>
                <w:p>
                  <w:pPr>
                    <w:pStyle w:val="63"/>
                    <w:rPr>
                      <w:rFonts w:ascii="Times New Roman" w:hAnsi="Times New Roman" w:eastAsia="宋体"/>
                      <w:sz w:val="21"/>
                      <w:szCs w:val="21"/>
                    </w:rPr>
                  </w:pPr>
                  <w:r>
                    <w:rPr>
                      <w:rFonts w:hint="eastAsia" w:ascii="Times New Roman" w:hAnsi="Times New Roman" w:eastAsia="宋体"/>
                      <w:sz w:val="21"/>
                      <w:szCs w:val="21"/>
                    </w:rPr>
                    <w:t>60</w:t>
                  </w:r>
                </w:p>
              </w:tc>
              <w:tc>
                <w:tcPr>
                  <w:tcW w:w="642" w:type="pct"/>
                  <w:tcBorders>
                    <w:left w:val="single" w:color="auto" w:sz="4" w:space="0"/>
                    <w:bottom w:val="single" w:color="auto" w:sz="12" w:space="0"/>
                    <w:right w:val="single" w:color="auto" w:sz="4" w:space="0"/>
                  </w:tcBorders>
                  <w:vAlign w:val="center"/>
                </w:tcPr>
                <w:p>
                  <w:pPr>
                    <w:pStyle w:val="63"/>
                    <w:rPr>
                      <w:rFonts w:ascii="Times New Roman" w:hAnsi="Times New Roman" w:eastAsia="宋体"/>
                      <w:sz w:val="21"/>
                      <w:szCs w:val="21"/>
                    </w:rPr>
                  </w:pPr>
                  <w:r>
                    <w:rPr>
                      <w:rFonts w:hint="eastAsia" w:ascii="Times New Roman" w:hAnsi="Times New Roman" w:eastAsia="宋体"/>
                      <w:sz w:val="21"/>
                      <w:szCs w:val="21"/>
                    </w:rPr>
                    <w:t>食堂油烟</w:t>
                  </w:r>
                </w:p>
              </w:tc>
              <w:tc>
                <w:tcPr>
                  <w:tcW w:w="434" w:type="pct"/>
                  <w:tcBorders>
                    <w:left w:val="single" w:color="auto" w:sz="4" w:space="0"/>
                    <w:bottom w:val="single" w:color="auto" w:sz="12" w:space="0"/>
                    <w:right w:val="single" w:color="auto" w:sz="4" w:space="0"/>
                  </w:tcBorders>
                  <w:vAlign w:val="center"/>
                </w:tcPr>
                <w:p>
                  <w:pPr>
                    <w:pStyle w:val="5"/>
                    <w:adjustRightInd w:val="0"/>
                    <w:snapToGrid w:val="0"/>
                    <w:ind w:firstLine="0"/>
                    <w:jc w:val="center"/>
                    <w:rPr>
                      <w:rFonts w:ascii="Times New Roman" w:hAnsi="Times New Roman"/>
                      <w:szCs w:val="21"/>
                    </w:rPr>
                  </w:pPr>
                  <w:r>
                    <w:rPr>
                      <w:rFonts w:hint="eastAsia" w:ascii="Times New Roman" w:hAnsi="Times New Roman"/>
                      <w:szCs w:val="21"/>
                    </w:rPr>
                    <w:t>0.46</w:t>
                  </w:r>
                </w:p>
              </w:tc>
              <w:tc>
                <w:tcPr>
                  <w:tcW w:w="555" w:type="pct"/>
                  <w:tcBorders>
                    <w:left w:val="single" w:color="auto" w:sz="4" w:space="0"/>
                    <w:bottom w:val="single" w:color="auto" w:sz="12" w:space="0"/>
                    <w:right w:val="single" w:color="auto" w:sz="4" w:space="0"/>
                  </w:tcBorders>
                  <w:vAlign w:val="center"/>
                </w:tcPr>
                <w:p>
                  <w:pPr>
                    <w:pStyle w:val="5"/>
                    <w:adjustRightInd w:val="0"/>
                    <w:snapToGrid w:val="0"/>
                    <w:ind w:firstLine="0"/>
                    <w:jc w:val="center"/>
                    <w:rPr>
                      <w:rFonts w:ascii="Times New Roman" w:hAnsi="Times New Roman"/>
                      <w:szCs w:val="21"/>
                    </w:rPr>
                  </w:pPr>
                  <w:r>
                    <w:rPr>
                      <w:rFonts w:hint="eastAsia" w:ascii="Times New Roman" w:hAnsi="Times New Roman"/>
                      <w:szCs w:val="21"/>
                    </w:rPr>
                    <w:t>0.0009</w:t>
                  </w:r>
                </w:p>
              </w:tc>
              <w:tc>
                <w:tcPr>
                  <w:tcW w:w="625" w:type="pct"/>
                  <w:tcBorders>
                    <w:left w:val="single" w:color="auto" w:sz="4" w:space="0"/>
                    <w:bottom w:val="single" w:color="auto" w:sz="12" w:space="0"/>
                    <w:right w:val="nil"/>
                  </w:tcBorders>
                  <w:vAlign w:val="center"/>
                </w:tcPr>
                <w:p>
                  <w:pPr>
                    <w:pStyle w:val="5"/>
                    <w:adjustRightInd w:val="0"/>
                    <w:snapToGrid w:val="0"/>
                    <w:ind w:firstLine="0"/>
                    <w:jc w:val="center"/>
                    <w:rPr>
                      <w:rFonts w:ascii="Times New Roman" w:hAnsi="Times New Roman"/>
                      <w:szCs w:val="21"/>
                    </w:rPr>
                  </w:pPr>
                  <w:r>
                    <w:rPr>
                      <w:rFonts w:hint="eastAsia" w:ascii="Times New Roman" w:hAnsi="Times New Roman"/>
                      <w:szCs w:val="21"/>
                    </w:rPr>
                    <w:t>0.0011</w:t>
                  </w:r>
                </w:p>
              </w:tc>
            </w:tr>
          </w:tbl>
          <w:p>
            <w:pPr>
              <w:spacing w:line="360" w:lineRule="auto"/>
              <w:ind w:firstLine="482" w:firstLineChars="200"/>
              <w:rPr>
                <w:b/>
                <w:sz w:val="24"/>
              </w:rPr>
            </w:pPr>
            <w:r>
              <w:rPr>
                <w:rFonts w:hint="eastAsia"/>
                <w:b/>
                <w:sz w:val="24"/>
              </w:rPr>
              <w:t>（3）大气环境</w:t>
            </w:r>
            <w:r>
              <w:rPr>
                <w:b/>
                <w:sz w:val="24"/>
              </w:rPr>
              <w:t>影响分析</w:t>
            </w:r>
          </w:p>
          <w:p>
            <w:pPr>
              <w:adjustRightInd w:val="0"/>
              <w:snapToGrid w:val="0"/>
              <w:spacing w:line="360" w:lineRule="auto"/>
              <w:ind w:firstLine="480" w:firstLineChars="200"/>
              <w:rPr>
                <w:bCs/>
                <w:sz w:val="24"/>
              </w:rPr>
            </w:pPr>
            <w:r>
              <w:rPr>
                <w:rFonts w:hint="eastAsia"/>
                <w:bCs/>
                <w:sz w:val="24"/>
              </w:rPr>
              <w:t>1）</w:t>
            </w:r>
            <w:r>
              <w:rPr>
                <w:rFonts w:ascii="宋体" w:hAnsi="宋体"/>
                <w:bCs/>
                <w:sz w:val="24"/>
              </w:rPr>
              <w:t>大气环境防护距离</w:t>
            </w:r>
          </w:p>
          <w:p>
            <w:pPr>
              <w:adjustRightInd w:val="0"/>
              <w:snapToGrid w:val="0"/>
              <w:spacing w:line="360" w:lineRule="auto"/>
              <w:ind w:firstLine="480" w:firstLineChars="200"/>
              <w:rPr>
                <w:sz w:val="24"/>
              </w:rPr>
            </w:pPr>
            <w:r>
              <w:rPr>
                <w:rFonts w:ascii="宋体" w:hAnsi="宋体"/>
                <w:bCs/>
                <w:sz w:val="24"/>
              </w:rPr>
              <w:t>大气环境防护距离是指为</w:t>
            </w:r>
            <w:r>
              <w:rPr>
                <w:rFonts w:ascii="宋体" w:hAnsi="宋体"/>
                <w:sz w:val="24"/>
              </w:rPr>
              <w:t>保护人群健康，减少正常排放条件下大气污染物对居住区的环境影响，在项目厂界以外设置的环境防护距离。计算的距离是以污染源中心点为起点的控制距离，并结合厂区平面布置图，确定控制距离范围，超出厂界以外的范围即为项目大气环境防护距离。</w:t>
            </w:r>
          </w:p>
          <w:p>
            <w:pPr>
              <w:adjustRightInd w:val="0"/>
              <w:snapToGrid w:val="0"/>
              <w:spacing w:line="360" w:lineRule="auto"/>
              <w:ind w:firstLine="480" w:firstLineChars="200"/>
              <w:rPr>
                <w:sz w:val="24"/>
              </w:rPr>
            </w:pPr>
            <w:r>
              <w:rPr>
                <w:rFonts w:ascii="宋体" w:hAnsi="宋体"/>
                <w:sz w:val="24"/>
              </w:rPr>
              <w:t>根据分析，本项目</w:t>
            </w:r>
            <w:r>
              <w:rPr>
                <w:rFonts w:hint="eastAsia" w:ascii="宋体" w:hAnsi="宋体"/>
                <w:sz w:val="24"/>
              </w:rPr>
              <w:t>焊接烟尘</w:t>
            </w:r>
            <w:r>
              <w:rPr>
                <w:rFonts w:ascii="宋体" w:hAnsi="宋体"/>
                <w:sz w:val="24"/>
              </w:rPr>
              <w:t>无组织排放，大气环境防护距离计算模式采用环境保护部环境工程评估中心环境质量模拟重点实验室软件，经计算，本项目无组织排放废气计算结果无超标点。本项目不需设定大气环境防护距离。</w:t>
            </w:r>
          </w:p>
          <w:p>
            <w:pPr>
              <w:adjustRightInd w:val="0"/>
              <w:snapToGrid w:val="0"/>
              <w:spacing w:line="360" w:lineRule="auto"/>
              <w:ind w:firstLine="480" w:firstLineChars="200"/>
              <w:rPr>
                <w:sz w:val="24"/>
              </w:rPr>
            </w:pPr>
            <w:r>
              <w:rPr>
                <w:rFonts w:hint="eastAsia"/>
                <w:bCs/>
                <w:sz w:val="24"/>
              </w:rPr>
              <w:t>2</w:t>
            </w:r>
            <w:r>
              <w:rPr>
                <w:sz w:val="24"/>
              </w:rPr>
              <w:t>）卫生防护距离</w:t>
            </w:r>
          </w:p>
          <w:p>
            <w:pPr>
              <w:adjustRightInd w:val="0"/>
              <w:snapToGrid w:val="0"/>
              <w:spacing w:line="360" w:lineRule="auto"/>
              <w:ind w:firstLine="480" w:firstLineChars="200"/>
              <w:rPr>
                <w:sz w:val="24"/>
              </w:rPr>
            </w:pPr>
            <w:r>
              <w:rPr>
                <w:rFonts w:hint="eastAsia" w:ascii="宋体" w:hAnsi="宋体" w:cs="宋体"/>
                <w:sz w:val="24"/>
              </w:rPr>
              <w:t>①</w:t>
            </w:r>
            <w:r>
              <w:rPr>
                <w:sz w:val="24"/>
              </w:rPr>
              <w:t>计算公式</w:t>
            </w:r>
          </w:p>
          <w:p>
            <w:pPr>
              <w:adjustRightInd w:val="0"/>
              <w:snapToGrid w:val="0"/>
              <w:spacing w:line="312" w:lineRule="auto"/>
              <w:ind w:firstLine="480" w:firstLineChars="200"/>
              <w:rPr>
                <w:sz w:val="24"/>
              </w:rPr>
            </w:pPr>
            <w:r>
              <w:rPr>
                <w:sz w:val="24"/>
              </w:rPr>
              <w:t>根据《制定地方大气污染物排放标准的技术方法》（GB/T13201-91）规定，无组织排入有害气体的生产单元（生产区、车间、工段）与居民区之间应设置卫生防护距离，计算公式如下：</w:t>
            </w:r>
          </w:p>
          <w:p>
            <w:pPr>
              <w:adjustRightInd w:val="0"/>
              <w:snapToGrid w:val="0"/>
              <w:jc w:val="center"/>
              <w:rPr>
                <w:sz w:val="24"/>
              </w:rPr>
            </w:pPr>
            <w:r>
              <w:rPr>
                <w:position w:val="-30"/>
                <w:sz w:val="24"/>
              </w:rPr>
              <w:object>
                <v:shape id="_x0000_i1025" o:spt="75" type="#_x0000_t75" style="height:38pt;width:153.5pt;" o:ole="t" filled="f" o:preferrelative="t" stroked="f" coordsize="21600,21600">
                  <v:path/>
                  <v:fill on="f" focussize="0,0"/>
                  <v:stroke on="f" joinstyle="miter"/>
                  <v:imagedata r:id="rId14" o:title=""/>
                  <o:lock v:ext="edit" aspectratio="t"/>
                  <w10:wrap type="none"/>
                  <w10:anchorlock/>
                </v:shape>
                <o:OLEObject Type="Embed" ProgID="Equation.3" ShapeID="_x0000_i1025" DrawAspect="Content" ObjectID="_1468075725" r:id="rId13">
                  <o:LockedField>false</o:LockedField>
                </o:OLEObject>
              </w:object>
            </w:r>
          </w:p>
          <w:p>
            <w:pPr>
              <w:adjustRightInd w:val="0"/>
              <w:snapToGrid w:val="0"/>
              <w:spacing w:line="312" w:lineRule="auto"/>
              <w:rPr>
                <w:sz w:val="24"/>
              </w:rPr>
            </w:pPr>
            <w:r>
              <w:rPr>
                <w:sz w:val="24"/>
              </w:rPr>
              <w:t>式中：</w:t>
            </w:r>
          </w:p>
          <w:p>
            <w:pPr>
              <w:adjustRightInd w:val="0"/>
              <w:snapToGrid w:val="0"/>
              <w:spacing w:line="360" w:lineRule="auto"/>
              <w:ind w:firstLine="480" w:firstLineChars="200"/>
              <w:rPr>
                <w:sz w:val="24"/>
              </w:rPr>
            </w:pPr>
            <w:r>
              <w:rPr>
                <w:sz w:val="24"/>
              </w:rPr>
              <w:t>C</w:t>
            </w:r>
            <w:r>
              <w:rPr>
                <w:sz w:val="24"/>
                <w:vertAlign w:val="subscript"/>
              </w:rPr>
              <w:t>m</w:t>
            </w:r>
            <w:r>
              <w:rPr>
                <w:sz w:val="24"/>
              </w:rPr>
              <w:t>——标准浓度限值（mg/Nm</w:t>
            </w:r>
            <w:r>
              <w:rPr>
                <w:sz w:val="24"/>
                <w:vertAlign w:val="superscript"/>
              </w:rPr>
              <w:t>3</w:t>
            </w:r>
            <w:r>
              <w:rPr>
                <w:sz w:val="24"/>
              </w:rPr>
              <w:t>）；</w:t>
            </w:r>
          </w:p>
          <w:p>
            <w:pPr>
              <w:adjustRightInd w:val="0"/>
              <w:snapToGrid w:val="0"/>
              <w:spacing w:line="360" w:lineRule="auto"/>
              <w:ind w:firstLine="480" w:firstLineChars="200"/>
              <w:rPr>
                <w:sz w:val="24"/>
              </w:rPr>
            </w:pPr>
            <w:r>
              <w:rPr>
                <w:sz w:val="24"/>
              </w:rPr>
              <w:t>Q</w:t>
            </w:r>
            <w:r>
              <w:rPr>
                <w:sz w:val="24"/>
                <w:vertAlign w:val="subscript"/>
              </w:rPr>
              <w:t>c</w:t>
            </w:r>
            <w:r>
              <w:rPr>
                <w:sz w:val="24"/>
              </w:rPr>
              <w:t>——有害气体无组织排放量可以达到的控制水平（kg/h）；</w:t>
            </w:r>
          </w:p>
          <w:p>
            <w:pPr>
              <w:adjustRightInd w:val="0"/>
              <w:snapToGrid w:val="0"/>
              <w:spacing w:line="360" w:lineRule="auto"/>
              <w:ind w:firstLine="480" w:firstLineChars="200"/>
              <w:rPr>
                <w:sz w:val="24"/>
              </w:rPr>
            </w:pPr>
            <w:r>
              <w:rPr>
                <w:sz w:val="24"/>
              </w:rPr>
              <w:t>r——有害气体无组织排放源所在生产单元的等效半径（m）；</w:t>
            </w:r>
          </w:p>
          <w:p>
            <w:pPr>
              <w:adjustRightInd w:val="0"/>
              <w:snapToGrid w:val="0"/>
              <w:spacing w:line="360" w:lineRule="auto"/>
              <w:ind w:firstLine="480" w:firstLineChars="200"/>
              <w:rPr>
                <w:sz w:val="24"/>
              </w:rPr>
            </w:pPr>
            <w:r>
              <w:rPr>
                <w:sz w:val="24"/>
              </w:rPr>
              <w:t>L——工业企业所需的卫生防护距离（m）；</w:t>
            </w:r>
          </w:p>
          <w:p>
            <w:pPr>
              <w:adjustRightInd w:val="0"/>
              <w:snapToGrid w:val="0"/>
              <w:spacing w:line="360" w:lineRule="auto"/>
              <w:ind w:firstLine="480" w:firstLineChars="200"/>
              <w:rPr>
                <w:sz w:val="24"/>
              </w:rPr>
            </w:pPr>
            <w:r>
              <w:rPr>
                <w:sz w:val="24"/>
              </w:rPr>
              <w:t>A、B、C、D——卫生防护距离计算系数，无因次，根据工业企业所在地近五年平均风速及工业企业大气污染源构成类别查取。</w:t>
            </w:r>
          </w:p>
          <w:p>
            <w:pPr>
              <w:adjustRightInd w:val="0"/>
              <w:snapToGrid w:val="0"/>
              <w:spacing w:line="360" w:lineRule="auto"/>
              <w:ind w:firstLine="480" w:firstLineChars="200"/>
              <w:rPr>
                <w:sz w:val="24"/>
              </w:rPr>
            </w:pPr>
            <w:r>
              <w:rPr>
                <w:rFonts w:hint="eastAsia" w:ascii="宋体" w:hAnsi="宋体" w:cs="宋体"/>
                <w:sz w:val="24"/>
              </w:rPr>
              <w:t>②</w:t>
            </w:r>
            <w:r>
              <w:rPr>
                <w:sz w:val="24"/>
              </w:rPr>
              <w:t>参数选取</w:t>
            </w:r>
          </w:p>
          <w:p>
            <w:pPr>
              <w:adjustRightInd w:val="0"/>
              <w:snapToGrid w:val="0"/>
              <w:spacing w:line="360" w:lineRule="auto"/>
              <w:ind w:firstLine="480" w:firstLineChars="200"/>
              <w:rPr>
                <w:sz w:val="24"/>
              </w:rPr>
            </w:pPr>
            <w:r>
              <w:rPr>
                <w:sz w:val="24"/>
              </w:rPr>
              <w:t>无组织排放多种有害气体时，按Q</w:t>
            </w:r>
            <w:r>
              <w:rPr>
                <w:sz w:val="24"/>
                <w:vertAlign w:val="subscript"/>
              </w:rPr>
              <w:t>c</w:t>
            </w:r>
            <w:r>
              <w:rPr>
                <w:sz w:val="24"/>
              </w:rPr>
              <w:t>/C</w:t>
            </w:r>
            <w:r>
              <w:rPr>
                <w:sz w:val="24"/>
                <w:vertAlign w:val="subscript"/>
              </w:rPr>
              <w:t>m</w:t>
            </w:r>
            <w:r>
              <w:rPr>
                <w:sz w:val="24"/>
              </w:rPr>
              <w:t>的最大值计算其所需的卫生防护距离。卫生防护距离在100m内时，级差为50m；超过100m</w:t>
            </w:r>
            <w:r>
              <w:rPr>
                <w:rFonts w:hint="eastAsia"/>
                <w:sz w:val="24"/>
              </w:rPr>
              <w:t>，</w:t>
            </w:r>
            <w:r>
              <w:rPr>
                <w:sz w:val="24"/>
              </w:rPr>
              <w:t>但小于1000m时，级差为100m。当按两种或两种以上有害气体的Q</w:t>
            </w:r>
            <w:r>
              <w:rPr>
                <w:sz w:val="24"/>
                <w:vertAlign w:val="subscript"/>
              </w:rPr>
              <w:t>c</w:t>
            </w:r>
            <w:r>
              <w:rPr>
                <w:sz w:val="24"/>
              </w:rPr>
              <w:t>/C</w:t>
            </w:r>
            <w:r>
              <w:rPr>
                <w:sz w:val="24"/>
                <w:vertAlign w:val="subscript"/>
              </w:rPr>
              <w:t>m</w:t>
            </w:r>
            <w:r>
              <w:rPr>
                <w:sz w:val="24"/>
              </w:rPr>
              <w:t>计算卫生防护距离在同一级别时，该类工业企业的卫生防护距离提高一级。</w:t>
            </w:r>
          </w:p>
          <w:p>
            <w:pPr>
              <w:adjustRightInd w:val="0"/>
              <w:snapToGrid w:val="0"/>
              <w:spacing w:line="360" w:lineRule="auto"/>
              <w:ind w:firstLine="480" w:firstLineChars="200"/>
              <w:rPr>
                <w:sz w:val="24"/>
              </w:rPr>
            </w:pPr>
            <w:r>
              <w:rPr>
                <w:sz w:val="24"/>
              </w:rPr>
              <w:t>该地区的平均</w:t>
            </w:r>
            <w:r>
              <w:rPr>
                <w:sz w:val="24"/>
                <w:szCs w:val="22"/>
              </w:rPr>
              <w:t>风速</w:t>
            </w:r>
            <w:r>
              <w:rPr>
                <w:sz w:val="24"/>
              </w:rPr>
              <w:t>为</w:t>
            </w:r>
            <w:r>
              <w:rPr>
                <w:rFonts w:hint="eastAsia"/>
                <w:sz w:val="24"/>
              </w:rPr>
              <w:t>2.9</w:t>
            </w:r>
            <w:r>
              <w:rPr>
                <w:sz w:val="24"/>
              </w:rPr>
              <w:t>m/s，A、B、C、D值的选取见下表。</w:t>
            </w:r>
          </w:p>
          <w:p>
            <w:pPr>
              <w:adjustRightInd w:val="0"/>
              <w:snapToGrid w:val="0"/>
              <w:jc w:val="center"/>
              <w:rPr>
                <w:b/>
                <w:sz w:val="24"/>
              </w:rPr>
            </w:pPr>
          </w:p>
          <w:p>
            <w:pPr>
              <w:adjustRightInd w:val="0"/>
              <w:snapToGrid w:val="0"/>
              <w:jc w:val="center"/>
              <w:rPr>
                <w:b/>
                <w:sz w:val="24"/>
              </w:rPr>
            </w:pPr>
          </w:p>
          <w:p>
            <w:pPr>
              <w:pStyle w:val="2"/>
              <w:ind w:left="-84" w:firstLine="560"/>
            </w:pPr>
          </w:p>
          <w:p>
            <w:pPr>
              <w:adjustRightInd w:val="0"/>
              <w:snapToGrid w:val="0"/>
              <w:jc w:val="center"/>
              <w:rPr>
                <w:b/>
                <w:sz w:val="24"/>
              </w:rPr>
            </w:pPr>
            <w:r>
              <w:rPr>
                <w:b/>
                <w:sz w:val="24"/>
              </w:rPr>
              <w:t>表</w:t>
            </w:r>
            <w:r>
              <w:rPr>
                <w:rFonts w:hint="eastAsia"/>
                <w:b/>
                <w:sz w:val="24"/>
              </w:rPr>
              <w:t>4-5</w:t>
            </w:r>
            <w:r>
              <w:rPr>
                <w:b/>
                <w:sz w:val="24"/>
              </w:rPr>
              <w:t xml:space="preserve"> 卫生防护距离计算系数</w:t>
            </w:r>
          </w:p>
          <w:tbl>
            <w:tblPr>
              <w:tblStyle w:val="23"/>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6"/>
              <w:gridCol w:w="726"/>
              <w:gridCol w:w="727"/>
              <w:gridCol w:w="727"/>
              <w:gridCol w:w="727"/>
              <w:gridCol w:w="727"/>
              <w:gridCol w:w="727"/>
              <w:gridCol w:w="727"/>
              <w:gridCol w:w="727"/>
              <w:gridCol w:w="727"/>
              <w:gridCol w:w="71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restart"/>
                  <w:vAlign w:val="center"/>
                </w:tcPr>
                <w:p>
                  <w:pPr>
                    <w:jc w:val="center"/>
                    <w:rPr>
                      <w:szCs w:val="21"/>
                    </w:rPr>
                  </w:pPr>
                  <w:r>
                    <w:rPr>
                      <w:szCs w:val="21"/>
                    </w:rPr>
                    <w:t>计</w:t>
                  </w:r>
                </w:p>
                <w:p>
                  <w:pPr>
                    <w:jc w:val="center"/>
                    <w:rPr>
                      <w:szCs w:val="21"/>
                    </w:rPr>
                  </w:pPr>
                  <w:r>
                    <w:rPr>
                      <w:szCs w:val="21"/>
                    </w:rPr>
                    <w:t>算</w:t>
                  </w:r>
                </w:p>
                <w:p>
                  <w:pPr>
                    <w:jc w:val="center"/>
                    <w:rPr>
                      <w:szCs w:val="21"/>
                    </w:rPr>
                  </w:pPr>
                  <w:r>
                    <w:rPr>
                      <w:szCs w:val="21"/>
                    </w:rPr>
                    <w:t>系</w:t>
                  </w:r>
                </w:p>
                <w:p>
                  <w:pPr>
                    <w:jc w:val="center"/>
                    <w:rPr>
                      <w:szCs w:val="21"/>
                    </w:rPr>
                  </w:pPr>
                  <w:r>
                    <w:rPr>
                      <w:szCs w:val="21"/>
                    </w:rPr>
                    <w:t>数</w:t>
                  </w:r>
                </w:p>
              </w:tc>
              <w:tc>
                <w:tcPr>
                  <w:tcW w:w="455" w:type="pct"/>
                  <w:vMerge w:val="restart"/>
                  <w:vAlign w:val="center"/>
                </w:tcPr>
                <w:p>
                  <w:pPr>
                    <w:jc w:val="center"/>
                    <w:rPr>
                      <w:szCs w:val="21"/>
                    </w:rPr>
                  </w:pPr>
                  <w:r>
                    <w:rPr>
                      <w:szCs w:val="21"/>
                    </w:rPr>
                    <w:t>5年平均风速</w:t>
                  </w:r>
                </w:p>
                <w:p>
                  <w:pPr>
                    <w:jc w:val="center"/>
                    <w:rPr>
                      <w:szCs w:val="21"/>
                    </w:rPr>
                  </w:pPr>
                  <w:r>
                    <w:rPr>
                      <w:szCs w:val="21"/>
                    </w:rPr>
                    <w:t>m/s</w:t>
                  </w:r>
                </w:p>
              </w:tc>
              <w:tc>
                <w:tcPr>
                  <w:tcW w:w="4091" w:type="pct"/>
                  <w:gridSpan w:val="9"/>
                  <w:vAlign w:val="center"/>
                </w:tcPr>
                <w:p>
                  <w:pPr>
                    <w:jc w:val="center"/>
                    <w:rPr>
                      <w:szCs w:val="21"/>
                    </w:rPr>
                  </w:pPr>
                  <w:r>
                    <w:rPr>
                      <w:szCs w:val="21"/>
                    </w:rPr>
                    <w:t>卫生防护距离L，m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jc w:val="center"/>
                    <w:rPr>
                      <w:sz w:val="24"/>
                    </w:rPr>
                  </w:pPr>
                </w:p>
              </w:tc>
              <w:tc>
                <w:tcPr>
                  <w:tcW w:w="455" w:type="pct"/>
                  <w:vMerge w:val="continue"/>
                  <w:vAlign w:val="center"/>
                </w:tcPr>
                <w:p>
                  <w:pPr>
                    <w:jc w:val="center"/>
                    <w:rPr>
                      <w:sz w:val="24"/>
                    </w:rPr>
                  </w:pPr>
                </w:p>
              </w:tc>
              <w:tc>
                <w:tcPr>
                  <w:tcW w:w="1364" w:type="pct"/>
                  <w:gridSpan w:val="3"/>
                  <w:vAlign w:val="center"/>
                </w:tcPr>
                <w:p>
                  <w:pPr>
                    <w:jc w:val="center"/>
                    <w:rPr>
                      <w:szCs w:val="21"/>
                    </w:rPr>
                  </w:pPr>
                  <w:r>
                    <w:rPr>
                      <w:szCs w:val="21"/>
                    </w:rPr>
                    <w:t>L≤1000</w:t>
                  </w:r>
                </w:p>
              </w:tc>
              <w:tc>
                <w:tcPr>
                  <w:tcW w:w="1364" w:type="pct"/>
                  <w:gridSpan w:val="3"/>
                  <w:vAlign w:val="center"/>
                </w:tcPr>
                <w:p>
                  <w:pPr>
                    <w:jc w:val="center"/>
                    <w:rPr>
                      <w:szCs w:val="21"/>
                    </w:rPr>
                  </w:pPr>
                  <w:r>
                    <w:rPr>
                      <w:szCs w:val="21"/>
                    </w:rPr>
                    <w:t>L≤1000</w:t>
                  </w:r>
                </w:p>
              </w:tc>
              <w:tc>
                <w:tcPr>
                  <w:tcW w:w="1364" w:type="pct"/>
                  <w:gridSpan w:val="3"/>
                  <w:vAlign w:val="center"/>
                </w:tcPr>
                <w:p>
                  <w:pPr>
                    <w:jc w:val="center"/>
                    <w:rPr>
                      <w:szCs w:val="21"/>
                    </w:rPr>
                  </w:pPr>
                  <w:r>
                    <w:rPr>
                      <w:szCs w:val="21"/>
                    </w:rPr>
                    <w:t>L≤1000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jc w:val="center"/>
                    <w:rPr>
                      <w:sz w:val="24"/>
                    </w:rPr>
                  </w:pPr>
                </w:p>
              </w:tc>
              <w:tc>
                <w:tcPr>
                  <w:tcW w:w="455" w:type="pct"/>
                  <w:vMerge w:val="continue"/>
                  <w:vAlign w:val="center"/>
                </w:tcPr>
                <w:p>
                  <w:pPr>
                    <w:jc w:val="center"/>
                    <w:rPr>
                      <w:sz w:val="24"/>
                    </w:rPr>
                  </w:pPr>
                </w:p>
              </w:tc>
              <w:tc>
                <w:tcPr>
                  <w:tcW w:w="4091" w:type="pct"/>
                  <w:gridSpan w:val="9"/>
                  <w:vAlign w:val="center"/>
                </w:tcPr>
                <w:p>
                  <w:pPr>
                    <w:pStyle w:val="66"/>
                    <w:spacing w:line="240" w:lineRule="auto"/>
                    <w:ind w:firstLine="422"/>
                    <w:jc w:val="center"/>
                    <w:rPr>
                      <w:rFonts w:ascii="Times New Roman" w:hAnsi="Times New Roman" w:eastAsia="宋体"/>
                      <w:b w:val="0"/>
                      <w:sz w:val="21"/>
                      <w:szCs w:val="21"/>
                    </w:rPr>
                  </w:pPr>
                  <w:r>
                    <w:rPr>
                      <w:rFonts w:ascii="Times New Roman" w:hAnsi="Times New Roman" w:eastAsia="宋体"/>
                      <w:b w:val="0"/>
                      <w:sz w:val="21"/>
                      <w:szCs w:val="21"/>
                    </w:rPr>
                    <w:t>工业大气污染源构成类别</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jc w:val="center"/>
                    <w:rPr>
                      <w:sz w:val="24"/>
                    </w:rPr>
                  </w:pPr>
                </w:p>
              </w:tc>
              <w:tc>
                <w:tcPr>
                  <w:tcW w:w="455" w:type="pct"/>
                  <w:vMerge w:val="continue"/>
                  <w:vAlign w:val="center"/>
                </w:tcPr>
                <w:p>
                  <w:pPr>
                    <w:jc w:val="center"/>
                    <w:rPr>
                      <w:sz w:val="24"/>
                    </w:rPr>
                  </w:pPr>
                </w:p>
              </w:tc>
              <w:tc>
                <w:tcPr>
                  <w:tcW w:w="455" w:type="pct"/>
                  <w:vAlign w:val="center"/>
                </w:tcPr>
                <w:p>
                  <w:pPr>
                    <w:jc w:val="center"/>
                    <w:rPr>
                      <w:szCs w:val="21"/>
                    </w:rPr>
                  </w:pPr>
                  <w:r>
                    <w:rPr>
                      <w:rFonts w:hint="eastAsia" w:ascii="宋体" w:hAnsi="宋体" w:cs="宋体"/>
                      <w:szCs w:val="21"/>
                    </w:rPr>
                    <w:t>Ⅰ</w:t>
                  </w:r>
                </w:p>
              </w:tc>
              <w:tc>
                <w:tcPr>
                  <w:tcW w:w="455" w:type="pct"/>
                  <w:vAlign w:val="center"/>
                </w:tcPr>
                <w:p>
                  <w:pPr>
                    <w:jc w:val="center"/>
                    <w:rPr>
                      <w:szCs w:val="21"/>
                    </w:rPr>
                  </w:pPr>
                  <w:r>
                    <w:rPr>
                      <w:rFonts w:hint="eastAsia" w:ascii="宋体" w:hAnsi="宋体" w:cs="宋体"/>
                      <w:szCs w:val="21"/>
                    </w:rPr>
                    <w:t>Ⅱ</w:t>
                  </w:r>
                </w:p>
              </w:tc>
              <w:tc>
                <w:tcPr>
                  <w:tcW w:w="455" w:type="pct"/>
                  <w:vAlign w:val="center"/>
                </w:tcPr>
                <w:p>
                  <w:pPr>
                    <w:jc w:val="center"/>
                    <w:rPr>
                      <w:szCs w:val="21"/>
                    </w:rPr>
                  </w:pPr>
                  <w:r>
                    <w:rPr>
                      <w:rFonts w:hint="eastAsia" w:ascii="宋体" w:hAnsi="宋体" w:cs="宋体"/>
                      <w:szCs w:val="21"/>
                    </w:rPr>
                    <w:t>Ⅲ</w:t>
                  </w:r>
                </w:p>
              </w:tc>
              <w:tc>
                <w:tcPr>
                  <w:tcW w:w="455" w:type="pct"/>
                  <w:vAlign w:val="center"/>
                </w:tcPr>
                <w:p>
                  <w:pPr>
                    <w:jc w:val="center"/>
                    <w:rPr>
                      <w:szCs w:val="21"/>
                    </w:rPr>
                  </w:pPr>
                  <w:r>
                    <w:rPr>
                      <w:rFonts w:hint="eastAsia" w:ascii="宋体" w:hAnsi="宋体" w:cs="宋体"/>
                      <w:szCs w:val="21"/>
                    </w:rPr>
                    <w:t>Ⅰ</w:t>
                  </w:r>
                </w:p>
              </w:tc>
              <w:tc>
                <w:tcPr>
                  <w:tcW w:w="455" w:type="pct"/>
                  <w:vAlign w:val="center"/>
                </w:tcPr>
                <w:p>
                  <w:pPr>
                    <w:jc w:val="center"/>
                    <w:rPr>
                      <w:szCs w:val="21"/>
                    </w:rPr>
                  </w:pPr>
                  <w:r>
                    <w:rPr>
                      <w:rFonts w:hint="eastAsia" w:ascii="宋体" w:hAnsi="宋体" w:cs="宋体"/>
                      <w:szCs w:val="21"/>
                    </w:rPr>
                    <w:t>Ⅱ</w:t>
                  </w:r>
                </w:p>
              </w:tc>
              <w:tc>
                <w:tcPr>
                  <w:tcW w:w="455" w:type="pct"/>
                  <w:vAlign w:val="center"/>
                </w:tcPr>
                <w:p>
                  <w:pPr>
                    <w:jc w:val="center"/>
                    <w:rPr>
                      <w:szCs w:val="21"/>
                    </w:rPr>
                  </w:pPr>
                  <w:r>
                    <w:rPr>
                      <w:rFonts w:hint="eastAsia" w:ascii="宋体" w:hAnsi="宋体" w:cs="宋体"/>
                      <w:szCs w:val="21"/>
                    </w:rPr>
                    <w:t>Ⅲ</w:t>
                  </w:r>
                </w:p>
              </w:tc>
              <w:tc>
                <w:tcPr>
                  <w:tcW w:w="455" w:type="pct"/>
                  <w:vAlign w:val="center"/>
                </w:tcPr>
                <w:p>
                  <w:pPr>
                    <w:jc w:val="center"/>
                    <w:rPr>
                      <w:szCs w:val="21"/>
                    </w:rPr>
                  </w:pPr>
                  <w:r>
                    <w:rPr>
                      <w:rFonts w:hint="eastAsia" w:ascii="宋体" w:hAnsi="宋体" w:cs="宋体"/>
                      <w:szCs w:val="21"/>
                    </w:rPr>
                    <w:t>Ⅰ</w:t>
                  </w:r>
                </w:p>
              </w:tc>
              <w:tc>
                <w:tcPr>
                  <w:tcW w:w="455" w:type="pct"/>
                  <w:vAlign w:val="center"/>
                </w:tcPr>
                <w:p>
                  <w:pPr>
                    <w:jc w:val="center"/>
                    <w:rPr>
                      <w:szCs w:val="21"/>
                    </w:rPr>
                  </w:pPr>
                  <w:r>
                    <w:rPr>
                      <w:rFonts w:hint="eastAsia" w:ascii="宋体" w:hAnsi="宋体" w:cs="宋体"/>
                      <w:szCs w:val="21"/>
                    </w:rPr>
                    <w:t>Ⅱ</w:t>
                  </w:r>
                </w:p>
              </w:tc>
              <w:tc>
                <w:tcPr>
                  <w:tcW w:w="455" w:type="pct"/>
                  <w:vAlign w:val="center"/>
                </w:tcPr>
                <w:p>
                  <w:pPr>
                    <w:jc w:val="center"/>
                    <w:rPr>
                      <w:szCs w:val="21"/>
                    </w:rPr>
                  </w:pPr>
                  <w:r>
                    <w:rPr>
                      <w:rFonts w:hint="eastAsia" w:ascii="宋体" w:hAnsi="宋体" w:cs="宋体"/>
                      <w:szCs w:val="21"/>
                    </w:rPr>
                    <w:t>Ⅲ</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restart"/>
                  <w:vAlign w:val="center"/>
                </w:tcPr>
                <w:p>
                  <w:pPr>
                    <w:jc w:val="center"/>
                    <w:rPr>
                      <w:szCs w:val="21"/>
                    </w:rPr>
                  </w:pPr>
                  <w:r>
                    <w:rPr>
                      <w:szCs w:val="21"/>
                    </w:rPr>
                    <w:t>A</w:t>
                  </w:r>
                </w:p>
              </w:tc>
              <w:tc>
                <w:tcPr>
                  <w:tcW w:w="455" w:type="pct"/>
                  <w:vAlign w:val="center"/>
                </w:tcPr>
                <w:p>
                  <w:pPr>
                    <w:jc w:val="center"/>
                    <w:rPr>
                      <w:szCs w:val="21"/>
                    </w:rPr>
                  </w:pPr>
                  <w:r>
                    <w:rPr>
                      <w:szCs w:val="21"/>
                    </w:rPr>
                    <w:t>＜2</w:t>
                  </w:r>
                </w:p>
              </w:tc>
              <w:tc>
                <w:tcPr>
                  <w:tcW w:w="455" w:type="pct"/>
                  <w:vAlign w:val="center"/>
                </w:tcPr>
                <w:p>
                  <w:pPr>
                    <w:jc w:val="center"/>
                    <w:rPr>
                      <w:szCs w:val="21"/>
                    </w:rPr>
                  </w:pPr>
                  <w:r>
                    <w:rPr>
                      <w:szCs w:val="21"/>
                    </w:rPr>
                    <w:t>400</w:t>
                  </w:r>
                </w:p>
              </w:tc>
              <w:tc>
                <w:tcPr>
                  <w:tcW w:w="455" w:type="pct"/>
                  <w:vAlign w:val="center"/>
                </w:tcPr>
                <w:p>
                  <w:pPr>
                    <w:jc w:val="center"/>
                    <w:rPr>
                      <w:szCs w:val="21"/>
                    </w:rPr>
                  </w:pPr>
                  <w:r>
                    <w:rPr>
                      <w:szCs w:val="21"/>
                    </w:rPr>
                    <w:t>400</w:t>
                  </w:r>
                </w:p>
              </w:tc>
              <w:tc>
                <w:tcPr>
                  <w:tcW w:w="455" w:type="pct"/>
                  <w:vAlign w:val="center"/>
                </w:tcPr>
                <w:p>
                  <w:pPr>
                    <w:jc w:val="center"/>
                    <w:rPr>
                      <w:szCs w:val="21"/>
                    </w:rPr>
                  </w:pPr>
                  <w:r>
                    <w:rPr>
                      <w:szCs w:val="21"/>
                    </w:rPr>
                    <w:t>400</w:t>
                  </w:r>
                </w:p>
              </w:tc>
              <w:tc>
                <w:tcPr>
                  <w:tcW w:w="455" w:type="pct"/>
                  <w:vAlign w:val="center"/>
                </w:tcPr>
                <w:p>
                  <w:pPr>
                    <w:jc w:val="center"/>
                    <w:rPr>
                      <w:szCs w:val="21"/>
                    </w:rPr>
                  </w:pPr>
                  <w:r>
                    <w:rPr>
                      <w:szCs w:val="21"/>
                    </w:rPr>
                    <w:t>400</w:t>
                  </w:r>
                </w:p>
              </w:tc>
              <w:tc>
                <w:tcPr>
                  <w:tcW w:w="455" w:type="pct"/>
                  <w:vAlign w:val="center"/>
                </w:tcPr>
                <w:p>
                  <w:pPr>
                    <w:jc w:val="center"/>
                    <w:rPr>
                      <w:szCs w:val="21"/>
                    </w:rPr>
                  </w:pPr>
                  <w:r>
                    <w:rPr>
                      <w:szCs w:val="21"/>
                    </w:rPr>
                    <w:t>400</w:t>
                  </w:r>
                </w:p>
              </w:tc>
              <w:tc>
                <w:tcPr>
                  <w:tcW w:w="455" w:type="pct"/>
                  <w:vAlign w:val="center"/>
                </w:tcPr>
                <w:p>
                  <w:pPr>
                    <w:jc w:val="center"/>
                    <w:rPr>
                      <w:szCs w:val="21"/>
                    </w:rPr>
                  </w:pPr>
                  <w:r>
                    <w:rPr>
                      <w:szCs w:val="21"/>
                    </w:rPr>
                    <w:t>400</w:t>
                  </w:r>
                </w:p>
              </w:tc>
              <w:tc>
                <w:tcPr>
                  <w:tcW w:w="455" w:type="pct"/>
                  <w:vAlign w:val="center"/>
                </w:tcPr>
                <w:p>
                  <w:pPr>
                    <w:jc w:val="center"/>
                    <w:rPr>
                      <w:szCs w:val="21"/>
                    </w:rPr>
                  </w:pPr>
                  <w:r>
                    <w:rPr>
                      <w:szCs w:val="21"/>
                    </w:rPr>
                    <w:t>80</w:t>
                  </w:r>
                </w:p>
              </w:tc>
              <w:tc>
                <w:tcPr>
                  <w:tcW w:w="455" w:type="pct"/>
                  <w:vAlign w:val="center"/>
                </w:tcPr>
                <w:p>
                  <w:pPr>
                    <w:jc w:val="center"/>
                    <w:rPr>
                      <w:szCs w:val="21"/>
                    </w:rPr>
                  </w:pPr>
                  <w:r>
                    <w:rPr>
                      <w:szCs w:val="21"/>
                    </w:rPr>
                    <w:t>80</w:t>
                  </w:r>
                </w:p>
              </w:tc>
              <w:tc>
                <w:tcPr>
                  <w:tcW w:w="455" w:type="pct"/>
                  <w:vAlign w:val="center"/>
                </w:tcPr>
                <w:p>
                  <w:pPr>
                    <w:jc w:val="center"/>
                    <w:rPr>
                      <w:szCs w:val="21"/>
                    </w:rPr>
                  </w:pPr>
                  <w:r>
                    <w:rPr>
                      <w:szCs w:val="21"/>
                    </w:rPr>
                    <w:t>80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jc w:val="center"/>
                    <w:rPr>
                      <w:sz w:val="24"/>
                    </w:rPr>
                  </w:pPr>
                </w:p>
              </w:tc>
              <w:tc>
                <w:tcPr>
                  <w:tcW w:w="455" w:type="pct"/>
                  <w:vAlign w:val="center"/>
                </w:tcPr>
                <w:p>
                  <w:pPr>
                    <w:jc w:val="center"/>
                    <w:rPr>
                      <w:sz w:val="24"/>
                    </w:rPr>
                  </w:pPr>
                  <w:r>
                    <w:rPr>
                      <w:szCs w:val="21"/>
                    </w:rPr>
                    <w:t>2～4</w:t>
                  </w:r>
                </w:p>
              </w:tc>
              <w:tc>
                <w:tcPr>
                  <w:tcW w:w="455" w:type="pct"/>
                  <w:vAlign w:val="center"/>
                </w:tcPr>
                <w:p>
                  <w:pPr>
                    <w:jc w:val="center"/>
                    <w:rPr>
                      <w:szCs w:val="21"/>
                    </w:rPr>
                  </w:pPr>
                  <w:r>
                    <w:rPr>
                      <w:szCs w:val="21"/>
                    </w:rPr>
                    <w:t>700</w:t>
                  </w:r>
                </w:p>
              </w:tc>
              <w:tc>
                <w:tcPr>
                  <w:tcW w:w="455" w:type="pct"/>
                  <w:vAlign w:val="center"/>
                </w:tcPr>
                <w:p>
                  <w:pPr>
                    <w:jc w:val="center"/>
                    <w:rPr>
                      <w:szCs w:val="21"/>
                    </w:rPr>
                  </w:pPr>
                  <w:r>
                    <w:rPr>
                      <w:szCs w:val="21"/>
                    </w:rPr>
                    <w:t>470</w:t>
                  </w:r>
                </w:p>
              </w:tc>
              <w:tc>
                <w:tcPr>
                  <w:tcW w:w="455" w:type="pct"/>
                  <w:vAlign w:val="center"/>
                </w:tcPr>
                <w:p>
                  <w:pPr>
                    <w:jc w:val="center"/>
                    <w:rPr>
                      <w:szCs w:val="21"/>
                    </w:rPr>
                  </w:pPr>
                  <w:r>
                    <w:rPr>
                      <w:szCs w:val="21"/>
                    </w:rPr>
                    <w:t>350</w:t>
                  </w:r>
                </w:p>
              </w:tc>
              <w:tc>
                <w:tcPr>
                  <w:tcW w:w="455" w:type="pct"/>
                  <w:vAlign w:val="center"/>
                </w:tcPr>
                <w:p>
                  <w:pPr>
                    <w:jc w:val="center"/>
                    <w:rPr>
                      <w:szCs w:val="21"/>
                    </w:rPr>
                  </w:pPr>
                  <w:r>
                    <w:rPr>
                      <w:szCs w:val="21"/>
                    </w:rPr>
                    <w:t>700</w:t>
                  </w:r>
                </w:p>
              </w:tc>
              <w:tc>
                <w:tcPr>
                  <w:tcW w:w="455" w:type="pct"/>
                  <w:vAlign w:val="center"/>
                </w:tcPr>
                <w:p>
                  <w:pPr>
                    <w:jc w:val="center"/>
                    <w:rPr>
                      <w:szCs w:val="21"/>
                    </w:rPr>
                  </w:pPr>
                  <w:r>
                    <w:rPr>
                      <w:szCs w:val="21"/>
                    </w:rPr>
                    <w:t>470</w:t>
                  </w:r>
                </w:p>
              </w:tc>
              <w:tc>
                <w:tcPr>
                  <w:tcW w:w="455" w:type="pct"/>
                  <w:vAlign w:val="center"/>
                </w:tcPr>
                <w:p>
                  <w:pPr>
                    <w:jc w:val="center"/>
                    <w:rPr>
                      <w:szCs w:val="21"/>
                    </w:rPr>
                  </w:pPr>
                  <w:r>
                    <w:rPr>
                      <w:szCs w:val="21"/>
                    </w:rPr>
                    <w:t>350</w:t>
                  </w:r>
                </w:p>
              </w:tc>
              <w:tc>
                <w:tcPr>
                  <w:tcW w:w="455" w:type="pct"/>
                  <w:vAlign w:val="center"/>
                </w:tcPr>
                <w:p>
                  <w:pPr>
                    <w:jc w:val="center"/>
                    <w:rPr>
                      <w:szCs w:val="21"/>
                    </w:rPr>
                  </w:pPr>
                  <w:r>
                    <w:rPr>
                      <w:szCs w:val="21"/>
                    </w:rPr>
                    <w:t>380</w:t>
                  </w:r>
                </w:p>
              </w:tc>
              <w:tc>
                <w:tcPr>
                  <w:tcW w:w="455" w:type="pct"/>
                  <w:vAlign w:val="center"/>
                </w:tcPr>
                <w:p>
                  <w:pPr>
                    <w:jc w:val="center"/>
                    <w:rPr>
                      <w:szCs w:val="21"/>
                    </w:rPr>
                  </w:pPr>
                  <w:r>
                    <w:rPr>
                      <w:szCs w:val="21"/>
                    </w:rPr>
                    <w:t>250</w:t>
                  </w:r>
                </w:p>
              </w:tc>
              <w:tc>
                <w:tcPr>
                  <w:tcW w:w="455" w:type="pct"/>
                  <w:vAlign w:val="center"/>
                </w:tcPr>
                <w:p>
                  <w:pPr>
                    <w:jc w:val="center"/>
                    <w:rPr>
                      <w:szCs w:val="21"/>
                    </w:rPr>
                  </w:pPr>
                  <w:r>
                    <w:rPr>
                      <w:szCs w:val="21"/>
                    </w:rPr>
                    <w:t>190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jc w:val="center"/>
                    <w:rPr>
                      <w:sz w:val="24"/>
                    </w:rPr>
                  </w:pPr>
                </w:p>
              </w:tc>
              <w:tc>
                <w:tcPr>
                  <w:tcW w:w="455" w:type="pct"/>
                  <w:vAlign w:val="center"/>
                </w:tcPr>
                <w:p>
                  <w:pPr>
                    <w:jc w:val="center"/>
                    <w:rPr>
                      <w:sz w:val="24"/>
                    </w:rPr>
                  </w:pPr>
                  <w:r>
                    <w:rPr>
                      <w:szCs w:val="21"/>
                    </w:rPr>
                    <w:t>＞4</w:t>
                  </w:r>
                </w:p>
              </w:tc>
              <w:tc>
                <w:tcPr>
                  <w:tcW w:w="455" w:type="pct"/>
                  <w:vAlign w:val="center"/>
                </w:tcPr>
                <w:p>
                  <w:pPr>
                    <w:jc w:val="center"/>
                    <w:rPr>
                      <w:szCs w:val="21"/>
                    </w:rPr>
                  </w:pPr>
                  <w:r>
                    <w:rPr>
                      <w:szCs w:val="21"/>
                    </w:rPr>
                    <w:t>530</w:t>
                  </w:r>
                </w:p>
              </w:tc>
              <w:tc>
                <w:tcPr>
                  <w:tcW w:w="455" w:type="pct"/>
                  <w:vAlign w:val="center"/>
                </w:tcPr>
                <w:p>
                  <w:pPr>
                    <w:jc w:val="center"/>
                    <w:rPr>
                      <w:szCs w:val="21"/>
                    </w:rPr>
                  </w:pPr>
                  <w:r>
                    <w:rPr>
                      <w:szCs w:val="21"/>
                    </w:rPr>
                    <w:t>350</w:t>
                  </w:r>
                </w:p>
              </w:tc>
              <w:tc>
                <w:tcPr>
                  <w:tcW w:w="455" w:type="pct"/>
                  <w:vAlign w:val="center"/>
                </w:tcPr>
                <w:p>
                  <w:pPr>
                    <w:jc w:val="center"/>
                    <w:rPr>
                      <w:szCs w:val="21"/>
                    </w:rPr>
                  </w:pPr>
                  <w:r>
                    <w:rPr>
                      <w:szCs w:val="21"/>
                    </w:rPr>
                    <w:t>260</w:t>
                  </w:r>
                </w:p>
              </w:tc>
              <w:tc>
                <w:tcPr>
                  <w:tcW w:w="455" w:type="pct"/>
                  <w:vAlign w:val="center"/>
                </w:tcPr>
                <w:p>
                  <w:pPr>
                    <w:jc w:val="center"/>
                    <w:rPr>
                      <w:szCs w:val="21"/>
                    </w:rPr>
                  </w:pPr>
                  <w:r>
                    <w:rPr>
                      <w:szCs w:val="21"/>
                    </w:rPr>
                    <w:t>530</w:t>
                  </w:r>
                </w:p>
              </w:tc>
              <w:tc>
                <w:tcPr>
                  <w:tcW w:w="455" w:type="pct"/>
                  <w:vAlign w:val="center"/>
                </w:tcPr>
                <w:p>
                  <w:pPr>
                    <w:jc w:val="center"/>
                    <w:rPr>
                      <w:szCs w:val="21"/>
                    </w:rPr>
                  </w:pPr>
                  <w:r>
                    <w:rPr>
                      <w:szCs w:val="21"/>
                    </w:rPr>
                    <w:t>350</w:t>
                  </w:r>
                </w:p>
              </w:tc>
              <w:tc>
                <w:tcPr>
                  <w:tcW w:w="455" w:type="pct"/>
                  <w:vAlign w:val="center"/>
                </w:tcPr>
                <w:p>
                  <w:pPr>
                    <w:jc w:val="center"/>
                    <w:rPr>
                      <w:szCs w:val="21"/>
                    </w:rPr>
                  </w:pPr>
                  <w:r>
                    <w:rPr>
                      <w:szCs w:val="21"/>
                    </w:rPr>
                    <w:t>260</w:t>
                  </w:r>
                </w:p>
              </w:tc>
              <w:tc>
                <w:tcPr>
                  <w:tcW w:w="455" w:type="pct"/>
                  <w:vAlign w:val="center"/>
                </w:tcPr>
                <w:p>
                  <w:pPr>
                    <w:jc w:val="center"/>
                    <w:rPr>
                      <w:szCs w:val="21"/>
                    </w:rPr>
                  </w:pPr>
                  <w:r>
                    <w:rPr>
                      <w:szCs w:val="21"/>
                    </w:rPr>
                    <w:t>290</w:t>
                  </w:r>
                </w:p>
              </w:tc>
              <w:tc>
                <w:tcPr>
                  <w:tcW w:w="455" w:type="pct"/>
                  <w:vAlign w:val="center"/>
                </w:tcPr>
                <w:p>
                  <w:pPr>
                    <w:jc w:val="center"/>
                    <w:rPr>
                      <w:szCs w:val="21"/>
                    </w:rPr>
                  </w:pPr>
                  <w:r>
                    <w:rPr>
                      <w:szCs w:val="21"/>
                    </w:rPr>
                    <w:t>190</w:t>
                  </w:r>
                </w:p>
              </w:tc>
              <w:tc>
                <w:tcPr>
                  <w:tcW w:w="455" w:type="pct"/>
                  <w:vAlign w:val="center"/>
                </w:tcPr>
                <w:p>
                  <w:pPr>
                    <w:jc w:val="center"/>
                    <w:rPr>
                      <w:szCs w:val="21"/>
                    </w:rPr>
                  </w:pPr>
                  <w:r>
                    <w:rPr>
                      <w:szCs w:val="21"/>
                    </w:rPr>
                    <w:t>140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restart"/>
                  <w:vAlign w:val="center"/>
                </w:tcPr>
                <w:p>
                  <w:pPr>
                    <w:jc w:val="center"/>
                    <w:rPr>
                      <w:szCs w:val="21"/>
                    </w:rPr>
                  </w:pPr>
                  <w:r>
                    <w:rPr>
                      <w:szCs w:val="21"/>
                    </w:rPr>
                    <w:t>B</w:t>
                  </w:r>
                </w:p>
              </w:tc>
              <w:tc>
                <w:tcPr>
                  <w:tcW w:w="455" w:type="pct"/>
                  <w:vAlign w:val="center"/>
                </w:tcPr>
                <w:p>
                  <w:pPr>
                    <w:jc w:val="center"/>
                    <w:rPr>
                      <w:szCs w:val="21"/>
                    </w:rPr>
                  </w:pPr>
                  <w:r>
                    <w:rPr>
                      <w:szCs w:val="21"/>
                    </w:rPr>
                    <w:t>＜2</w:t>
                  </w:r>
                </w:p>
              </w:tc>
              <w:tc>
                <w:tcPr>
                  <w:tcW w:w="1364" w:type="pct"/>
                  <w:gridSpan w:val="3"/>
                  <w:vAlign w:val="center"/>
                </w:tcPr>
                <w:p>
                  <w:pPr>
                    <w:jc w:val="center"/>
                    <w:rPr>
                      <w:szCs w:val="21"/>
                    </w:rPr>
                  </w:pPr>
                  <w:r>
                    <w:rPr>
                      <w:szCs w:val="21"/>
                    </w:rPr>
                    <w:t>0.01</w:t>
                  </w:r>
                </w:p>
              </w:tc>
              <w:tc>
                <w:tcPr>
                  <w:tcW w:w="1364" w:type="pct"/>
                  <w:gridSpan w:val="3"/>
                  <w:vAlign w:val="center"/>
                </w:tcPr>
                <w:p>
                  <w:pPr>
                    <w:jc w:val="center"/>
                    <w:rPr>
                      <w:szCs w:val="21"/>
                    </w:rPr>
                  </w:pPr>
                  <w:r>
                    <w:rPr>
                      <w:szCs w:val="21"/>
                    </w:rPr>
                    <w:t>0.015</w:t>
                  </w:r>
                </w:p>
              </w:tc>
              <w:tc>
                <w:tcPr>
                  <w:tcW w:w="1364" w:type="pct"/>
                  <w:gridSpan w:val="3"/>
                  <w:vAlign w:val="center"/>
                </w:tcPr>
                <w:p>
                  <w:pPr>
                    <w:jc w:val="center"/>
                    <w:rPr>
                      <w:szCs w:val="21"/>
                    </w:rPr>
                  </w:pPr>
                  <w:r>
                    <w:rPr>
                      <w:szCs w:val="21"/>
                    </w:rPr>
                    <w:t>0.015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jc w:val="center"/>
                    <w:rPr>
                      <w:sz w:val="24"/>
                    </w:rPr>
                  </w:pPr>
                </w:p>
              </w:tc>
              <w:tc>
                <w:tcPr>
                  <w:tcW w:w="455" w:type="pct"/>
                  <w:vAlign w:val="center"/>
                </w:tcPr>
                <w:p>
                  <w:pPr>
                    <w:jc w:val="center"/>
                    <w:rPr>
                      <w:sz w:val="24"/>
                    </w:rPr>
                  </w:pPr>
                  <w:r>
                    <w:rPr>
                      <w:szCs w:val="21"/>
                    </w:rPr>
                    <w:t>＞2</w:t>
                  </w:r>
                </w:p>
              </w:tc>
              <w:tc>
                <w:tcPr>
                  <w:tcW w:w="1364" w:type="pct"/>
                  <w:gridSpan w:val="3"/>
                  <w:vAlign w:val="center"/>
                </w:tcPr>
                <w:p>
                  <w:pPr>
                    <w:jc w:val="center"/>
                    <w:rPr>
                      <w:szCs w:val="21"/>
                    </w:rPr>
                  </w:pPr>
                  <w:r>
                    <w:rPr>
                      <w:szCs w:val="21"/>
                    </w:rPr>
                    <w:t>0.021</w:t>
                  </w:r>
                </w:p>
              </w:tc>
              <w:tc>
                <w:tcPr>
                  <w:tcW w:w="1364" w:type="pct"/>
                  <w:gridSpan w:val="3"/>
                  <w:vAlign w:val="center"/>
                </w:tcPr>
                <w:p>
                  <w:pPr>
                    <w:jc w:val="center"/>
                    <w:rPr>
                      <w:szCs w:val="21"/>
                    </w:rPr>
                  </w:pPr>
                  <w:r>
                    <w:rPr>
                      <w:szCs w:val="21"/>
                    </w:rPr>
                    <w:t>0.036</w:t>
                  </w:r>
                </w:p>
              </w:tc>
              <w:tc>
                <w:tcPr>
                  <w:tcW w:w="1364" w:type="pct"/>
                  <w:gridSpan w:val="3"/>
                  <w:vAlign w:val="center"/>
                </w:tcPr>
                <w:p>
                  <w:pPr>
                    <w:jc w:val="center"/>
                    <w:rPr>
                      <w:szCs w:val="21"/>
                    </w:rPr>
                  </w:pPr>
                  <w:r>
                    <w:rPr>
                      <w:szCs w:val="21"/>
                    </w:rPr>
                    <w:t>0.036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restart"/>
                  <w:vAlign w:val="center"/>
                </w:tcPr>
                <w:p>
                  <w:pPr>
                    <w:jc w:val="center"/>
                    <w:rPr>
                      <w:szCs w:val="21"/>
                    </w:rPr>
                  </w:pPr>
                  <w:r>
                    <w:rPr>
                      <w:szCs w:val="21"/>
                    </w:rPr>
                    <w:t>C</w:t>
                  </w:r>
                </w:p>
              </w:tc>
              <w:tc>
                <w:tcPr>
                  <w:tcW w:w="455" w:type="pct"/>
                  <w:vAlign w:val="center"/>
                </w:tcPr>
                <w:p>
                  <w:pPr>
                    <w:jc w:val="center"/>
                    <w:rPr>
                      <w:szCs w:val="21"/>
                    </w:rPr>
                  </w:pPr>
                  <w:r>
                    <w:rPr>
                      <w:szCs w:val="21"/>
                    </w:rPr>
                    <w:t>＜2</w:t>
                  </w:r>
                </w:p>
              </w:tc>
              <w:tc>
                <w:tcPr>
                  <w:tcW w:w="1364" w:type="pct"/>
                  <w:gridSpan w:val="3"/>
                  <w:vAlign w:val="center"/>
                </w:tcPr>
                <w:p>
                  <w:pPr>
                    <w:jc w:val="center"/>
                    <w:rPr>
                      <w:szCs w:val="21"/>
                    </w:rPr>
                  </w:pPr>
                  <w:r>
                    <w:rPr>
                      <w:szCs w:val="21"/>
                    </w:rPr>
                    <w:t>1.85</w:t>
                  </w:r>
                </w:p>
              </w:tc>
              <w:tc>
                <w:tcPr>
                  <w:tcW w:w="1364" w:type="pct"/>
                  <w:gridSpan w:val="3"/>
                  <w:vAlign w:val="center"/>
                </w:tcPr>
                <w:p>
                  <w:pPr>
                    <w:jc w:val="center"/>
                    <w:rPr>
                      <w:szCs w:val="21"/>
                    </w:rPr>
                  </w:pPr>
                  <w:r>
                    <w:rPr>
                      <w:szCs w:val="21"/>
                    </w:rPr>
                    <w:t>1.79</w:t>
                  </w:r>
                </w:p>
              </w:tc>
              <w:tc>
                <w:tcPr>
                  <w:tcW w:w="1364" w:type="pct"/>
                  <w:gridSpan w:val="3"/>
                  <w:vAlign w:val="center"/>
                </w:tcPr>
                <w:p>
                  <w:pPr>
                    <w:jc w:val="center"/>
                    <w:rPr>
                      <w:szCs w:val="21"/>
                    </w:rPr>
                  </w:pPr>
                  <w:r>
                    <w:rPr>
                      <w:szCs w:val="21"/>
                    </w:rPr>
                    <w:t>1.79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jc w:val="center"/>
                    <w:rPr>
                      <w:sz w:val="24"/>
                    </w:rPr>
                  </w:pPr>
                </w:p>
              </w:tc>
              <w:tc>
                <w:tcPr>
                  <w:tcW w:w="455" w:type="pct"/>
                  <w:vAlign w:val="center"/>
                </w:tcPr>
                <w:p>
                  <w:pPr>
                    <w:jc w:val="center"/>
                    <w:rPr>
                      <w:sz w:val="24"/>
                    </w:rPr>
                  </w:pPr>
                  <w:r>
                    <w:rPr>
                      <w:szCs w:val="21"/>
                    </w:rPr>
                    <w:t>＞2</w:t>
                  </w:r>
                </w:p>
              </w:tc>
              <w:tc>
                <w:tcPr>
                  <w:tcW w:w="1364" w:type="pct"/>
                  <w:gridSpan w:val="3"/>
                  <w:vAlign w:val="center"/>
                </w:tcPr>
                <w:p>
                  <w:pPr>
                    <w:jc w:val="center"/>
                    <w:rPr>
                      <w:szCs w:val="21"/>
                    </w:rPr>
                  </w:pPr>
                  <w:r>
                    <w:rPr>
                      <w:szCs w:val="21"/>
                    </w:rPr>
                    <w:t>1.85</w:t>
                  </w:r>
                </w:p>
              </w:tc>
              <w:tc>
                <w:tcPr>
                  <w:tcW w:w="1364" w:type="pct"/>
                  <w:gridSpan w:val="3"/>
                  <w:vAlign w:val="center"/>
                </w:tcPr>
                <w:p>
                  <w:pPr>
                    <w:jc w:val="center"/>
                    <w:rPr>
                      <w:szCs w:val="21"/>
                    </w:rPr>
                  </w:pPr>
                  <w:r>
                    <w:rPr>
                      <w:szCs w:val="21"/>
                    </w:rPr>
                    <w:t>1.77</w:t>
                  </w:r>
                </w:p>
              </w:tc>
              <w:tc>
                <w:tcPr>
                  <w:tcW w:w="1364" w:type="pct"/>
                  <w:gridSpan w:val="3"/>
                  <w:vAlign w:val="center"/>
                </w:tcPr>
                <w:p>
                  <w:pPr>
                    <w:jc w:val="center"/>
                    <w:rPr>
                      <w:szCs w:val="21"/>
                    </w:rPr>
                  </w:pPr>
                  <w:r>
                    <w:rPr>
                      <w:szCs w:val="21"/>
                    </w:rPr>
                    <w:t>1.77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restart"/>
                  <w:vAlign w:val="center"/>
                </w:tcPr>
                <w:p>
                  <w:pPr>
                    <w:jc w:val="center"/>
                    <w:rPr>
                      <w:szCs w:val="21"/>
                    </w:rPr>
                  </w:pPr>
                  <w:r>
                    <w:rPr>
                      <w:szCs w:val="21"/>
                    </w:rPr>
                    <w:t>D</w:t>
                  </w:r>
                </w:p>
              </w:tc>
              <w:tc>
                <w:tcPr>
                  <w:tcW w:w="455" w:type="pct"/>
                  <w:vAlign w:val="center"/>
                </w:tcPr>
                <w:p>
                  <w:pPr>
                    <w:jc w:val="center"/>
                    <w:rPr>
                      <w:szCs w:val="21"/>
                    </w:rPr>
                  </w:pPr>
                  <w:r>
                    <w:rPr>
                      <w:szCs w:val="21"/>
                    </w:rPr>
                    <w:t>＜2</w:t>
                  </w:r>
                </w:p>
              </w:tc>
              <w:tc>
                <w:tcPr>
                  <w:tcW w:w="1364" w:type="pct"/>
                  <w:gridSpan w:val="3"/>
                  <w:vAlign w:val="center"/>
                </w:tcPr>
                <w:p>
                  <w:pPr>
                    <w:jc w:val="center"/>
                    <w:rPr>
                      <w:szCs w:val="21"/>
                    </w:rPr>
                  </w:pPr>
                  <w:r>
                    <w:rPr>
                      <w:szCs w:val="21"/>
                    </w:rPr>
                    <w:t>0.78</w:t>
                  </w:r>
                </w:p>
              </w:tc>
              <w:tc>
                <w:tcPr>
                  <w:tcW w:w="1364" w:type="pct"/>
                  <w:gridSpan w:val="3"/>
                  <w:vAlign w:val="center"/>
                </w:tcPr>
                <w:p>
                  <w:pPr>
                    <w:jc w:val="center"/>
                    <w:rPr>
                      <w:szCs w:val="21"/>
                    </w:rPr>
                  </w:pPr>
                  <w:r>
                    <w:rPr>
                      <w:szCs w:val="21"/>
                    </w:rPr>
                    <w:t>0.78</w:t>
                  </w:r>
                </w:p>
              </w:tc>
              <w:tc>
                <w:tcPr>
                  <w:tcW w:w="1364" w:type="pct"/>
                  <w:gridSpan w:val="3"/>
                  <w:vAlign w:val="center"/>
                </w:tcPr>
                <w:p>
                  <w:pPr>
                    <w:jc w:val="center"/>
                    <w:rPr>
                      <w:szCs w:val="21"/>
                    </w:rPr>
                  </w:pPr>
                  <w:r>
                    <w:rPr>
                      <w:szCs w:val="21"/>
                    </w:rPr>
                    <w:t>0.57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Merge w:val="continue"/>
                  <w:vAlign w:val="center"/>
                </w:tcPr>
                <w:p>
                  <w:pPr>
                    <w:jc w:val="center"/>
                    <w:rPr>
                      <w:sz w:val="24"/>
                    </w:rPr>
                  </w:pPr>
                </w:p>
              </w:tc>
              <w:tc>
                <w:tcPr>
                  <w:tcW w:w="455" w:type="pct"/>
                  <w:vAlign w:val="center"/>
                </w:tcPr>
                <w:p>
                  <w:pPr>
                    <w:jc w:val="center"/>
                    <w:rPr>
                      <w:sz w:val="24"/>
                    </w:rPr>
                  </w:pPr>
                  <w:r>
                    <w:rPr>
                      <w:szCs w:val="21"/>
                    </w:rPr>
                    <w:t>＞2</w:t>
                  </w:r>
                </w:p>
              </w:tc>
              <w:tc>
                <w:tcPr>
                  <w:tcW w:w="1364" w:type="pct"/>
                  <w:gridSpan w:val="3"/>
                  <w:vAlign w:val="center"/>
                </w:tcPr>
                <w:p>
                  <w:pPr>
                    <w:jc w:val="center"/>
                    <w:rPr>
                      <w:szCs w:val="21"/>
                    </w:rPr>
                  </w:pPr>
                  <w:r>
                    <w:rPr>
                      <w:szCs w:val="21"/>
                    </w:rPr>
                    <w:t>0.84</w:t>
                  </w:r>
                </w:p>
              </w:tc>
              <w:tc>
                <w:tcPr>
                  <w:tcW w:w="1364" w:type="pct"/>
                  <w:gridSpan w:val="3"/>
                  <w:vAlign w:val="center"/>
                </w:tcPr>
                <w:p>
                  <w:pPr>
                    <w:jc w:val="center"/>
                    <w:rPr>
                      <w:szCs w:val="21"/>
                    </w:rPr>
                  </w:pPr>
                  <w:r>
                    <w:rPr>
                      <w:szCs w:val="21"/>
                    </w:rPr>
                    <w:t>0.84</w:t>
                  </w:r>
                </w:p>
              </w:tc>
              <w:tc>
                <w:tcPr>
                  <w:tcW w:w="1364" w:type="pct"/>
                  <w:gridSpan w:val="3"/>
                  <w:vAlign w:val="center"/>
                </w:tcPr>
                <w:p>
                  <w:pPr>
                    <w:jc w:val="center"/>
                    <w:rPr>
                      <w:szCs w:val="21"/>
                    </w:rPr>
                  </w:pPr>
                  <w:r>
                    <w:rPr>
                      <w:szCs w:val="21"/>
                    </w:rPr>
                    <w:t>0.76</w:t>
                  </w:r>
                </w:p>
              </w:tc>
            </w:tr>
          </w:tbl>
          <w:p>
            <w:pPr>
              <w:ind w:firstLine="422" w:firstLineChars="200"/>
              <w:jc w:val="left"/>
              <w:rPr>
                <w:rFonts w:ascii="宋体" w:hAnsi="宋体" w:cs="宋体"/>
                <w:b/>
                <w:bCs/>
                <w:szCs w:val="21"/>
              </w:rPr>
            </w:pPr>
            <w:r>
              <w:rPr>
                <w:rFonts w:ascii="宋体" w:hAnsi="宋体" w:cs="宋体"/>
                <w:b/>
                <w:bCs/>
                <w:szCs w:val="21"/>
              </w:rPr>
              <w:t>注</w:t>
            </w:r>
            <w:r>
              <w:rPr>
                <w:rFonts w:hint="eastAsia" w:ascii="宋体" w:hAnsi="宋体" w:cs="宋体"/>
                <w:b/>
                <w:bCs/>
                <w:szCs w:val="21"/>
              </w:rPr>
              <w:t>：</w:t>
            </w:r>
            <w:r>
              <w:rPr>
                <w:rFonts w:ascii="宋体" w:hAnsi="宋体" w:cs="宋体"/>
                <w:b/>
                <w:bCs/>
                <w:szCs w:val="21"/>
              </w:rPr>
              <w:t>工业企业大气污染源构成分为三类</w:t>
            </w:r>
            <w:r>
              <w:rPr>
                <w:rFonts w:hint="eastAsia" w:ascii="宋体" w:hAnsi="宋体" w:cs="宋体"/>
                <w:b/>
                <w:bCs/>
                <w:szCs w:val="21"/>
              </w:rPr>
              <w:t>：</w:t>
            </w:r>
          </w:p>
          <w:p>
            <w:pPr>
              <w:ind w:firstLine="422" w:firstLineChars="200"/>
              <w:jc w:val="left"/>
              <w:rPr>
                <w:rFonts w:ascii="宋体" w:hAnsi="宋体" w:cs="宋体"/>
                <w:b/>
                <w:bCs/>
                <w:szCs w:val="21"/>
              </w:rPr>
            </w:pPr>
            <w:r>
              <w:rPr>
                <w:rFonts w:ascii="宋体" w:hAnsi="宋体" w:cs="宋体"/>
                <w:b/>
                <w:bCs/>
                <w:szCs w:val="21"/>
              </w:rPr>
              <w:t>I类</w:t>
            </w:r>
            <w:r>
              <w:rPr>
                <w:rFonts w:hint="eastAsia" w:ascii="宋体" w:hAnsi="宋体" w:cs="宋体"/>
                <w:b/>
                <w:bCs/>
                <w:szCs w:val="21"/>
              </w:rPr>
              <w:t>：</w:t>
            </w:r>
            <w:r>
              <w:rPr>
                <w:rFonts w:ascii="宋体" w:hAnsi="宋体" w:cs="宋体"/>
                <w:b/>
                <w:bCs/>
                <w:szCs w:val="21"/>
              </w:rPr>
              <w:t>与无组织排放源共存的排放同种有害气体的排气简的排放时，大于标准规定的允许排放量的三分之一者。</w:t>
            </w:r>
          </w:p>
          <w:p>
            <w:pPr>
              <w:ind w:firstLine="422" w:firstLineChars="200"/>
              <w:jc w:val="left"/>
              <w:rPr>
                <w:rFonts w:ascii="宋体" w:hAnsi="宋体" w:cs="宋体"/>
                <w:b/>
                <w:bCs/>
                <w:szCs w:val="21"/>
              </w:rPr>
            </w:pPr>
            <w:r>
              <w:rPr>
                <w:rFonts w:ascii="宋体" w:hAnsi="宋体" w:cs="宋体"/>
                <w:b/>
                <w:bCs/>
                <w:szCs w:val="21"/>
              </w:rPr>
              <w:t>II类</w:t>
            </w:r>
            <w:r>
              <w:rPr>
                <w:rFonts w:hint="eastAsia" w:ascii="宋体" w:hAnsi="宋体" w:cs="宋体"/>
                <w:b/>
                <w:bCs/>
                <w:szCs w:val="21"/>
              </w:rPr>
              <w:t>：</w:t>
            </w:r>
            <w:r>
              <w:rPr>
                <w:rFonts w:ascii="宋体" w:hAnsi="宋体" w:cs="宋体"/>
                <w:b/>
                <w:bCs/>
                <w:szCs w:val="21"/>
              </w:rPr>
              <w:t>与无组织排放源共存的排放同种有害气体的排气简的排放量，小于标准规定的允许排放量的三分之一，或虽无排放同种大气污染物之排气简共存，但无组织排放的有害物质的容许浓度指标是按急性反应指标确定者。</w:t>
            </w:r>
          </w:p>
          <w:p>
            <w:pPr>
              <w:ind w:firstLine="422" w:firstLineChars="200"/>
              <w:jc w:val="left"/>
              <w:rPr>
                <w:rFonts w:ascii="宋体" w:hAnsi="宋体" w:cs="宋体"/>
                <w:b/>
                <w:bCs/>
                <w:szCs w:val="21"/>
              </w:rPr>
            </w:pPr>
            <w:r>
              <w:rPr>
                <w:rFonts w:hint="eastAsia" w:ascii="宋体" w:hAnsi="宋体" w:cs="宋体"/>
                <w:b/>
                <w:bCs/>
                <w:szCs w:val="21"/>
              </w:rPr>
              <w:t>Ⅲ</w:t>
            </w:r>
            <w:r>
              <w:rPr>
                <w:rFonts w:ascii="宋体" w:hAnsi="宋体" w:cs="宋体"/>
                <w:b/>
                <w:bCs/>
                <w:szCs w:val="21"/>
              </w:rPr>
              <w:t>类</w:t>
            </w:r>
            <w:r>
              <w:rPr>
                <w:rFonts w:hint="eastAsia" w:ascii="宋体" w:hAnsi="宋体" w:cs="宋体"/>
                <w:b/>
                <w:bCs/>
                <w:szCs w:val="21"/>
              </w:rPr>
              <w:t>：</w:t>
            </w:r>
            <w:r>
              <w:rPr>
                <w:rFonts w:ascii="宋体" w:hAnsi="宋体" w:cs="宋体"/>
                <w:b/>
                <w:bCs/>
                <w:szCs w:val="21"/>
              </w:rPr>
              <w:t>无排放同种有害物质的排气简与无组织排放源共存，且无组织排放的有害物质的容许浓度是按慢性反应指标确定者。</w:t>
            </w:r>
          </w:p>
          <w:p>
            <w:pPr>
              <w:adjustRightInd w:val="0"/>
              <w:snapToGrid w:val="0"/>
              <w:spacing w:line="360" w:lineRule="auto"/>
              <w:ind w:firstLine="480" w:firstLineChars="200"/>
              <w:rPr>
                <w:sz w:val="24"/>
              </w:rPr>
            </w:pPr>
            <w:r>
              <w:rPr>
                <w:sz w:val="24"/>
              </w:rPr>
              <w:t>计算结果见下表</w:t>
            </w:r>
            <w:r>
              <w:rPr>
                <w:rFonts w:hint="eastAsia"/>
                <w:sz w:val="24"/>
              </w:rPr>
              <w:t>：</w:t>
            </w:r>
          </w:p>
          <w:p>
            <w:pPr>
              <w:adjustRightInd w:val="0"/>
              <w:snapToGrid w:val="0"/>
              <w:jc w:val="center"/>
              <w:rPr>
                <w:b/>
                <w:color w:val="FF0000"/>
                <w:sz w:val="24"/>
              </w:rPr>
            </w:pPr>
            <w:r>
              <w:rPr>
                <w:b/>
                <w:sz w:val="24"/>
              </w:rPr>
              <w:t>表</w:t>
            </w:r>
            <w:r>
              <w:rPr>
                <w:rFonts w:hint="eastAsia"/>
                <w:b/>
                <w:sz w:val="24"/>
              </w:rPr>
              <w:t>4-6</w:t>
            </w:r>
            <w:r>
              <w:rPr>
                <w:b/>
                <w:sz w:val="24"/>
              </w:rPr>
              <w:t xml:space="preserve"> 污染物卫生防护距离计算表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58"/>
              <w:gridCol w:w="1074"/>
              <w:gridCol w:w="903"/>
              <w:gridCol w:w="665"/>
              <w:gridCol w:w="513"/>
              <w:gridCol w:w="743"/>
              <w:gridCol w:w="642"/>
              <w:gridCol w:w="621"/>
              <w:gridCol w:w="743"/>
              <w:gridCol w:w="783"/>
              <w:gridCol w:w="54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75" w:type="pct"/>
                  <w:tcBorders>
                    <w:top w:val="single" w:color="auto" w:sz="12" w:space="0"/>
                    <w:left w:val="nil"/>
                    <w:bottom w:val="single" w:color="auto" w:sz="4" w:space="0"/>
                    <w:right w:val="single" w:color="auto" w:sz="4" w:space="0"/>
                  </w:tcBorders>
                  <w:vAlign w:val="center"/>
                </w:tcPr>
                <w:p>
                  <w:pPr>
                    <w:adjustRightInd w:val="0"/>
                    <w:snapToGrid w:val="0"/>
                    <w:jc w:val="center"/>
                    <w:rPr>
                      <w:b/>
                      <w:bCs/>
                      <w:szCs w:val="21"/>
                    </w:rPr>
                  </w:pPr>
                  <w:r>
                    <w:rPr>
                      <w:b/>
                      <w:bCs/>
                    </w:rPr>
                    <w:t>车间</w:t>
                  </w:r>
                </w:p>
              </w:tc>
              <w:tc>
                <w:tcPr>
                  <w:tcW w:w="673" w:type="pct"/>
                  <w:tcBorders>
                    <w:top w:val="single" w:color="auto" w:sz="12" w:space="0"/>
                    <w:left w:val="single" w:color="auto" w:sz="4" w:space="0"/>
                    <w:bottom w:val="single" w:color="auto" w:sz="4" w:space="0"/>
                    <w:right w:val="single" w:color="auto" w:sz="4" w:space="0"/>
                  </w:tcBorders>
                  <w:vAlign w:val="center"/>
                </w:tcPr>
                <w:p>
                  <w:pPr>
                    <w:adjustRightInd w:val="0"/>
                    <w:snapToGrid w:val="0"/>
                    <w:jc w:val="center"/>
                    <w:rPr>
                      <w:b/>
                      <w:bCs/>
                      <w:szCs w:val="21"/>
                    </w:rPr>
                  </w:pPr>
                  <w:r>
                    <w:rPr>
                      <w:b/>
                      <w:bCs/>
                    </w:rPr>
                    <w:t>影响因子</w:t>
                  </w:r>
                </w:p>
              </w:tc>
              <w:tc>
                <w:tcPr>
                  <w:tcW w:w="565" w:type="pct"/>
                  <w:tcBorders>
                    <w:top w:val="single" w:color="auto" w:sz="12" w:space="0"/>
                    <w:left w:val="single" w:color="auto" w:sz="4" w:space="0"/>
                    <w:bottom w:val="single" w:color="auto" w:sz="2" w:space="0"/>
                    <w:right w:val="single" w:color="auto" w:sz="4" w:space="0"/>
                  </w:tcBorders>
                  <w:vAlign w:val="center"/>
                </w:tcPr>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Qc</w:t>
                  </w:r>
                </w:p>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kg/h</w:t>
                  </w:r>
                </w:p>
              </w:tc>
              <w:tc>
                <w:tcPr>
                  <w:tcW w:w="416" w:type="pct"/>
                  <w:tcBorders>
                    <w:top w:val="single" w:color="auto" w:sz="12" w:space="0"/>
                    <w:left w:val="single" w:color="auto" w:sz="4" w:space="0"/>
                    <w:bottom w:val="single" w:color="auto" w:sz="2" w:space="0"/>
                    <w:right w:val="single" w:color="auto" w:sz="4" w:space="0"/>
                  </w:tcBorders>
                  <w:vAlign w:val="center"/>
                </w:tcPr>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r</w:t>
                  </w:r>
                </w:p>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m</w:t>
                  </w:r>
                </w:p>
              </w:tc>
              <w:tc>
                <w:tcPr>
                  <w:tcW w:w="321" w:type="pct"/>
                  <w:tcBorders>
                    <w:top w:val="single" w:color="auto" w:sz="12" w:space="0"/>
                    <w:left w:val="single" w:color="auto" w:sz="4" w:space="0"/>
                    <w:bottom w:val="single" w:color="auto" w:sz="2" w:space="0"/>
                    <w:right w:val="single" w:color="auto" w:sz="4" w:space="0"/>
                  </w:tcBorders>
                  <w:vAlign w:val="center"/>
                </w:tcPr>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A</w:t>
                  </w:r>
                </w:p>
              </w:tc>
              <w:tc>
                <w:tcPr>
                  <w:tcW w:w="465" w:type="pct"/>
                  <w:tcBorders>
                    <w:top w:val="single" w:color="auto" w:sz="12" w:space="0"/>
                    <w:left w:val="single" w:color="auto" w:sz="4" w:space="0"/>
                    <w:bottom w:val="single" w:color="auto" w:sz="4" w:space="0"/>
                    <w:right w:val="single" w:color="auto" w:sz="4" w:space="0"/>
                  </w:tcBorders>
                  <w:vAlign w:val="center"/>
                </w:tcPr>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B</w:t>
                  </w:r>
                </w:p>
              </w:tc>
              <w:tc>
                <w:tcPr>
                  <w:tcW w:w="402" w:type="pct"/>
                  <w:tcBorders>
                    <w:top w:val="single" w:color="auto" w:sz="12" w:space="0"/>
                    <w:left w:val="single" w:color="auto" w:sz="4" w:space="0"/>
                    <w:bottom w:val="single" w:color="auto" w:sz="4" w:space="0"/>
                    <w:right w:val="single" w:color="auto" w:sz="4" w:space="0"/>
                  </w:tcBorders>
                  <w:vAlign w:val="center"/>
                </w:tcPr>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C</w:t>
                  </w:r>
                </w:p>
              </w:tc>
              <w:tc>
                <w:tcPr>
                  <w:tcW w:w="389" w:type="pct"/>
                  <w:tcBorders>
                    <w:top w:val="single" w:color="auto" w:sz="12" w:space="0"/>
                    <w:left w:val="single" w:color="auto" w:sz="4" w:space="0"/>
                    <w:bottom w:val="single" w:color="auto" w:sz="4" w:space="0"/>
                    <w:right w:val="single" w:color="auto" w:sz="4" w:space="0"/>
                  </w:tcBorders>
                  <w:vAlign w:val="center"/>
                </w:tcPr>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D</w:t>
                  </w:r>
                </w:p>
              </w:tc>
              <w:tc>
                <w:tcPr>
                  <w:tcW w:w="465" w:type="pct"/>
                  <w:tcBorders>
                    <w:top w:val="single" w:color="auto" w:sz="12" w:space="0"/>
                    <w:left w:val="single" w:color="auto" w:sz="4" w:space="0"/>
                    <w:bottom w:val="single" w:color="auto" w:sz="4" w:space="0"/>
                    <w:right w:val="single" w:color="auto" w:sz="4" w:space="0"/>
                  </w:tcBorders>
                  <w:vAlign w:val="center"/>
                </w:tcPr>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Cm</w:t>
                  </w:r>
                </w:p>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mg/m</w:t>
                  </w:r>
                  <w:r>
                    <w:rPr>
                      <w:rFonts w:ascii="Times New Roman" w:hAnsi="Times New Roman" w:eastAsia="宋体" w:cs="Times New Roman"/>
                      <w:b/>
                      <w:bCs/>
                      <w:sz w:val="21"/>
                      <w:szCs w:val="21"/>
                      <w:vertAlign w:val="superscript"/>
                    </w:rPr>
                    <w:t>3</w:t>
                  </w:r>
                </w:p>
              </w:tc>
              <w:tc>
                <w:tcPr>
                  <w:tcW w:w="490" w:type="pct"/>
                  <w:tcBorders>
                    <w:top w:val="single" w:color="auto" w:sz="12" w:space="0"/>
                    <w:left w:val="single" w:color="auto" w:sz="4" w:space="0"/>
                    <w:bottom w:val="single" w:color="auto" w:sz="4" w:space="0"/>
                    <w:right w:val="single" w:color="auto" w:sz="4" w:space="0"/>
                  </w:tcBorders>
                  <w:vAlign w:val="center"/>
                </w:tcPr>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L</w:t>
                  </w:r>
                  <w:r>
                    <w:rPr>
                      <w:rFonts w:ascii="Times New Roman" w:hAnsi="Times New Roman" w:eastAsia="宋体" w:cs="Times New Roman"/>
                      <w:b/>
                      <w:bCs/>
                      <w:sz w:val="21"/>
                      <w:szCs w:val="21"/>
                      <w:vertAlign w:val="subscript"/>
                    </w:rPr>
                    <w:t>计算</w:t>
                  </w:r>
                </w:p>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m</w:t>
                  </w:r>
                </w:p>
              </w:tc>
              <w:tc>
                <w:tcPr>
                  <w:tcW w:w="340" w:type="pct"/>
                  <w:tcBorders>
                    <w:top w:val="single" w:color="auto" w:sz="12" w:space="0"/>
                    <w:left w:val="single" w:color="auto" w:sz="4" w:space="0"/>
                    <w:bottom w:val="single" w:color="auto" w:sz="4" w:space="0"/>
                    <w:right w:val="nil"/>
                  </w:tcBorders>
                  <w:vAlign w:val="center"/>
                </w:tcPr>
                <w:p>
                  <w:pPr>
                    <w:pStyle w:val="46"/>
                    <w:adjustRightInd w:val="0"/>
                    <w:rPr>
                      <w:rFonts w:ascii="Times New Roman" w:hAnsi="Times New Roman" w:eastAsia="宋体" w:cs="Times New Roman"/>
                      <w:b/>
                      <w:bCs/>
                      <w:sz w:val="21"/>
                      <w:szCs w:val="21"/>
                    </w:rPr>
                  </w:pPr>
                  <w:r>
                    <w:rPr>
                      <w:rFonts w:ascii="Times New Roman" w:hAnsi="Times New Roman" w:eastAsia="宋体" w:cs="Times New Roman"/>
                      <w:b/>
                      <w:bCs/>
                      <w:sz w:val="21"/>
                      <w:szCs w:val="21"/>
                    </w:rPr>
                    <w:t>L</w:t>
                  </w:r>
                </w:p>
                <w:p>
                  <w:pPr>
                    <w:adjustRightInd w:val="0"/>
                    <w:snapToGrid w:val="0"/>
                    <w:jc w:val="center"/>
                    <w:rPr>
                      <w:b/>
                      <w:bCs/>
                      <w:szCs w:val="21"/>
                    </w:rPr>
                  </w:pPr>
                  <w:r>
                    <w:rPr>
                      <w:b/>
                      <w:bCs/>
                    </w:rPr>
                    <w:t>m</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75" w:type="pct"/>
                  <w:tcBorders>
                    <w:left w:val="nil"/>
                    <w:bottom w:val="single" w:color="auto" w:sz="12" w:space="0"/>
                    <w:right w:val="single" w:color="auto" w:sz="4" w:space="0"/>
                  </w:tcBorders>
                  <w:vAlign w:val="center"/>
                </w:tcPr>
                <w:p>
                  <w:pPr>
                    <w:adjustRightInd w:val="0"/>
                    <w:snapToGrid w:val="0"/>
                    <w:jc w:val="center"/>
                  </w:pPr>
                  <w:r>
                    <w:rPr>
                      <w:rFonts w:hint="eastAsia"/>
                    </w:rPr>
                    <w:t>生产车间</w:t>
                  </w:r>
                </w:p>
              </w:tc>
              <w:tc>
                <w:tcPr>
                  <w:tcW w:w="673" w:type="pct"/>
                  <w:tcBorders>
                    <w:top w:val="single" w:color="auto" w:sz="4" w:space="0"/>
                    <w:left w:val="single" w:color="auto" w:sz="4" w:space="0"/>
                    <w:bottom w:val="single" w:color="auto" w:sz="12" w:space="0"/>
                    <w:right w:val="single" w:color="auto" w:sz="4" w:space="0"/>
                  </w:tcBorders>
                  <w:vAlign w:val="center"/>
                </w:tcPr>
                <w:p>
                  <w:pPr>
                    <w:adjustRightInd w:val="0"/>
                    <w:snapToGrid w:val="0"/>
                    <w:jc w:val="center"/>
                  </w:pPr>
                  <w:r>
                    <w:rPr>
                      <w:rFonts w:hint="eastAsia"/>
                    </w:rPr>
                    <w:t>颗粒物</w:t>
                  </w:r>
                </w:p>
              </w:tc>
              <w:tc>
                <w:tcPr>
                  <w:tcW w:w="565" w:type="pct"/>
                  <w:tcBorders>
                    <w:top w:val="single" w:color="auto" w:sz="2" w:space="0"/>
                    <w:left w:val="single" w:color="auto" w:sz="4" w:space="0"/>
                    <w:bottom w:val="single" w:color="auto" w:sz="12" w:space="0"/>
                    <w:right w:val="single" w:color="auto" w:sz="4" w:space="0"/>
                  </w:tcBorders>
                  <w:vAlign w:val="center"/>
                </w:tcPr>
                <w:p>
                  <w:pPr>
                    <w:adjustRightInd w:val="0"/>
                    <w:snapToGrid w:val="0"/>
                    <w:jc w:val="center"/>
                  </w:pPr>
                  <w:r>
                    <w:rPr>
                      <w:rFonts w:hint="eastAsia"/>
                    </w:rPr>
                    <w:t>0.000001</w:t>
                  </w:r>
                </w:p>
              </w:tc>
              <w:tc>
                <w:tcPr>
                  <w:tcW w:w="416" w:type="pct"/>
                  <w:tcBorders>
                    <w:left w:val="single" w:color="auto" w:sz="4" w:space="0"/>
                    <w:bottom w:val="single" w:color="auto" w:sz="12" w:space="0"/>
                    <w:right w:val="single" w:color="auto" w:sz="4" w:space="0"/>
                  </w:tcBorders>
                  <w:vAlign w:val="center"/>
                </w:tcPr>
                <w:p>
                  <w:pPr>
                    <w:pStyle w:val="5"/>
                    <w:adjustRightInd w:val="0"/>
                    <w:snapToGrid w:val="0"/>
                    <w:ind w:firstLine="0"/>
                    <w:jc w:val="center"/>
                    <w:rPr>
                      <w:rFonts w:ascii="Times New Roman" w:hAnsi="Times New Roman"/>
                    </w:rPr>
                  </w:pPr>
                  <w:r>
                    <w:rPr>
                      <w:rFonts w:hint="eastAsia" w:ascii="Times New Roman" w:hAnsi="Times New Roman"/>
                    </w:rPr>
                    <w:t>10.6</w:t>
                  </w:r>
                </w:p>
              </w:tc>
              <w:tc>
                <w:tcPr>
                  <w:tcW w:w="321" w:type="pct"/>
                  <w:tcBorders>
                    <w:top w:val="single" w:color="auto" w:sz="2"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ascii="Times New Roman" w:hAnsi="Times New Roman"/>
                    </w:rPr>
                  </w:pPr>
                  <w:r>
                    <w:rPr>
                      <w:rFonts w:ascii="Times New Roman" w:hAnsi="Times New Roman"/>
                    </w:rPr>
                    <w:t>470</w:t>
                  </w:r>
                </w:p>
              </w:tc>
              <w:tc>
                <w:tcPr>
                  <w:tcW w:w="465" w:type="pct"/>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ascii="Times New Roman" w:hAnsi="Times New Roman"/>
                    </w:rPr>
                  </w:pPr>
                  <w:r>
                    <w:rPr>
                      <w:rFonts w:ascii="Times New Roman" w:hAnsi="Times New Roman"/>
                    </w:rPr>
                    <w:t>0.021</w:t>
                  </w:r>
                </w:p>
              </w:tc>
              <w:tc>
                <w:tcPr>
                  <w:tcW w:w="402" w:type="pct"/>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ascii="Times New Roman" w:hAnsi="Times New Roman"/>
                    </w:rPr>
                  </w:pPr>
                  <w:r>
                    <w:rPr>
                      <w:rFonts w:ascii="Times New Roman" w:hAnsi="Times New Roman"/>
                    </w:rPr>
                    <w:t>1.85</w:t>
                  </w:r>
                </w:p>
              </w:tc>
              <w:tc>
                <w:tcPr>
                  <w:tcW w:w="389" w:type="pct"/>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ascii="Times New Roman" w:hAnsi="Times New Roman"/>
                    </w:rPr>
                  </w:pPr>
                  <w:r>
                    <w:rPr>
                      <w:rFonts w:ascii="Times New Roman" w:hAnsi="Times New Roman"/>
                    </w:rPr>
                    <w:t>0.84</w:t>
                  </w:r>
                </w:p>
              </w:tc>
              <w:tc>
                <w:tcPr>
                  <w:tcW w:w="465" w:type="pct"/>
                  <w:tcBorders>
                    <w:top w:val="single" w:color="auto" w:sz="4" w:space="0"/>
                    <w:left w:val="single" w:color="auto" w:sz="4" w:space="0"/>
                    <w:bottom w:val="single" w:color="auto" w:sz="12" w:space="0"/>
                    <w:right w:val="single" w:color="auto" w:sz="4" w:space="0"/>
                  </w:tcBorders>
                  <w:vAlign w:val="center"/>
                </w:tcPr>
                <w:p>
                  <w:pPr>
                    <w:pStyle w:val="5"/>
                    <w:adjustRightInd w:val="0"/>
                    <w:snapToGrid w:val="0"/>
                    <w:ind w:firstLine="0"/>
                    <w:jc w:val="center"/>
                    <w:rPr>
                      <w:rFonts w:ascii="Times New Roman" w:hAnsi="Times New Roman"/>
                      <w:color w:val="000000"/>
                    </w:rPr>
                  </w:pPr>
                  <w:r>
                    <w:rPr>
                      <w:rFonts w:hint="eastAsia" w:ascii="Times New Roman" w:hAnsi="Times New Roman"/>
                      <w:color w:val="000000"/>
                    </w:rPr>
                    <w:t>0.9</w:t>
                  </w:r>
                </w:p>
              </w:tc>
              <w:tc>
                <w:tcPr>
                  <w:tcW w:w="490" w:type="pct"/>
                  <w:tcBorders>
                    <w:top w:val="single" w:color="auto" w:sz="4" w:space="0"/>
                    <w:left w:val="single" w:color="auto" w:sz="4" w:space="0"/>
                    <w:bottom w:val="single" w:color="auto" w:sz="12" w:space="0"/>
                    <w:right w:val="single" w:color="auto" w:sz="4" w:space="0"/>
                  </w:tcBorders>
                  <w:vAlign w:val="center"/>
                </w:tcPr>
                <w:p>
                  <w:pPr>
                    <w:adjustRightInd w:val="0"/>
                    <w:snapToGrid w:val="0"/>
                    <w:jc w:val="center"/>
                    <w:rPr>
                      <w:color w:val="000000"/>
                      <w:szCs w:val="21"/>
                    </w:rPr>
                  </w:pPr>
                  <w:r>
                    <w:rPr>
                      <w:rFonts w:hint="eastAsia"/>
                      <w:color w:val="000000"/>
                      <w:szCs w:val="21"/>
                    </w:rPr>
                    <w:t>0.002</w:t>
                  </w:r>
                </w:p>
              </w:tc>
              <w:tc>
                <w:tcPr>
                  <w:tcW w:w="340" w:type="pct"/>
                  <w:tcBorders>
                    <w:left w:val="single" w:color="auto" w:sz="4" w:space="0"/>
                    <w:bottom w:val="single" w:color="auto" w:sz="12" w:space="0"/>
                    <w:right w:val="nil"/>
                  </w:tcBorders>
                  <w:vAlign w:val="center"/>
                </w:tcPr>
                <w:p>
                  <w:pPr>
                    <w:adjustRightInd w:val="0"/>
                    <w:snapToGrid w:val="0"/>
                    <w:jc w:val="center"/>
                  </w:pPr>
                  <w:r>
                    <w:rPr>
                      <w:rFonts w:hint="eastAsia"/>
                    </w:rPr>
                    <w:t>50</w:t>
                  </w:r>
                </w:p>
              </w:tc>
            </w:tr>
          </w:tbl>
          <w:p>
            <w:pPr>
              <w:snapToGrid w:val="0"/>
              <w:spacing w:line="360" w:lineRule="auto"/>
              <w:ind w:firstLine="480" w:firstLineChars="200"/>
              <w:rPr>
                <w:bCs/>
                <w:sz w:val="24"/>
              </w:rPr>
            </w:pPr>
            <w:r>
              <w:rPr>
                <w:rFonts w:hAnsi="宋体"/>
                <w:sz w:val="24"/>
              </w:rPr>
              <w:t>《大气有害物质无组织排放卫生防护距离推导技术导则》</w:t>
            </w:r>
            <w:r>
              <w:rPr>
                <w:sz w:val="24"/>
              </w:rPr>
              <w:t>(GB/T39499-2020)6.1</w:t>
            </w:r>
            <w:r>
              <w:rPr>
                <w:rFonts w:hAnsi="宋体"/>
                <w:sz w:val="24"/>
              </w:rPr>
              <w:t>规定：卫生防护距离初值小于</w:t>
            </w:r>
            <w:r>
              <w:rPr>
                <w:sz w:val="24"/>
              </w:rPr>
              <w:t>50m</w:t>
            </w:r>
            <w:r>
              <w:rPr>
                <w:rFonts w:hAnsi="宋体"/>
                <w:sz w:val="24"/>
              </w:rPr>
              <w:t>时，级差为</w:t>
            </w:r>
            <w:r>
              <w:rPr>
                <w:sz w:val="24"/>
              </w:rPr>
              <w:t>50m</w:t>
            </w:r>
            <w:r>
              <w:rPr>
                <w:rFonts w:hAnsi="宋体"/>
                <w:sz w:val="24"/>
              </w:rPr>
              <w:t>。</w:t>
            </w:r>
            <w:r>
              <w:rPr>
                <w:sz w:val="24"/>
              </w:rPr>
              <w:t>6.2</w:t>
            </w:r>
            <w:r>
              <w:rPr>
                <w:rFonts w:hAnsi="宋体"/>
                <w:sz w:val="24"/>
              </w:rPr>
              <w:t>规定：当企业某生产单元的无组织排放存在多种特征大气有害物质时，如果分别推导出的卫生防护距离初值在同一级别时，则该企业的卫生防护距离终值应提高一级；卫生防护距离初值不在同一级别的，以卫生防护距离终值较大者为准。</w:t>
            </w:r>
            <w:r>
              <w:rPr>
                <w:rFonts w:hAnsi="宋体"/>
                <w:bCs/>
                <w:sz w:val="24"/>
              </w:rPr>
              <w:t>故本项目以</w:t>
            </w:r>
            <w:r>
              <w:rPr>
                <w:rFonts w:hint="eastAsia"/>
                <w:sz w:val="24"/>
              </w:rPr>
              <w:t>生产车间</w:t>
            </w:r>
            <w:r>
              <w:rPr>
                <w:rFonts w:hAnsi="宋体"/>
                <w:bCs/>
                <w:sz w:val="24"/>
              </w:rPr>
              <w:t>为边界设置</w:t>
            </w:r>
            <w:r>
              <w:rPr>
                <w:rFonts w:hint="eastAsia"/>
                <w:bCs/>
                <w:sz w:val="24"/>
              </w:rPr>
              <w:t>50</w:t>
            </w:r>
            <w:r>
              <w:rPr>
                <w:rFonts w:hAnsi="宋体"/>
                <w:bCs/>
                <w:sz w:val="24"/>
              </w:rPr>
              <w:t>米的卫生防护距离。</w:t>
            </w:r>
          </w:p>
          <w:p>
            <w:pPr>
              <w:adjustRightInd w:val="0"/>
              <w:snapToGrid w:val="0"/>
              <w:spacing w:line="360" w:lineRule="auto"/>
              <w:ind w:firstLine="480" w:firstLineChars="200"/>
              <w:rPr>
                <w:sz w:val="24"/>
              </w:rPr>
            </w:pPr>
            <w:r>
              <w:rPr>
                <w:rFonts w:hint="eastAsia"/>
                <w:sz w:val="24"/>
              </w:rPr>
              <w:t>本项目</w:t>
            </w:r>
            <w:r>
              <w:rPr>
                <w:sz w:val="24"/>
              </w:rPr>
              <w:t>厂界外最近的敏感点（</w:t>
            </w:r>
            <w:r>
              <w:rPr>
                <w:rFonts w:hint="eastAsia"/>
                <w:sz w:val="24"/>
              </w:rPr>
              <w:t>鸭船村</w:t>
            </w:r>
            <w:r>
              <w:rPr>
                <w:sz w:val="24"/>
              </w:rPr>
              <w:t>）距项目</w:t>
            </w:r>
            <w:r>
              <w:rPr>
                <w:rFonts w:hint="eastAsia"/>
                <w:sz w:val="24"/>
              </w:rPr>
              <w:t>厂界90</w:t>
            </w:r>
            <w:r>
              <w:rPr>
                <w:sz w:val="24"/>
              </w:rPr>
              <w:t>米，因此，本项目卫生防护距离内无居民等敏感点，满足卫生防护距离设置的要求，且卫生防护距离内不</w:t>
            </w:r>
            <w:r>
              <w:rPr>
                <w:rFonts w:hint="eastAsia"/>
                <w:sz w:val="24"/>
              </w:rPr>
              <w:t>再</w:t>
            </w:r>
            <w:r>
              <w:rPr>
                <w:sz w:val="24"/>
              </w:rPr>
              <w:t>建设敏感点。</w:t>
            </w:r>
          </w:p>
          <w:p>
            <w:pPr>
              <w:adjustRightInd w:val="0"/>
              <w:snapToGrid w:val="0"/>
              <w:spacing w:line="360" w:lineRule="auto"/>
              <w:ind w:firstLine="482" w:firstLineChars="200"/>
              <w:rPr>
                <w:b/>
                <w:sz w:val="24"/>
              </w:rPr>
            </w:pPr>
            <w:r>
              <w:rPr>
                <w:rFonts w:hint="eastAsia"/>
                <w:b/>
                <w:sz w:val="24"/>
              </w:rPr>
              <w:t>（4）大气</w:t>
            </w:r>
            <w:r>
              <w:rPr>
                <w:b/>
                <w:sz w:val="24"/>
              </w:rPr>
              <w:t>监测计划</w:t>
            </w:r>
          </w:p>
          <w:p>
            <w:pPr>
              <w:snapToGrid w:val="0"/>
              <w:spacing w:line="360" w:lineRule="auto"/>
              <w:ind w:firstLine="480" w:firstLineChars="200"/>
              <w:rPr>
                <w:sz w:val="24"/>
              </w:rPr>
            </w:pPr>
            <w:r>
              <w:rPr>
                <w:sz w:val="24"/>
              </w:rPr>
              <w:t>根据《排污单位自行监测技术指南总则》（HJ819-2017），排污单位应按照规定对污染物排放情况进行监测，废气污染源监测情况具体见下表。</w:t>
            </w:r>
          </w:p>
          <w:p>
            <w:pPr>
              <w:snapToGrid w:val="0"/>
              <w:jc w:val="center"/>
              <w:rPr>
                <w:b/>
                <w:sz w:val="24"/>
              </w:rPr>
            </w:pPr>
            <w:r>
              <w:rPr>
                <w:b/>
                <w:sz w:val="24"/>
              </w:rPr>
              <w:t>表4-</w:t>
            </w:r>
            <w:r>
              <w:rPr>
                <w:rFonts w:hint="eastAsia"/>
                <w:b/>
                <w:sz w:val="24"/>
              </w:rPr>
              <w:t>7</w:t>
            </w:r>
            <w:r>
              <w:rPr>
                <w:b/>
                <w:sz w:val="24"/>
              </w:rPr>
              <w:t xml:space="preserve"> 废气自行监测方案</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10"/>
              <w:gridCol w:w="3398"/>
              <w:gridCol w:w="1934"/>
              <w:gridCol w:w="16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632" w:type="pct"/>
                  <w:vAlign w:val="center"/>
                </w:tcPr>
                <w:p>
                  <w:pPr>
                    <w:widowControl/>
                    <w:snapToGrid w:val="0"/>
                    <w:ind w:right="105" w:rightChars="50"/>
                    <w:jc w:val="center"/>
                    <w:rPr>
                      <w:b/>
                      <w:bCs/>
                      <w:szCs w:val="21"/>
                    </w:rPr>
                  </w:pPr>
                  <w:r>
                    <w:rPr>
                      <w:b/>
                      <w:bCs/>
                      <w:szCs w:val="21"/>
                    </w:rPr>
                    <w:t>类别</w:t>
                  </w:r>
                </w:p>
              </w:tc>
              <w:tc>
                <w:tcPr>
                  <w:tcW w:w="2127" w:type="pct"/>
                  <w:vAlign w:val="center"/>
                </w:tcPr>
                <w:p>
                  <w:pPr>
                    <w:widowControl/>
                    <w:snapToGrid w:val="0"/>
                    <w:ind w:right="105" w:rightChars="50"/>
                    <w:jc w:val="center"/>
                    <w:rPr>
                      <w:b/>
                      <w:bCs/>
                      <w:szCs w:val="21"/>
                    </w:rPr>
                  </w:pPr>
                  <w:r>
                    <w:rPr>
                      <w:b/>
                      <w:bCs/>
                      <w:szCs w:val="21"/>
                    </w:rPr>
                    <w:t>监测点位</w:t>
                  </w:r>
                </w:p>
              </w:tc>
              <w:tc>
                <w:tcPr>
                  <w:tcW w:w="1211" w:type="pct"/>
                  <w:vAlign w:val="center"/>
                </w:tcPr>
                <w:p>
                  <w:pPr>
                    <w:widowControl/>
                    <w:snapToGrid w:val="0"/>
                    <w:ind w:right="105" w:rightChars="50"/>
                    <w:jc w:val="center"/>
                    <w:rPr>
                      <w:b/>
                      <w:bCs/>
                      <w:kern w:val="0"/>
                      <w:szCs w:val="21"/>
                    </w:rPr>
                  </w:pPr>
                  <w:r>
                    <w:rPr>
                      <w:b/>
                      <w:bCs/>
                      <w:kern w:val="0"/>
                      <w:szCs w:val="21"/>
                    </w:rPr>
                    <w:t>监测指标</w:t>
                  </w:r>
                </w:p>
              </w:tc>
              <w:tc>
                <w:tcPr>
                  <w:tcW w:w="1030" w:type="pct"/>
                  <w:vAlign w:val="center"/>
                </w:tcPr>
                <w:p>
                  <w:pPr>
                    <w:widowControl/>
                    <w:snapToGrid w:val="0"/>
                    <w:ind w:right="105" w:rightChars="50"/>
                    <w:jc w:val="center"/>
                    <w:rPr>
                      <w:b/>
                      <w:bCs/>
                      <w:kern w:val="0"/>
                      <w:szCs w:val="21"/>
                    </w:rPr>
                  </w:pPr>
                  <w:r>
                    <w:rPr>
                      <w:b/>
                      <w:bCs/>
                      <w:kern w:val="0"/>
                      <w:szCs w:val="21"/>
                    </w:rPr>
                    <w:t>监测频次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632" w:type="pct"/>
                  <w:vAlign w:val="center"/>
                </w:tcPr>
                <w:p>
                  <w:pPr>
                    <w:widowControl/>
                    <w:snapToGrid w:val="0"/>
                    <w:ind w:right="105" w:rightChars="50"/>
                    <w:jc w:val="center"/>
                    <w:rPr>
                      <w:szCs w:val="21"/>
                    </w:rPr>
                  </w:pPr>
                  <w:r>
                    <w:rPr>
                      <w:szCs w:val="21"/>
                    </w:rPr>
                    <w:t>无组织</w:t>
                  </w:r>
                </w:p>
              </w:tc>
              <w:tc>
                <w:tcPr>
                  <w:tcW w:w="2127" w:type="pct"/>
                  <w:vAlign w:val="center"/>
                </w:tcPr>
                <w:p>
                  <w:pPr>
                    <w:widowControl/>
                    <w:snapToGrid w:val="0"/>
                    <w:ind w:right="105" w:rightChars="50"/>
                    <w:jc w:val="center"/>
                    <w:rPr>
                      <w:szCs w:val="22"/>
                    </w:rPr>
                  </w:pPr>
                  <w:r>
                    <w:rPr>
                      <w:szCs w:val="22"/>
                    </w:rPr>
                    <w:t>各厂区厂界外2-50m范围（上方向设置1个参照点，下风向设置3个监控点）</w:t>
                  </w:r>
                </w:p>
              </w:tc>
              <w:tc>
                <w:tcPr>
                  <w:tcW w:w="1211" w:type="pct"/>
                  <w:vAlign w:val="center"/>
                </w:tcPr>
                <w:p>
                  <w:pPr>
                    <w:widowControl/>
                    <w:snapToGrid w:val="0"/>
                    <w:ind w:right="105" w:rightChars="50"/>
                    <w:jc w:val="center"/>
                    <w:rPr>
                      <w:szCs w:val="22"/>
                    </w:rPr>
                  </w:pPr>
                  <w:r>
                    <w:rPr>
                      <w:szCs w:val="22"/>
                    </w:rPr>
                    <w:t>颗粒物</w:t>
                  </w:r>
                </w:p>
              </w:tc>
              <w:tc>
                <w:tcPr>
                  <w:tcW w:w="1030" w:type="pct"/>
                  <w:vAlign w:val="center"/>
                </w:tcPr>
                <w:p>
                  <w:pPr>
                    <w:widowControl/>
                    <w:snapToGrid w:val="0"/>
                    <w:ind w:right="105" w:rightChars="50"/>
                    <w:jc w:val="center"/>
                    <w:rPr>
                      <w:kern w:val="0"/>
                      <w:szCs w:val="21"/>
                    </w:rPr>
                  </w:pPr>
                  <w:r>
                    <w:rPr>
                      <w:rFonts w:hint="eastAsia"/>
                      <w:kern w:val="0"/>
                      <w:szCs w:val="21"/>
                    </w:rPr>
                    <w:t>1</w:t>
                  </w:r>
                  <w:r>
                    <w:rPr>
                      <w:kern w:val="0"/>
                      <w:szCs w:val="21"/>
                    </w:rPr>
                    <w:t>年一次</w:t>
                  </w:r>
                </w:p>
              </w:tc>
            </w:tr>
          </w:tbl>
          <w:p>
            <w:pPr>
              <w:spacing w:line="360" w:lineRule="auto"/>
              <w:ind w:firstLine="482" w:firstLineChars="200"/>
              <w:rPr>
                <w:b/>
                <w:bCs/>
                <w:sz w:val="24"/>
              </w:rPr>
            </w:pPr>
            <w:r>
              <w:rPr>
                <w:rFonts w:hAnsi="宋体"/>
                <w:b/>
                <w:bCs/>
                <w:sz w:val="24"/>
              </w:rPr>
              <w:t>（</w:t>
            </w:r>
            <w:r>
              <w:rPr>
                <w:rFonts w:hint="eastAsia"/>
                <w:b/>
                <w:bCs/>
                <w:sz w:val="24"/>
              </w:rPr>
              <w:t>5</w:t>
            </w:r>
            <w:r>
              <w:rPr>
                <w:rFonts w:hAnsi="宋体"/>
                <w:b/>
                <w:bCs/>
                <w:sz w:val="24"/>
              </w:rPr>
              <w:t>）小结</w:t>
            </w:r>
          </w:p>
          <w:p>
            <w:pPr>
              <w:snapToGrid w:val="0"/>
              <w:spacing w:line="360" w:lineRule="auto"/>
              <w:ind w:firstLine="480" w:firstLineChars="200"/>
              <w:jc w:val="left"/>
              <w:rPr>
                <w:bCs/>
                <w:sz w:val="24"/>
              </w:rPr>
            </w:pPr>
            <w:r>
              <w:rPr>
                <w:bCs/>
                <w:sz w:val="24"/>
              </w:rPr>
              <w:t>项目位于环境质量非达标区，评价范围内无一类区，根据估算模式判定本项目大气评价等级为</w:t>
            </w:r>
            <w:r>
              <w:rPr>
                <w:rFonts w:hint="eastAsia"/>
                <w:bCs/>
                <w:sz w:val="24"/>
              </w:rPr>
              <w:t>三</w:t>
            </w:r>
            <w:r>
              <w:rPr>
                <w:bCs/>
                <w:sz w:val="24"/>
              </w:rPr>
              <w:t>级。</w:t>
            </w:r>
          </w:p>
          <w:p>
            <w:pPr>
              <w:snapToGrid w:val="0"/>
              <w:spacing w:line="360" w:lineRule="auto"/>
              <w:ind w:firstLine="480" w:firstLineChars="200"/>
              <w:jc w:val="left"/>
              <w:rPr>
                <w:bCs/>
                <w:sz w:val="24"/>
              </w:rPr>
            </w:pPr>
            <w:r>
              <w:rPr>
                <w:bCs/>
                <w:sz w:val="24"/>
              </w:rPr>
              <w:t>1）正常工况下，排放的大气污染物贡献值较小，项目正常情况排放的大气污染物对大气环境影响较小。</w:t>
            </w:r>
          </w:p>
          <w:p>
            <w:pPr>
              <w:snapToGrid w:val="0"/>
              <w:spacing w:line="360" w:lineRule="auto"/>
              <w:ind w:firstLine="480" w:firstLineChars="200"/>
              <w:jc w:val="left"/>
              <w:rPr>
                <w:bCs/>
                <w:sz w:val="24"/>
              </w:rPr>
            </w:pPr>
            <w:r>
              <w:rPr>
                <w:bCs/>
                <w:sz w:val="24"/>
              </w:rPr>
              <w:t>2）项目环境影响符合环境功能区划。</w:t>
            </w:r>
          </w:p>
          <w:p>
            <w:pPr>
              <w:snapToGrid w:val="0"/>
              <w:spacing w:line="360" w:lineRule="auto"/>
              <w:ind w:firstLine="480" w:firstLineChars="200"/>
              <w:jc w:val="left"/>
              <w:rPr>
                <w:bCs/>
                <w:sz w:val="24"/>
              </w:rPr>
            </w:pPr>
            <w:r>
              <w:rPr>
                <w:bCs/>
                <w:sz w:val="24"/>
              </w:rPr>
              <w:t>3）项目厂界浓度满足大气污染物厂界浓度限值，且厂界外大气污染物短期贡献浓度不超过环境质量浓度限值，所以本项目不需要设置大气环境防护距离。</w:t>
            </w:r>
          </w:p>
          <w:p>
            <w:pPr>
              <w:snapToGrid w:val="0"/>
              <w:spacing w:line="360" w:lineRule="auto"/>
              <w:ind w:firstLine="480" w:firstLineChars="200"/>
              <w:jc w:val="left"/>
              <w:rPr>
                <w:bCs/>
                <w:sz w:val="24"/>
              </w:rPr>
            </w:pPr>
            <w:r>
              <w:rPr>
                <w:bCs/>
                <w:sz w:val="24"/>
              </w:rPr>
              <w:t>4）本项目卫生防护距离是以</w:t>
            </w:r>
            <w:r>
              <w:rPr>
                <w:rFonts w:hint="eastAsia"/>
                <w:bCs/>
                <w:sz w:val="24"/>
              </w:rPr>
              <w:t>生产车间</w:t>
            </w:r>
            <w:r>
              <w:rPr>
                <w:bCs/>
                <w:sz w:val="24"/>
              </w:rPr>
              <w:t>为边界设置50米的卫生防护距离，该范围内目前无居民、学校等环境敏感保护目标，可满足卫生防护距离设置要求，将来在该卫生防护距离范围也不得新建居民、学校、医院等属于环境保护目标的项目。</w:t>
            </w:r>
          </w:p>
          <w:p>
            <w:pPr>
              <w:adjustRightInd w:val="0"/>
              <w:snapToGrid w:val="0"/>
              <w:spacing w:line="360" w:lineRule="auto"/>
              <w:ind w:firstLine="480" w:firstLineChars="200"/>
              <w:rPr>
                <w:bCs/>
                <w:sz w:val="24"/>
                <w:szCs w:val="22"/>
              </w:rPr>
            </w:pPr>
            <w:r>
              <w:rPr>
                <w:bCs/>
                <w:sz w:val="24"/>
                <w:szCs w:val="22"/>
              </w:rPr>
              <w:t>综上，</w:t>
            </w:r>
            <w:r>
              <w:rPr>
                <w:rFonts w:hint="eastAsia" w:ascii="宋体" w:hAnsi="宋体" w:cs="宋体"/>
                <w:bCs/>
                <w:sz w:val="24"/>
                <w:szCs w:val="22"/>
              </w:rPr>
              <w:t>本项目废气产生量较小，经废气处理装置处理后达标排放。因此，本项目废气对周围环境影响较小</w:t>
            </w:r>
            <w:r>
              <w:rPr>
                <w:bCs/>
                <w:sz w:val="24"/>
                <w:szCs w:val="22"/>
              </w:rPr>
              <w:t>。</w:t>
            </w:r>
          </w:p>
          <w:p>
            <w:pPr>
              <w:adjustRightInd w:val="0"/>
              <w:snapToGrid w:val="0"/>
              <w:spacing w:line="360" w:lineRule="auto"/>
              <w:rPr>
                <w:b/>
                <w:sz w:val="24"/>
              </w:rPr>
            </w:pPr>
            <w:r>
              <w:rPr>
                <w:rFonts w:hint="eastAsia"/>
                <w:b/>
                <w:sz w:val="24"/>
              </w:rPr>
              <w:t>2、废水</w:t>
            </w:r>
          </w:p>
          <w:p>
            <w:pPr>
              <w:adjustRightInd w:val="0"/>
              <w:snapToGrid w:val="0"/>
              <w:spacing w:line="360" w:lineRule="auto"/>
              <w:ind w:firstLine="482" w:firstLineChars="200"/>
              <w:rPr>
                <w:rFonts w:ascii="宋体" w:hAnsi="宋体"/>
                <w:b/>
                <w:sz w:val="24"/>
              </w:rPr>
            </w:pPr>
            <w:r>
              <w:rPr>
                <w:b/>
                <w:sz w:val="24"/>
              </w:rPr>
              <w:t>（1）</w:t>
            </w:r>
            <w:r>
              <w:rPr>
                <w:rFonts w:hint="eastAsia" w:ascii="宋体" w:hAnsi="宋体"/>
                <w:b/>
                <w:sz w:val="24"/>
              </w:rPr>
              <w:t>产污情况分析</w:t>
            </w:r>
          </w:p>
          <w:p>
            <w:pPr>
              <w:adjustRightInd w:val="0"/>
              <w:snapToGrid w:val="0"/>
              <w:spacing w:line="360" w:lineRule="auto"/>
              <w:ind w:firstLine="480" w:firstLineChars="200"/>
              <w:rPr>
                <w:sz w:val="24"/>
              </w:rPr>
            </w:pPr>
            <w:r>
              <w:rPr>
                <w:rFonts w:hint="eastAsia"/>
                <w:sz w:val="24"/>
              </w:rPr>
              <w:t>生活用水：项目拟用职工20人，年工作300天，一班制生产，厂内设食堂和员工宿舍，参照《常州市工业和城市生活用水定额》，厂区职工生活用水量以100L/d·人计，则生活用水消耗量为600t/a，生活污水的排放系数取80％，则项目生活污水的排放量为480t/a，</w:t>
            </w:r>
            <w:r>
              <w:rPr>
                <w:sz w:val="24"/>
              </w:rPr>
              <w:t>污染物浓度为：COD 400mg/l、SS 300mg/l、NH</w:t>
            </w:r>
            <w:r>
              <w:rPr>
                <w:sz w:val="24"/>
                <w:vertAlign w:val="subscript"/>
              </w:rPr>
              <w:t>3</w:t>
            </w:r>
            <w:r>
              <w:rPr>
                <w:sz w:val="24"/>
              </w:rPr>
              <w:t>-N 25mg/l、TP 5mg/l、TN 50mg/L。</w:t>
            </w:r>
          </w:p>
          <w:p>
            <w:pPr>
              <w:pStyle w:val="9"/>
              <w:spacing w:after="0" w:line="360" w:lineRule="auto"/>
              <w:ind w:left="0" w:leftChars="0" w:right="0" w:rightChars="0" w:firstLine="480" w:firstLineChars="200"/>
              <w:rPr>
                <w:rFonts w:ascii="Times New Roman" w:hAnsi="宋体"/>
                <w:sz w:val="24"/>
              </w:rPr>
            </w:pPr>
            <w:r>
              <w:rPr>
                <w:rFonts w:ascii="Times New Roman" w:hAnsi="Times New Roman"/>
                <w:color w:val="000000"/>
                <w:sz w:val="24"/>
              </w:rPr>
              <w:t>食堂用水：</w:t>
            </w:r>
            <w:r>
              <w:rPr>
                <w:rFonts w:ascii="Times New Roman" w:hAnsi="宋体"/>
                <w:sz w:val="24"/>
              </w:rPr>
              <w:t>食堂每天用餐员工共约</w:t>
            </w:r>
            <w:r>
              <w:rPr>
                <w:rFonts w:ascii="Times New Roman" w:hAnsi="Times New Roman"/>
                <w:sz w:val="24"/>
              </w:rPr>
              <w:t>20</w:t>
            </w:r>
            <w:r>
              <w:rPr>
                <w:rFonts w:ascii="Times New Roman" w:hAnsi="宋体"/>
                <w:sz w:val="24"/>
              </w:rPr>
              <w:t>人次，按人均用水量</w:t>
            </w:r>
            <w:r>
              <w:rPr>
                <w:rFonts w:ascii="Times New Roman" w:hAnsi="Times New Roman"/>
                <w:sz w:val="24"/>
              </w:rPr>
              <w:t>10L/</w:t>
            </w:r>
            <w:r>
              <w:rPr>
                <w:rFonts w:ascii="Times New Roman" w:hAnsi="宋体"/>
                <w:sz w:val="24"/>
              </w:rPr>
              <w:t>人</w:t>
            </w:r>
            <w:r>
              <w:rPr>
                <w:rFonts w:ascii="Times New Roman" w:hAnsi="Times New Roman"/>
                <w:sz w:val="24"/>
              </w:rPr>
              <w:t>·</w:t>
            </w:r>
            <w:r>
              <w:rPr>
                <w:rFonts w:ascii="Times New Roman" w:hAnsi="宋体"/>
                <w:sz w:val="24"/>
              </w:rPr>
              <w:t>次计算，则总用水量为</w:t>
            </w:r>
            <w:r>
              <w:rPr>
                <w:rFonts w:ascii="Times New Roman" w:hAnsi="Times New Roman"/>
                <w:sz w:val="24"/>
              </w:rPr>
              <w:t>6</w:t>
            </w:r>
            <w:r>
              <w:rPr>
                <w:rFonts w:hint="eastAsia" w:ascii="Times New Roman" w:hAnsi="Times New Roman"/>
                <w:sz w:val="24"/>
              </w:rPr>
              <w:t>0</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/a</w:t>
            </w:r>
            <w:r>
              <w:rPr>
                <w:rFonts w:ascii="Times New Roman" w:hAnsi="宋体"/>
                <w:sz w:val="24"/>
              </w:rPr>
              <w:t>，以排放系数</w:t>
            </w:r>
            <w:r>
              <w:rPr>
                <w:rFonts w:ascii="Times New Roman" w:hAnsi="Times New Roman"/>
                <w:sz w:val="24"/>
              </w:rPr>
              <w:t>80%</w:t>
            </w:r>
            <w:r>
              <w:rPr>
                <w:rFonts w:ascii="Times New Roman" w:hAnsi="宋体"/>
                <w:sz w:val="24"/>
              </w:rPr>
              <w:t>计算，排水量为</w:t>
            </w:r>
            <w:r>
              <w:rPr>
                <w:rFonts w:hint="eastAsia" w:ascii="Times New Roman" w:hAnsi="Times New Roman"/>
                <w:sz w:val="24"/>
              </w:rPr>
              <w:t>48</w:t>
            </w:r>
            <w:r>
              <w:rPr>
                <w:rFonts w:ascii="Times New Roman" w:hAnsi="Times New Roman"/>
                <w:sz w:val="24"/>
              </w:rPr>
              <w:t>m</w:t>
            </w:r>
            <w:r>
              <w:rPr>
                <w:rFonts w:ascii="Times New Roman" w:hAnsi="Times New Roman"/>
                <w:sz w:val="24"/>
                <w:vertAlign w:val="superscript"/>
              </w:rPr>
              <w:t>3</w:t>
            </w:r>
            <w:r>
              <w:rPr>
                <w:rFonts w:ascii="Times New Roman" w:hAnsi="Times New Roman"/>
                <w:sz w:val="24"/>
              </w:rPr>
              <w:t>/a</w:t>
            </w:r>
            <w:r>
              <w:rPr>
                <w:rFonts w:ascii="Times New Roman" w:hAnsi="宋体"/>
                <w:sz w:val="24"/>
              </w:rPr>
              <w:t>，经隔油池处理后，污染物浓度为：</w:t>
            </w:r>
            <w:r>
              <w:rPr>
                <w:rFonts w:ascii="Times New Roman" w:hAnsi="Times New Roman"/>
                <w:sz w:val="24"/>
              </w:rPr>
              <w:t>COD 400mg/L</w:t>
            </w:r>
            <w:r>
              <w:rPr>
                <w:rFonts w:ascii="Times New Roman" w:hAnsi="宋体"/>
                <w:sz w:val="24"/>
              </w:rPr>
              <w:t>、</w:t>
            </w:r>
            <w:r>
              <w:rPr>
                <w:rFonts w:ascii="Times New Roman" w:hAnsi="Times New Roman"/>
                <w:sz w:val="24"/>
              </w:rPr>
              <w:t>SS 300mg/L</w:t>
            </w:r>
            <w:r>
              <w:rPr>
                <w:rFonts w:ascii="Times New Roman" w:hAnsi="宋体"/>
                <w:sz w:val="24"/>
              </w:rPr>
              <w:t>、</w:t>
            </w:r>
            <w:r>
              <w:rPr>
                <w:rFonts w:ascii="Times New Roman" w:hAnsi="Times New Roman"/>
                <w:sz w:val="24"/>
              </w:rPr>
              <w:t>NH</w:t>
            </w:r>
            <w:r>
              <w:rPr>
                <w:rFonts w:ascii="Times New Roman" w:hAnsi="Times New Roman"/>
                <w:sz w:val="24"/>
                <w:vertAlign w:val="subscript"/>
              </w:rPr>
              <w:t>3</w:t>
            </w:r>
            <w:r>
              <w:rPr>
                <w:rFonts w:ascii="Times New Roman" w:hAnsi="Times New Roman"/>
                <w:sz w:val="24"/>
              </w:rPr>
              <w:t>-N 25mg/L</w:t>
            </w:r>
            <w:r>
              <w:rPr>
                <w:rFonts w:ascii="Times New Roman" w:hAnsi="宋体"/>
                <w:sz w:val="24"/>
              </w:rPr>
              <w:t>、</w:t>
            </w:r>
            <w:r>
              <w:rPr>
                <w:rFonts w:ascii="Times New Roman" w:hAnsi="Times New Roman"/>
                <w:sz w:val="24"/>
              </w:rPr>
              <w:t>TP 5mg/L</w:t>
            </w:r>
            <w:r>
              <w:rPr>
                <w:rFonts w:ascii="Times New Roman" w:hAnsi="宋体"/>
                <w:sz w:val="24"/>
              </w:rPr>
              <w:t>、</w:t>
            </w:r>
            <w:r>
              <w:rPr>
                <w:rFonts w:ascii="Times New Roman" w:hAnsi="Times New Roman"/>
                <w:sz w:val="24"/>
              </w:rPr>
              <w:t>TN 50mg/L</w:t>
            </w:r>
            <w:r>
              <w:rPr>
                <w:rFonts w:ascii="Times New Roman" w:hAnsi="宋体"/>
                <w:sz w:val="24"/>
              </w:rPr>
              <w:t>、动植物油</w:t>
            </w:r>
            <w:r>
              <w:rPr>
                <w:rFonts w:ascii="Times New Roman" w:hAnsi="Times New Roman"/>
                <w:sz w:val="24"/>
              </w:rPr>
              <w:t xml:space="preserve"> 40mg/L</w:t>
            </w:r>
            <w:r>
              <w:rPr>
                <w:rFonts w:ascii="Times New Roman" w:hAnsi="宋体"/>
                <w:sz w:val="24"/>
              </w:rPr>
              <w:t>。</w:t>
            </w:r>
          </w:p>
          <w:p>
            <w:pPr>
              <w:pStyle w:val="9"/>
              <w:spacing w:after="0" w:line="360" w:lineRule="auto"/>
              <w:ind w:left="0" w:leftChars="0" w:right="0" w:rightChars="0" w:firstLine="480" w:firstLineChars="200"/>
              <w:rPr>
                <w:rFonts w:ascii="Times New Roman" w:hAnsi="Times New Roman"/>
                <w:color w:val="000000"/>
                <w:sz w:val="24"/>
              </w:rPr>
            </w:pPr>
            <w:r>
              <w:rPr>
                <w:rFonts w:ascii="Times New Roman" w:hAnsi="Times New Roman"/>
                <w:color w:val="000000"/>
                <w:sz w:val="24"/>
              </w:rPr>
              <w:t>研磨清洗用水：</w:t>
            </w:r>
            <w:r>
              <w:rPr>
                <w:rFonts w:ascii="Times New Roman" w:hAnsi="Times New Roman"/>
                <w:sz w:val="24"/>
              </w:rPr>
              <w:t>企业研磨清洗过程中需添加水、光亮剂和清洗剂，研磨清洗过程在离心机和磁力抛光机内进行，</w:t>
            </w:r>
            <w:r>
              <w:rPr>
                <w:rFonts w:ascii="Times New Roman"/>
                <w:color w:val="000000"/>
                <w:sz w:val="24"/>
              </w:rPr>
              <w:t>本项目设置</w:t>
            </w:r>
            <w:r>
              <w:rPr>
                <w:rFonts w:ascii="Times New Roman" w:hAnsi="Times New Roman"/>
                <w:color w:val="000000"/>
                <w:sz w:val="24"/>
              </w:rPr>
              <w:t>2</w:t>
            </w:r>
            <w:r>
              <w:rPr>
                <w:rFonts w:ascii="Times New Roman"/>
                <w:color w:val="000000"/>
                <w:sz w:val="24"/>
              </w:rPr>
              <w:t>台离心机和</w:t>
            </w:r>
            <w:r>
              <w:rPr>
                <w:rFonts w:ascii="Times New Roman" w:hAnsi="Times New Roman"/>
                <w:color w:val="000000"/>
                <w:sz w:val="24"/>
              </w:rPr>
              <w:t>1</w:t>
            </w:r>
            <w:r>
              <w:rPr>
                <w:rFonts w:ascii="Times New Roman"/>
                <w:color w:val="000000"/>
                <w:sz w:val="24"/>
              </w:rPr>
              <w:t>台磁力抛光机，离心机及磁力抛光机内部容积约为</w:t>
            </w:r>
            <w:r>
              <w:rPr>
                <w:rFonts w:ascii="Times New Roman" w:hAnsi="Times New Roman"/>
                <w:color w:val="000000"/>
                <w:sz w:val="24"/>
              </w:rPr>
              <w:t>0.15m</w:t>
            </w:r>
            <w:r>
              <w:rPr>
                <w:rFonts w:ascii="Times New Roman" w:hAnsi="Times New Roman"/>
                <w:color w:val="000000"/>
                <w:sz w:val="24"/>
                <w:vertAlign w:val="superscript"/>
              </w:rPr>
              <w:t>3</w:t>
            </w:r>
            <w:r>
              <w:rPr>
                <w:rFonts w:ascii="Times New Roman"/>
                <w:color w:val="000000"/>
                <w:sz w:val="24"/>
              </w:rPr>
              <w:t>（水深约</w:t>
            </w:r>
            <w:r>
              <w:rPr>
                <w:rFonts w:ascii="Times New Roman" w:hAnsi="Times New Roman"/>
                <w:color w:val="000000"/>
                <w:sz w:val="24"/>
              </w:rPr>
              <w:t>0.05m</w:t>
            </w:r>
            <w:r>
              <w:rPr>
                <w:rFonts w:ascii="Times New Roman" w:hAnsi="Times New Roman"/>
                <w:color w:val="000000"/>
                <w:sz w:val="24"/>
                <w:vertAlign w:val="superscript"/>
              </w:rPr>
              <w:t>3</w:t>
            </w:r>
            <w:r>
              <w:rPr>
                <w:rFonts w:ascii="Times New Roman"/>
                <w:color w:val="000000"/>
                <w:sz w:val="24"/>
              </w:rPr>
              <w:t>），</w:t>
            </w:r>
            <w:r>
              <w:rPr>
                <w:rFonts w:ascii="Times New Roman" w:hAnsi="Times New Roman"/>
                <w:sz w:val="24"/>
              </w:rPr>
              <w:t>研磨清洗用水循环使用，</w:t>
            </w:r>
            <w:r>
              <w:rPr>
                <w:rFonts w:ascii="Times New Roman"/>
                <w:color w:val="000000"/>
                <w:sz w:val="24"/>
              </w:rPr>
              <w:t>每天的补充用水量按水槽用水量的</w:t>
            </w:r>
            <w:r>
              <w:rPr>
                <w:rFonts w:hint="eastAsia" w:ascii="Times New Roman" w:hAnsi="Times New Roman"/>
                <w:color w:val="000000"/>
                <w:sz w:val="24"/>
                <w:lang w:val="en-US" w:eastAsia="zh-CN"/>
              </w:rPr>
              <w:t>5</w:t>
            </w:r>
            <w:r>
              <w:rPr>
                <w:rFonts w:ascii="Times New Roman" w:hAnsi="Times New Roman"/>
                <w:color w:val="000000"/>
                <w:sz w:val="24"/>
              </w:rPr>
              <w:t>%</w:t>
            </w:r>
            <w:r>
              <w:rPr>
                <w:rFonts w:ascii="Times New Roman"/>
                <w:color w:val="000000"/>
                <w:sz w:val="24"/>
              </w:rPr>
              <w:t>计算，则年补充水量约为</w:t>
            </w:r>
            <w:r>
              <w:rPr>
                <w:rFonts w:hint="eastAsia" w:ascii="Times New Roman" w:hAnsi="Times New Roman"/>
                <w:color w:val="000000"/>
                <w:sz w:val="24"/>
                <w:lang w:val="en-US" w:eastAsia="zh-CN"/>
              </w:rPr>
              <w:t>3*0.75=2.25</w:t>
            </w:r>
            <w:r>
              <w:rPr>
                <w:rFonts w:ascii="Times New Roman" w:hAnsi="Times New Roman"/>
                <w:color w:val="000000"/>
                <w:sz w:val="24"/>
              </w:rPr>
              <w:t>t</w:t>
            </w:r>
            <w:r>
              <w:rPr>
                <w:rFonts w:ascii="Times New Roman"/>
                <w:color w:val="000000"/>
                <w:sz w:val="24"/>
              </w:rPr>
              <w:t>；废液</w:t>
            </w:r>
            <w:r>
              <w:rPr>
                <w:rFonts w:ascii="Times New Roman" w:hAnsi="Times New Roman"/>
                <w:sz w:val="24"/>
              </w:rPr>
              <w:t>每2个月更换1次，1年更换6次，则用水量约为</w:t>
            </w:r>
            <w:r>
              <w:rPr>
                <w:rFonts w:hint="eastAsia" w:ascii="Times New Roman" w:hAnsi="Times New Roman"/>
                <w:sz w:val="24"/>
                <w:lang w:val="en-US" w:eastAsia="zh-CN"/>
              </w:rPr>
              <w:t>3*0.3=0.9</w:t>
            </w:r>
            <w:r>
              <w:rPr>
                <w:rFonts w:ascii="Times New Roman" w:hAnsi="Times New Roman"/>
                <w:sz w:val="24"/>
              </w:rPr>
              <w:t>t/a。因此本项目研磨清洗用水量为</w:t>
            </w:r>
            <w:r>
              <w:rPr>
                <w:rFonts w:hint="eastAsia" w:ascii="Times New Roman" w:hAnsi="Times New Roman"/>
                <w:sz w:val="24"/>
                <w:lang w:val="en-US" w:eastAsia="zh-CN"/>
              </w:rPr>
              <w:t>3.15</w:t>
            </w:r>
            <w:r>
              <w:rPr>
                <w:rFonts w:ascii="Times New Roman" w:hAnsi="Times New Roman"/>
                <w:sz w:val="24"/>
              </w:rPr>
              <w:t>t/a。</w:t>
            </w:r>
          </w:p>
          <w:p>
            <w:pPr>
              <w:adjustRightInd w:val="0"/>
              <w:snapToGrid w:val="0"/>
              <w:spacing w:line="360" w:lineRule="auto"/>
              <w:ind w:firstLine="480" w:firstLineChars="200"/>
              <w:rPr>
                <w:color w:val="000000"/>
                <w:sz w:val="24"/>
              </w:rPr>
            </w:pPr>
            <w:r>
              <w:rPr>
                <w:color w:val="000000"/>
                <w:sz w:val="24"/>
              </w:rPr>
              <w:t>水洗用水：企业水洗过程采用自来水，在清洗槽内进行，本项目设置1个清洗槽，清洗槽规格为1.4m*2.4m*0.2m（水深0.05m），清洗水循环使用，每天的补充用水量按水槽用水量的</w:t>
            </w:r>
            <w:r>
              <w:rPr>
                <w:rFonts w:hint="eastAsia"/>
                <w:color w:val="000000"/>
                <w:sz w:val="24"/>
                <w:lang w:val="en-US" w:eastAsia="zh-CN"/>
              </w:rPr>
              <w:t>5</w:t>
            </w:r>
            <w:r>
              <w:rPr>
                <w:color w:val="000000"/>
                <w:sz w:val="24"/>
              </w:rPr>
              <w:t>%计算，则年补充水量约为</w:t>
            </w:r>
            <w:r>
              <w:rPr>
                <w:rFonts w:hint="eastAsia"/>
                <w:color w:val="000000"/>
                <w:sz w:val="24"/>
                <w:lang w:val="en-US" w:eastAsia="zh-CN"/>
              </w:rPr>
              <w:t>2.52</w:t>
            </w:r>
            <w:r>
              <w:rPr>
                <w:color w:val="000000"/>
                <w:sz w:val="24"/>
              </w:rPr>
              <w:t>t；废液每2个月更换1次，1年更换6次，则用水量约为1.</w:t>
            </w:r>
            <w:r>
              <w:rPr>
                <w:rFonts w:hint="eastAsia"/>
                <w:color w:val="000000"/>
                <w:sz w:val="24"/>
              </w:rPr>
              <w:t>008t/a。因此本项目水洗用水为</w:t>
            </w:r>
            <w:r>
              <w:rPr>
                <w:rFonts w:hint="eastAsia"/>
                <w:color w:val="000000"/>
                <w:sz w:val="24"/>
                <w:lang w:val="en-US" w:eastAsia="zh-CN"/>
              </w:rPr>
              <w:t>3.528</w:t>
            </w:r>
            <w:r>
              <w:rPr>
                <w:rFonts w:hint="eastAsia"/>
                <w:color w:val="000000"/>
                <w:sz w:val="24"/>
              </w:rPr>
              <w:t>t/a。</w:t>
            </w:r>
          </w:p>
          <w:p>
            <w:pPr>
              <w:pStyle w:val="9"/>
              <w:spacing w:after="0" w:line="360" w:lineRule="auto"/>
              <w:ind w:left="0" w:leftChars="0" w:right="0" w:rightChars="0" w:firstLine="480" w:firstLineChars="200"/>
              <w:rPr>
                <w:rFonts w:ascii="宋体" w:hAnsi="宋体"/>
                <w:sz w:val="24"/>
              </w:rPr>
            </w:pPr>
            <w:r>
              <w:rPr>
                <w:rFonts w:hint="eastAsia" w:ascii="宋体" w:hAnsi="宋体"/>
                <w:sz w:val="24"/>
              </w:rPr>
              <w:t>本项目废水产生及排放情况见下表。</w:t>
            </w:r>
          </w:p>
          <w:p>
            <w:pPr>
              <w:jc w:val="center"/>
              <w:rPr>
                <w:rFonts w:ascii="宋体" w:hAnsi="宋体"/>
                <w:b/>
                <w:sz w:val="24"/>
              </w:rPr>
            </w:pPr>
            <w:r>
              <w:rPr>
                <w:rFonts w:hint="eastAsia" w:ascii="宋体" w:hAnsi="宋体"/>
                <w:b/>
                <w:sz w:val="24"/>
              </w:rPr>
              <w:t>表</w:t>
            </w:r>
            <w:r>
              <w:rPr>
                <w:rFonts w:hint="eastAsia"/>
                <w:b/>
                <w:sz w:val="24"/>
              </w:rPr>
              <w:t xml:space="preserve">4-8 </w:t>
            </w:r>
            <w:r>
              <w:rPr>
                <w:rFonts w:hint="eastAsia" w:ascii="宋体" w:hAnsi="宋体"/>
                <w:b/>
                <w:sz w:val="24"/>
              </w:rPr>
              <w:t>本项目废水产生及排放情况</w:t>
            </w:r>
          </w:p>
          <w:tbl>
            <w:tblPr>
              <w:tblStyle w:val="22"/>
              <w:tblW w:w="5000" w:type="pct"/>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56"/>
              <w:gridCol w:w="823"/>
              <w:gridCol w:w="719"/>
              <w:gridCol w:w="709"/>
              <w:gridCol w:w="845"/>
              <w:gridCol w:w="652"/>
              <w:gridCol w:w="848"/>
              <w:gridCol w:w="1211"/>
              <w:gridCol w:w="850"/>
              <w:gridCol w:w="674"/>
            </w:tblGrid>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restart"/>
                  <w:tcBorders>
                    <w:top w:val="single" w:color="000000" w:sz="12" w:space="0"/>
                    <w:left w:val="nil"/>
                    <w:bottom w:val="single" w:color="000000" w:sz="4" w:space="0"/>
                    <w:right w:val="single" w:color="000000" w:sz="4" w:space="0"/>
                  </w:tcBorders>
                  <w:vAlign w:val="center"/>
                </w:tcPr>
                <w:p>
                  <w:pPr>
                    <w:adjustRightInd w:val="0"/>
                    <w:snapToGrid w:val="0"/>
                    <w:jc w:val="center"/>
                    <w:rPr>
                      <w:b/>
                      <w:bCs/>
                      <w:szCs w:val="21"/>
                    </w:rPr>
                  </w:pPr>
                  <w:r>
                    <w:rPr>
                      <w:b/>
                      <w:bCs/>
                    </w:rPr>
                    <w:t>废水来源</w:t>
                  </w:r>
                </w:p>
              </w:tc>
              <w:tc>
                <w:tcPr>
                  <w:tcW w:w="515" w:type="pct"/>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废水量m</w:t>
                  </w:r>
                  <w:r>
                    <w:rPr>
                      <w:b/>
                      <w:bCs/>
                      <w:vertAlign w:val="superscript"/>
                    </w:rPr>
                    <w:t>3</w:t>
                  </w:r>
                  <w:r>
                    <w:rPr>
                      <w:b/>
                      <w:bCs/>
                    </w:rPr>
                    <w:t>/a</w:t>
                  </w:r>
                </w:p>
              </w:tc>
              <w:tc>
                <w:tcPr>
                  <w:tcW w:w="1423" w:type="pct"/>
                  <w:gridSpan w:val="3"/>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污染物产生情况</w:t>
                  </w:r>
                </w:p>
              </w:tc>
              <w:tc>
                <w:tcPr>
                  <w:tcW w:w="408" w:type="pct"/>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处理方法</w:t>
                  </w:r>
                </w:p>
              </w:tc>
              <w:tc>
                <w:tcPr>
                  <w:tcW w:w="1289" w:type="pct"/>
                  <w:gridSpan w:val="2"/>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排放情况</w:t>
                  </w:r>
                </w:p>
              </w:tc>
              <w:tc>
                <w:tcPr>
                  <w:tcW w:w="532" w:type="pct"/>
                  <w:vMerge w:val="restart"/>
                  <w:tcBorders>
                    <w:top w:val="single" w:color="000000" w:sz="12" w:space="0"/>
                    <w:left w:val="single" w:color="000000" w:sz="4" w:space="0"/>
                    <w:bottom w:val="single" w:color="000000" w:sz="4" w:space="0"/>
                    <w:right w:val="single" w:color="000000" w:sz="4" w:space="0"/>
                  </w:tcBorders>
                  <w:vAlign w:val="center"/>
                </w:tcPr>
                <w:p>
                  <w:pPr>
                    <w:adjustRightInd w:val="0"/>
                    <w:snapToGrid w:val="0"/>
                    <w:jc w:val="center"/>
                    <w:rPr>
                      <w:b/>
                      <w:bCs/>
                    </w:rPr>
                  </w:pPr>
                  <w:r>
                    <w:rPr>
                      <w:b/>
                      <w:bCs/>
                    </w:rPr>
                    <w:t>污水厂接纳</w:t>
                  </w:r>
                </w:p>
                <w:p>
                  <w:pPr>
                    <w:adjustRightInd w:val="0"/>
                    <w:snapToGrid w:val="0"/>
                    <w:jc w:val="center"/>
                    <w:rPr>
                      <w:b/>
                      <w:bCs/>
                      <w:szCs w:val="21"/>
                    </w:rPr>
                  </w:pPr>
                  <w:r>
                    <w:rPr>
                      <w:b/>
                      <w:bCs/>
                    </w:rPr>
                    <w:t>标准</w:t>
                  </w:r>
                </w:p>
              </w:tc>
              <w:tc>
                <w:tcPr>
                  <w:tcW w:w="422" w:type="pct"/>
                  <w:vMerge w:val="restart"/>
                  <w:tcBorders>
                    <w:top w:val="single" w:color="000000" w:sz="12" w:space="0"/>
                    <w:left w:val="single" w:color="000000" w:sz="4" w:space="0"/>
                    <w:bottom w:val="single" w:color="000000" w:sz="4" w:space="0"/>
                    <w:right w:val="nil"/>
                  </w:tcBorders>
                  <w:vAlign w:val="center"/>
                </w:tcPr>
                <w:p>
                  <w:pPr>
                    <w:widowControl/>
                    <w:adjustRightInd w:val="0"/>
                    <w:snapToGrid w:val="0"/>
                    <w:jc w:val="center"/>
                    <w:rPr>
                      <w:b/>
                      <w:bCs/>
                      <w:szCs w:val="21"/>
                    </w:rPr>
                  </w:pPr>
                  <w:r>
                    <w:rPr>
                      <w:b/>
                      <w:bCs/>
                    </w:rPr>
                    <w:t>排放方式与去向</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top w:val="single" w:color="000000" w:sz="12" w:space="0"/>
                    <w:left w:val="nil"/>
                    <w:bottom w:val="single" w:color="000000" w:sz="4" w:space="0"/>
                    <w:right w:val="single" w:color="000000" w:sz="4" w:space="0"/>
                  </w:tcBorders>
                  <w:vAlign w:val="center"/>
                </w:tcPr>
                <w:p>
                  <w:pPr>
                    <w:widowControl/>
                    <w:jc w:val="center"/>
                    <w:rPr>
                      <w:b/>
                      <w:bCs/>
                      <w:szCs w:val="21"/>
                    </w:rPr>
                  </w:pPr>
                </w:p>
              </w:tc>
              <w:tc>
                <w:tcPr>
                  <w:tcW w:w="515" w:type="pct"/>
                  <w:vMerge w:val="continue"/>
                  <w:tcBorders>
                    <w:top w:val="single" w:color="000000" w:sz="12" w:space="0"/>
                    <w:left w:val="single" w:color="000000" w:sz="4" w:space="0"/>
                    <w:bottom w:val="single" w:color="000000" w:sz="4" w:space="0"/>
                    <w:right w:val="single" w:color="000000" w:sz="4" w:space="0"/>
                  </w:tcBorders>
                  <w:vAlign w:val="center"/>
                </w:tcPr>
                <w:p>
                  <w:pPr>
                    <w:widowControl/>
                    <w:jc w:val="center"/>
                    <w:rPr>
                      <w:b/>
                      <w:bCs/>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名称</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浓度mg/L</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产生量t/a</w:t>
                  </w:r>
                </w:p>
              </w:tc>
              <w:tc>
                <w:tcPr>
                  <w:tcW w:w="408" w:type="pct"/>
                  <w:vMerge w:val="continue"/>
                  <w:tcBorders>
                    <w:top w:val="single" w:color="000000" w:sz="12" w:space="0"/>
                    <w:left w:val="single" w:color="000000" w:sz="4" w:space="0"/>
                    <w:bottom w:val="single" w:color="000000" w:sz="4" w:space="0"/>
                    <w:right w:val="single" w:color="000000" w:sz="4" w:space="0"/>
                  </w:tcBorders>
                  <w:vAlign w:val="center"/>
                </w:tcPr>
                <w:p>
                  <w:pPr>
                    <w:widowControl/>
                    <w:jc w:val="center"/>
                    <w:rPr>
                      <w:b/>
                      <w:bCs/>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浓度mg/L</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
                      <w:bCs/>
                      <w:szCs w:val="21"/>
                    </w:rPr>
                  </w:pPr>
                  <w:r>
                    <w:rPr>
                      <w:b/>
                      <w:bCs/>
                    </w:rPr>
                    <w:t>排放量t/a</w:t>
                  </w:r>
                </w:p>
              </w:tc>
              <w:tc>
                <w:tcPr>
                  <w:tcW w:w="532" w:type="pct"/>
                  <w:vMerge w:val="continue"/>
                  <w:tcBorders>
                    <w:top w:val="single" w:color="000000" w:sz="12" w:space="0"/>
                    <w:left w:val="single" w:color="000000" w:sz="4" w:space="0"/>
                    <w:bottom w:val="single" w:color="000000" w:sz="4" w:space="0"/>
                    <w:right w:val="single" w:color="000000" w:sz="4" w:space="0"/>
                  </w:tcBorders>
                  <w:vAlign w:val="center"/>
                </w:tcPr>
                <w:p>
                  <w:pPr>
                    <w:widowControl/>
                    <w:jc w:val="center"/>
                    <w:rPr>
                      <w:b/>
                      <w:bCs/>
                      <w:szCs w:val="21"/>
                    </w:rPr>
                  </w:pPr>
                </w:p>
              </w:tc>
              <w:tc>
                <w:tcPr>
                  <w:tcW w:w="422" w:type="pct"/>
                  <w:vMerge w:val="continue"/>
                  <w:tcBorders>
                    <w:top w:val="single" w:color="000000" w:sz="12" w:space="0"/>
                    <w:left w:val="single" w:color="000000" w:sz="4" w:space="0"/>
                    <w:bottom w:val="single" w:color="000000" w:sz="4" w:space="0"/>
                    <w:right w:val="nil"/>
                  </w:tcBorders>
                  <w:vAlign w:val="center"/>
                </w:tcPr>
                <w:p>
                  <w:pPr>
                    <w:widowControl/>
                    <w:jc w:val="center"/>
                    <w:rPr>
                      <w:b/>
                      <w:bCs/>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90" w:hRule="atLeast"/>
              </w:trPr>
              <w:tc>
                <w:tcPr>
                  <w:tcW w:w="411" w:type="pct"/>
                  <w:vMerge w:val="restart"/>
                  <w:tcBorders>
                    <w:top w:val="single" w:color="000000" w:sz="4" w:space="0"/>
                    <w:left w:val="nil"/>
                    <w:bottom w:val="single" w:color="000000" w:sz="4" w:space="0"/>
                    <w:right w:val="single" w:color="000000" w:sz="4" w:space="0"/>
                  </w:tcBorders>
                  <w:vAlign w:val="center"/>
                </w:tcPr>
                <w:p>
                  <w:pPr>
                    <w:adjustRightInd w:val="0"/>
                    <w:snapToGrid w:val="0"/>
                    <w:jc w:val="center"/>
                    <w:rPr>
                      <w:szCs w:val="21"/>
                    </w:rPr>
                  </w:pPr>
                  <w:r>
                    <w:t>生活污水</w:t>
                  </w:r>
                </w:p>
              </w:tc>
              <w:tc>
                <w:tcPr>
                  <w:tcW w:w="515" w:type="pct"/>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480</w:t>
                  </w: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COD</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400</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192</w:t>
                  </w:r>
                </w:p>
              </w:tc>
              <w:tc>
                <w:tcPr>
                  <w:tcW w:w="408" w:type="pct"/>
                  <w:vMerge w:val="restar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接管</w:t>
                  </w: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400</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192</w:t>
                  </w:r>
                </w:p>
              </w:tc>
              <w:tc>
                <w:tcPr>
                  <w:tcW w:w="532"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500</w:t>
                  </w:r>
                </w:p>
              </w:tc>
              <w:tc>
                <w:tcPr>
                  <w:tcW w:w="422" w:type="pct"/>
                  <w:vMerge w:val="restart"/>
                  <w:tcBorders>
                    <w:top w:val="nil"/>
                    <w:left w:val="single" w:color="000000" w:sz="4" w:space="0"/>
                    <w:right w:val="nil"/>
                  </w:tcBorders>
                  <w:vAlign w:val="center"/>
                </w:tcPr>
                <w:p>
                  <w:pPr>
                    <w:adjustRightInd w:val="0"/>
                    <w:snapToGrid w:val="0"/>
                    <w:jc w:val="center"/>
                    <w:rPr>
                      <w:szCs w:val="21"/>
                    </w:rPr>
                  </w:pPr>
                  <w:r>
                    <w:rPr>
                      <w:rFonts w:hint="eastAsia"/>
                    </w:rPr>
                    <w:t>武南</w:t>
                  </w:r>
                  <w:r>
                    <w:t>污水处理厂</w:t>
                  </w: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top w:val="single" w:color="000000" w:sz="4" w:space="0"/>
                    <w:left w:val="nil"/>
                    <w:bottom w:val="single" w:color="000000" w:sz="4" w:space="0"/>
                    <w:right w:val="single" w:color="000000" w:sz="4" w:space="0"/>
                  </w:tcBorders>
                  <w:vAlign w:val="center"/>
                </w:tcPr>
                <w:p>
                  <w:pPr>
                    <w:widowControl/>
                    <w:jc w:val="center"/>
                    <w:rPr>
                      <w:szCs w:val="21"/>
                    </w:rPr>
                  </w:pPr>
                </w:p>
              </w:tc>
              <w:tc>
                <w:tcPr>
                  <w:tcW w:w="51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SS</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300</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144</w:t>
                  </w:r>
                </w:p>
              </w:tc>
              <w:tc>
                <w:tcPr>
                  <w:tcW w:w="40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300</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144</w:t>
                  </w:r>
                </w:p>
              </w:tc>
              <w:tc>
                <w:tcPr>
                  <w:tcW w:w="532"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400</w:t>
                  </w:r>
                </w:p>
              </w:tc>
              <w:tc>
                <w:tcPr>
                  <w:tcW w:w="422" w:type="pct"/>
                  <w:vMerge w:val="continue"/>
                  <w:tcBorders>
                    <w:left w:val="single" w:color="000000" w:sz="4" w:space="0"/>
                    <w:right w:val="nil"/>
                  </w:tcBorders>
                  <w:vAlign w:val="center"/>
                </w:tcPr>
                <w:p>
                  <w:pPr>
                    <w:widowControl/>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top w:val="single" w:color="000000" w:sz="4" w:space="0"/>
                    <w:left w:val="nil"/>
                    <w:bottom w:val="single" w:color="000000" w:sz="4" w:space="0"/>
                    <w:right w:val="single" w:color="000000" w:sz="4" w:space="0"/>
                  </w:tcBorders>
                  <w:vAlign w:val="center"/>
                </w:tcPr>
                <w:p>
                  <w:pPr>
                    <w:widowControl/>
                    <w:jc w:val="center"/>
                    <w:rPr>
                      <w:szCs w:val="21"/>
                    </w:rPr>
                  </w:pPr>
                </w:p>
              </w:tc>
              <w:tc>
                <w:tcPr>
                  <w:tcW w:w="51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氨氮</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25</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0.0</w:t>
                  </w:r>
                  <w:r>
                    <w:rPr>
                      <w:rFonts w:hint="eastAsia"/>
                    </w:rPr>
                    <w:t>12</w:t>
                  </w:r>
                </w:p>
              </w:tc>
              <w:tc>
                <w:tcPr>
                  <w:tcW w:w="40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25</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0.0</w:t>
                  </w:r>
                  <w:r>
                    <w:rPr>
                      <w:rFonts w:hint="eastAsia"/>
                    </w:rPr>
                    <w:t>12</w:t>
                  </w:r>
                </w:p>
              </w:tc>
              <w:tc>
                <w:tcPr>
                  <w:tcW w:w="532"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45</w:t>
                  </w:r>
                </w:p>
              </w:tc>
              <w:tc>
                <w:tcPr>
                  <w:tcW w:w="422" w:type="pct"/>
                  <w:vMerge w:val="continue"/>
                  <w:tcBorders>
                    <w:left w:val="single" w:color="000000" w:sz="4" w:space="0"/>
                    <w:right w:val="nil"/>
                  </w:tcBorders>
                  <w:vAlign w:val="center"/>
                </w:tcPr>
                <w:p>
                  <w:pPr>
                    <w:widowControl/>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top w:val="single" w:color="000000" w:sz="4" w:space="0"/>
                    <w:left w:val="nil"/>
                    <w:bottom w:val="single" w:color="000000" w:sz="4" w:space="0"/>
                    <w:right w:val="single" w:color="000000" w:sz="4" w:space="0"/>
                  </w:tcBorders>
                  <w:vAlign w:val="center"/>
                </w:tcPr>
                <w:p>
                  <w:pPr>
                    <w:widowControl/>
                    <w:jc w:val="center"/>
                    <w:rPr>
                      <w:szCs w:val="21"/>
                    </w:rPr>
                  </w:pPr>
                </w:p>
              </w:tc>
              <w:tc>
                <w:tcPr>
                  <w:tcW w:w="51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TP</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5</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0.0</w:t>
                  </w:r>
                  <w:r>
                    <w:rPr>
                      <w:rFonts w:hint="eastAsia"/>
                    </w:rPr>
                    <w:t>024</w:t>
                  </w:r>
                </w:p>
              </w:tc>
              <w:tc>
                <w:tcPr>
                  <w:tcW w:w="40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5</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0.0</w:t>
                  </w:r>
                  <w:r>
                    <w:rPr>
                      <w:rFonts w:hint="eastAsia"/>
                    </w:rPr>
                    <w:t>024</w:t>
                  </w:r>
                </w:p>
              </w:tc>
              <w:tc>
                <w:tcPr>
                  <w:tcW w:w="532"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8</w:t>
                  </w:r>
                </w:p>
              </w:tc>
              <w:tc>
                <w:tcPr>
                  <w:tcW w:w="422" w:type="pct"/>
                  <w:vMerge w:val="continue"/>
                  <w:tcBorders>
                    <w:left w:val="single" w:color="000000" w:sz="4" w:space="0"/>
                    <w:right w:val="nil"/>
                  </w:tcBorders>
                  <w:vAlign w:val="center"/>
                </w:tcPr>
                <w:p>
                  <w:pPr>
                    <w:widowControl/>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top w:val="single" w:color="000000" w:sz="4" w:space="0"/>
                    <w:left w:val="nil"/>
                    <w:bottom w:val="single" w:color="000000" w:sz="4" w:space="0"/>
                    <w:right w:val="single" w:color="000000" w:sz="4" w:space="0"/>
                  </w:tcBorders>
                  <w:vAlign w:val="center"/>
                </w:tcPr>
                <w:p>
                  <w:pPr>
                    <w:widowControl/>
                    <w:jc w:val="center"/>
                    <w:rPr>
                      <w:szCs w:val="21"/>
                    </w:rPr>
                  </w:pPr>
                </w:p>
              </w:tc>
              <w:tc>
                <w:tcPr>
                  <w:tcW w:w="515"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TN</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50</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0.0</w:t>
                  </w:r>
                  <w:r>
                    <w:rPr>
                      <w:rFonts w:hint="eastAsia"/>
                    </w:rPr>
                    <w:t>24</w:t>
                  </w:r>
                </w:p>
              </w:tc>
              <w:tc>
                <w:tcPr>
                  <w:tcW w:w="408" w:type="pct"/>
                  <w:vMerge w:val="continue"/>
                  <w:tcBorders>
                    <w:top w:val="single" w:color="000000" w:sz="4" w:space="0"/>
                    <w:left w:val="single" w:color="000000" w:sz="4" w:space="0"/>
                    <w:bottom w:val="single" w:color="000000" w:sz="4" w:space="0"/>
                    <w:right w:val="single" w:color="000000" w:sz="4" w:space="0"/>
                  </w:tcBorders>
                  <w:vAlign w:val="center"/>
                </w:tcPr>
                <w:p>
                  <w:pPr>
                    <w:widowControl/>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50</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0.0</w:t>
                  </w:r>
                  <w:r>
                    <w:rPr>
                      <w:rFonts w:hint="eastAsia"/>
                    </w:rPr>
                    <w:t>24</w:t>
                  </w:r>
                </w:p>
              </w:tc>
              <w:tc>
                <w:tcPr>
                  <w:tcW w:w="532"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70</w:t>
                  </w:r>
                </w:p>
              </w:tc>
              <w:tc>
                <w:tcPr>
                  <w:tcW w:w="422" w:type="pct"/>
                  <w:vMerge w:val="continue"/>
                  <w:tcBorders>
                    <w:left w:val="single" w:color="000000" w:sz="4" w:space="0"/>
                    <w:right w:val="nil"/>
                  </w:tcBorders>
                  <w:vAlign w:val="center"/>
                </w:tcPr>
                <w:p>
                  <w:pPr>
                    <w:widowControl/>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restart"/>
                  <w:tcBorders>
                    <w:top w:val="single" w:color="000000" w:sz="4" w:space="0"/>
                    <w:left w:val="nil"/>
                    <w:right w:val="single" w:color="000000" w:sz="4" w:space="0"/>
                  </w:tcBorders>
                  <w:vAlign w:val="center"/>
                </w:tcPr>
                <w:p>
                  <w:pPr>
                    <w:adjustRightInd w:val="0"/>
                    <w:snapToGrid w:val="0"/>
                    <w:jc w:val="center"/>
                    <w:rPr>
                      <w:bCs/>
                      <w:szCs w:val="21"/>
                    </w:rPr>
                  </w:pPr>
                  <w:r>
                    <w:rPr>
                      <w:bCs/>
                      <w:szCs w:val="21"/>
                    </w:rPr>
                    <w:t>食堂废水</w:t>
                  </w:r>
                </w:p>
              </w:tc>
              <w:tc>
                <w:tcPr>
                  <w:tcW w:w="515" w:type="pct"/>
                  <w:vMerge w:val="restart"/>
                  <w:tcBorders>
                    <w:top w:val="single" w:color="000000" w:sz="4" w:space="0"/>
                    <w:left w:val="single" w:color="000000" w:sz="4" w:space="0"/>
                    <w:right w:val="single" w:color="000000" w:sz="4" w:space="0"/>
                  </w:tcBorders>
                  <w:vAlign w:val="center"/>
                </w:tcPr>
                <w:p>
                  <w:pPr>
                    <w:adjustRightInd w:val="0"/>
                    <w:snapToGrid w:val="0"/>
                    <w:jc w:val="center"/>
                    <w:rPr>
                      <w:bCs/>
                      <w:szCs w:val="21"/>
                    </w:rPr>
                  </w:pPr>
                  <w:r>
                    <w:rPr>
                      <w:rFonts w:hint="eastAsia"/>
                      <w:bCs/>
                      <w:szCs w:val="21"/>
                    </w:rPr>
                    <w:t>48</w:t>
                  </w: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COD</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400</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0192</w:t>
                  </w:r>
                </w:p>
              </w:tc>
              <w:tc>
                <w:tcPr>
                  <w:tcW w:w="408" w:type="pct"/>
                  <w:vMerge w:val="restart"/>
                  <w:tcBorders>
                    <w:top w:val="single" w:color="000000" w:sz="4" w:space="0"/>
                    <w:left w:val="single" w:color="000000" w:sz="4" w:space="0"/>
                    <w:right w:val="single" w:color="000000" w:sz="4" w:space="0"/>
                  </w:tcBorders>
                  <w:vAlign w:val="center"/>
                </w:tcPr>
                <w:p>
                  <w:pPr>
                    <w:widowControl/>
                    <w:jc w:val="center"/>
                    <w:rPr>
                      <w:szCs w:val="21"/>
                    </w:rPr>
                  </w:pPr>
                  <w:r>
                    <w:rPr>
                      <w:rFonts w:hint="eastAsia"/>
                      <w:szCs w:val="21"/>
                    </w:rPr>
                    <w:t>隔油池</w:t>
                  </w: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400</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0192</w:t>
                  </w:r>
                </w:p>
              </w:tc>
              <w:tc>
                <w:tcPr>
                  <w:tcW w:w="532"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500</w:t>
                  </w:r>
                </w:p>
              </w:tc>
              <w:tc>
                <w:tcPr>
                  <w:tcW w:w="422" w:type="pct"/>
                  <w:vMerge w:val="continue"/>
                  <w:tcBorders>
                    <w:left w:val="single" w:color="000000" w:sz="4" w:space="0"/>
                    <w:right w:val="nil"/>
                  </w:tcBorders>
                  <w:vAlign w:val="center"/>
                </w:tcPr>
                <w:p>
                  <w:pPr>
                    <w:widowControl/>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left w:val="nil"/>
                    <w:right w:val="single" w:color="000000" w:sz="4" w:space="0"/>
                  </w:tcBorders>
                  <w:vAlign w:val="center"/>
                </w:tcPr>
                <w:p>
                  <w:pPr>
                    <w:widowControl/>
                    <w:jc w:val="center"/>
                    <w:rPr>
                      <w:szCs w:val="21"/>
                    </w:rPr>
                  </w:pPr>
                </w:p>
              </w:tc>
              <w:tc>
                <w:tcPr>
                  <w:tcW w:w="515" w:type="pct"/>
                  <w:vMerge w:val="continue"/>
                  <w:tcBorders>
                    <w:left w:val="single" w:color="000000" w:sz="4" w:space="0"/>
                    <w:right w:val="single" w:color="000000" w:sz="4" w:space="0"/>
                  </w:tcBorders>
                  <w:vAlign w:val="center"/>
                </w:tcPr>
                <w:p>
                  <w:pPr>
                    <w:widowControl/>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SS</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300</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0144</w:t>
                  </w:r>
                </w:p>
              </w:tc>
              <w:tc>
                <w:tcPr>
                  <w:tcW w:w="408" w:type="pct"/>
                  <w:vMerge w:val="continue"/>
                  <w:tcBorders>
                    <w:left w:val="single" w:color="000000" w:sz="4" w:space="0"/>
                    <w:right w:val="single" w:color="000000" w:sz="4" w:space="0"/>
                  </w:tcBorders>
                  <w:vAlign w:val="center"/>
                </w:tcPr>
                <w:p>
                  <w:pPr>
                    <w:widowControl/>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300</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0144</w:t>
                  </w:r>
                </w:p>
              </w:tc>
              <w:tc>
                <w:tcPr>
                  <w:tcW w:w="532"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400</w:t>
                  </w:r>
                </w:p>
              </w:tc>
              <w:tc>
                <w:tcPr>
                  <w:tcW w:w="422" w:type="pct"/>
                  <w:vMerge w:val="continue"/>
                  <w:tcBorders>
                    <w:left w:val="single" w:color="000000" w:sz="4" w:space="0"/>
                    <w:right w:val="nil"/>
                  </w:tcBorders>
                  <w:vAlign w:val="center"/>
                </w:tcPr>
                <w:p>
                  <w:pPr>
                    <w:widowControl/>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left w:val="nil"/>
                    <w:right w:val="single" w:color="000000" w:sz="4" w:space="0"/>
                  </w:tcBorders>
                  <w:vAlign w:val="center"/>
                </w:tcPr>
                <w:p>
                  <w:pPr>
                    <w:widowControl/>
                    <w:jc w:val="center"/>
                    <w:rPr>
                      <w:szCs w:val="21"/>
                    </w:rPr>
                  </w:pPr>
                </w:p>
              </w:tc>
              <w:tc>
                <w:tcPr>
                  <w:tcW w:w="515" w:type="pct"/>
                  <w:vMerge w:val="continue"/>
                  <w:tcBorders>
                    <w:left w:val="single" w:color="000000" w:sz="4" w:space="0"/>
                    <w:right w:val="single" w:color="000000" w:sz="4" w:space="0"/>
                  </w:tcBorders>
                  <w:vAlign w:val="center"/>
                </w:tcPr>
                <w:p>
                  <w:pPr>
                    <w:widowControl/>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氨氮</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25</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0</w:t>
                  </w:r>
                  <w:r>
                    <w:t>0</w:t>
                  </w:r>
                  <w:r>
                    <w:rPr>
                      <w:rFonts w:hint="eastAsia"/>
                    </w:rPr>
                    <w:t>12</w:t>
                  </w:r>
                </w:p>
              </w:tc>
              <w:tc>
                <w:tcPr>
                  <w:tcW w:w="408" w:type="pct"/>
                  <w:vMerge w:val="continue"/>
                  <w:tcBorders>
                    <w:left w:val="single" w:color="000000" w:sz="4" w:space="0"/>
                    <w:right w:val="single" w:color="000000" w:sz="4" w:space="0"/>
                  </w:tcBorders>
                  <w:vAlign w:val="center"/>
                </w:tcPr>
                <w:p>
                  <w:pPr>
                    <w:widowControl/>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25</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0</w:t>
                  </w:r>
                  <w:r>
                    <w:t>0</w:t>
                  </w:r>
                  <w:r>
                    <w:rPr>
                      <w:rFonts w:hint="eastAsia"/>
                    </w:rPr>
                    <w:t>12</w:t>
                  </w:r>
                </w:p>
              </w:tc>
              <w:tc>
                <w:tcPr>
                  <w:tcW w:w="532"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45</w:t>
                  </w:r>
                </w:p>
              </w:tc>
              <w:tc>
                <w:tcPr>
                  <w:tcW w:w="422" w:type="pct"/>
                  <w:vMerge w:val="continue"/>
                  <w:tcBorders>
                    <w:left w:val="single" w:color="000000" w:sz="4" w:space="0"/>
                    <w:right w:val="nil"/>
                  </w:tcBorders>
                  <w:vAlign w:val="center"/>
                </w:tcPr>
                <w:p>
                  <w:pPr>
                    <w:widowControl/>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left w:val="nil"/>
                    <w:right w:val="single" w:color="000000" w:sz="4" w:space="0"/>
                  </w:tcBorders>
                  <w:vAlign w:val="center"/>
                </w:tcPr>
                <w:p>
                  <w:pPr>
                    <w:widowControl/>
                    <w:jc w:val="center"/>
                    <w:rPr>
                      <w:szCs w:val="21"/>
                    </w:rPr>
                  </w:pPr>
                </w:p>
              </w:tc>
              <w:tc>
                <w:tcPr>
                  <w:tcW w:w="515" w:type="pct"/>
                  <w:vMerge w:val="continue"/>
                  <w:tcBorders>
                    <w:left w:val="single" w:color="000000" w:sz="4" w:space="0"/>
                    <w:right w:val="single" w:color="000000" w:sz="4" w:space="0"/>
                  </w:tcBorders>
                  <w:vAlign w:val="center"/>
                </w:tcPr>
                <w:p>
                  <w:pPr>
                    <w:widowControl/>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TP</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5</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0.0</w:t>
                  </w:r>
                  <w:r>
                    <w:rPr>
                      <w:rFonts w:hint="eastAsia"/>
                    </w:rPr>
                    <w:t>0024</w:t>
                  </w:r>
                </w:p>
              </w:tc>
              <w:tc>
                <w:tcPr>
                  <w:tcW w:w="408" w:type="pct"/>
                  <w:vMerge w:val="continue"/>
                  <w:tcBorders>
                    <w:left w:val="single" w:color="000000" w:sz="4" w:space="0"/>
                    <w:right w:val="single" w:color="000000" w:sz="4" w:space="0"/>
                  </w:tcBorders>
                  <w:vAlign w:val="center"/>
                </w:tcPr>
                <w:p>
                  <w:pPr>
                    <w:widowControl/>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5</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0.0</w:t>
                  </w:r>
                  <w:r>
                    <w:rPr>
                      <w:rFonts w:hint="eastAsia"/>
                    </w:rPr>
                    <w:t>0024</w:t>
                  </w:r>
                </w:p>
              </w:tc>
              <w:tc>
                <w:tcPr>
                  <w:tcW w:w="532"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8</w:t>
                  </w:r>
                </w:p>
              </w:tc>
              <w:tc>
                <w:tcPr>
                  <w:tcW w:w="422" w:type="pct"/>
                  <w:vMerge w:val="continue"/>
                  <w:tcBorders>
                    <w:left w:val="single" w:color="000000" w:sz="4" w:space="0"/>
                    <w:right w:val="nil"/>
                  </w:tcBorders>
                  <w:vAlign w:val="center"/>
                </w:tcPr>
                <w:p>
                  <w:pPr>
                    <w:widowControl/>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left w:val="nil"/>
                    <w:right w:val="single" w:color="000000" w:sz="4" w:space="0"/>
                  </w:tcBorders>
                  <w:vAlign w:val="center"/>
                </w:tcPr>
                <w:p>
                  <w:pPr>
                    <w:widowControl/>
                    <w:jc w:val="center"/>
                    <w:rPr>
                      <w:szCs w:val="21"/>
                    </w:rPr>
                  </w:pPr>
                </w:p>
              </w:tc>
              <w:tc>
                <w:tcPr>
                  <w:tcW w:w="515" w:type="pct"/>
                  <w:vMerge w:val="continue"/>
                  <w:tcBorders>
                    <w:left w:val="single" w:color="000000" w:sz="4" w:space="0"/>
                    <w:right w:val="single" w:color="000000" w:sz="4" w:space="0"/>
                  </w:tcBorders>
                  <w:vAlign w:val="center"/>
                </w:tcPr>
                <w:p>
                  <w:pPr>
                    <w:widowControl/>
                    <w:jc w:val="center"/>
                    <w:rPr>
                      <w:szCs w:val="21"/>
                    </w:rPr>
                  </w:pPr>
                </w:p>
              </w:tc>
              <w:tc>
                <w:tcPr>
                  <w:tcW w:w="450"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szCs w:val="21"/>
                    </w:rPr>
                  </w:pPr>
                  <w:r>
                    <w:t>TN</w:t>
                  </w:r>
                </w:p>
              </w:tc>
              <w:tc>
                <w:tcPr>
                  <w:tcW w:w="444"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50</w:t>
                  </w:r>
                </w:p>
              </w:tc>
              <w:tc>
                <w:tcPr>
                  <w:tcW w:w="529"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0</w:t>
                  </w:r>
                  <w:r>
                    <w:t>0</w:t>
                  </w:r>
                  <w:r>
                    <w:rPr>
                      <w:rFonts w:hint="eastAsia"/>
                    </w:rPr>
                    <w:t>24</w:t>
                  </w:r>
                </w:p>
              </w:tc>
              <w:tc>
                <w:tcPr>
                  <w:tcW w:w="408" w:type="pct"/>
                  <w:vMerge w:val="continue"/>
                  <w:tcBorders>
                    <w:left w:val="single" w:color="000000" w:sz="4" w:space="0"/>
                    <w:right w:val="single" w:color="000000" w:sz="4" w:space="0"/>
                  </w:tcBorders>
                  <w:vAlign w:val="center"/>
                </w:tcPr>
                <w:p>
                  <w:pPr>
                    <w:widowControl/>
                    <w:jc w:val="center"/>
                    <w:rPr>
                      <w:szCs w:val="21"/>
                    </w:rPr>
                  </w:pPr>
                </w:p>
              </w:tc>
              <w:tc>
                <w:tcPr>
                  <w:tcW w:w="531"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50</w:t>
                  </w:r>
                </w:p>
              </w:tc>
              <w:tc>
                <w:tcPr>
                  <w:tcW w:w="758"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pPr>
                  <w:r>
                    <w:t>0.</w:t>
                  </w:r>
                  <w:r>
                    <w:rPr>
                      <w:rFonts w:hint="eastAsia"/>
                    </w:rPr>
                    <w:t>0</w:t>
                  </w:r>
                  <w:r>
                    <w:t>0</w:t>
                  </w:r>
                  <w:r>
                    <w:rPr>
                      <w:rFonts w:hint="eastAsia"/>
                    </w:rPr>
                    <w:t>24</w:t>
                  </w:r>
                </w:p>
              </w:tc>
              <w:tc>
                <w:tcPr>
                  <w:tcW w:w="532" w:type="pct"/>
                  <w:tcBorders>
                    <w:top w:val="single" w:color="000000" w:sz="4" w:space="0"/>
                    <w:left w:val="single" w:color="000000" w:sz="4" w:space="0"/>
                    <w:bottom w:val="single" w:color="000000" w:sz="4" w:space="0"/>
                    <w:right w:val="single" w:color="000000" w:sz="4" w:space="0"/>
                  </w:tcBorders>
                  <w:vAlign w:val="center"/>
                </w:tcPr>
                <w:p>
                  <w:pPr>
                    <w:adjustRightInd w:val="0"/>
                    <w:snapToGrid w:val="0"/>
                    <w:jc w:val="center"/>
                    <w:rPr>
                      <w:bCs/>
                      <w:szCs w:val="21"/>
                    </w:rPr>
                  </w:pPr>
                  <w:r>
                    <w:rPr>
                      <w:bCs/>
                      <w:szCs w:val="21"/>
                    </w:rPr>
                    <w:t>70</w:t>
                  </w:r>
                </w:p>
              </w:tc>
              <w:tc>
                <w:tcPr>
                  <w:tcW w:w="422" w:type="pct"/>
                  <w:vMerge w:val="continue"/>
                  <w:tcBorders>
                    <w:left w:val="single" w:color="000000" w:sz="4" w:space="0"/>
                    <w:right w:val="nil"/>
                  </w:tcBorders>
                  <w:vAlign w:val="center"/>
                </w:tcPr>
                <w:p>
                  <w:pPr>
                    <w:widowControl/>
                    <w:jc w:val="center"/>
                    <w:rPr>
                      <w:szCs w:val="21"/>
                    </w:rPr>
                  </w:pPr>
                </w:p>
              </w:tc>
            </w:tr>
            <w:tr>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cantSplit/>
                <w:trHeight w:val="340" w:hRule="atLeast"/>
              </w:trPr>
              <w:tc>
                <w:tcPr>
                  <w:tcW w:w="411" w:type="pct"/>
                  <w:vMerge w:val="continue"/>
                  <w:tcBorders>
                    <w:left w:val="nil"/>
                    <w:bottom w:val="single" w:color="000000" w:sz="12" w:space="0"/>
                    <w:right w:val="single" w:color="000000" w:sz="4" w:space="0"/>
                  </w:tcBorders>
                  <w:vAlign w:val="center"/>
                </w:tcPr>
                <w:p>
                  <w:pPr>
                    <w:widowControl/>
                    <w:jc w:val="center"/>
                    <w:rPr>
                      <w:szCs w:val="21"/>
                    </w:rPr>
                  </w:pPr>
                </w:p>
              </w:tc>
              <w:tc>
                <w:tcPr>
                  <w:tcW w:w="515" w:type="pct"/>
                  <w:vMerge w:val="continue"/>
                  <w:tcBorders>
                    <w:left w:val="single" w:color="000000" w:sz="4" w:space="0"/>
                    <w:bottom w:val="single" w:color="000000" w:sz="12" w:space="0"/>
                    <w:right w:val="single" w:color="000000" w:sz="4" w:space="0"/>
                  </w:tcBorders>
                  <w:vAlign w:val="center"/>
                </w:tcPr>
                <w:p>
                  <w:pPr>
                    <w:widowControl/>
                    <w:jc w:val="center"/>
                    <w:rPr>
                      <w:szCs w:val="21"/>
                    </w:rPr>
                  </w:pPr>
                </w:p>
              </w:tc>
              <w:tc>
                <w:tcPr>
                  <w:tcW w:w="450" w:type="pct"/>
                  <w:tcBorders>
                    <w:top w:val="single" w:color="000000" w:sz="4" w:space="0"/>
                    <w:left w:val="single" w:color="000000" w:sz="4" w:space="0"/>
                    <w:bottom w:val="single" w:color="000000" w:sz="12" w:space="0"/>
                    <w:right w:val="single" w:color="000000" w:sz="4" w:space="0"/>
                  </w:tcBorders>
                  <w:vAlign w:val="center"/>
                </w:tcPr>
                <w:p>
                  <w:pPr>
                    <w:adjustRightInd w:val="0"/>
                    <w:snapToGrid w:val="0"/>
                    <w:jc w:val="center"/>
                  </w:pPr>
                  <w:r>
                    <w:rPr>
                      <w:rFonts w:hint="eastAsia"/>
                    </w:rPr>
                    <w:t>动植物油</w:t>
                  </w:r>
                </w:p>
              </w:tc>
              <w:tc>
                <w:tcPr>
                  <w:tcW w:w="444" w:type="pct"/>
                  <w:tcBorders>
                    <w:top w:val="single" w:color="000000" w:sz="4" w:space="0"/>
                    <w:left w:val="single" w:color="000000" w:sz="4" w:space="0"/>
                    <w:bottom w:val="single" w:color="000000" w:sz="12" w:space="0"/>
                    <w:right w:val="single" w:color="000000" w:sz="4" w:space="0"/>
                  </w:tcBorders>
                  <w:vAlign w:val="center"/>
                </w:tcPr>
                <w:p>
                  <w:pPr>
                    <w:adjustRightInd w:val="0"/>
                    <w:snapToGrid w:val="0"/>
                    <w:jc w:val="center"/>
                    <w:rPr>
                      <w:bCs/>
                      <w:szCs w:val="21"/>
                    </w:rPr>
                  </w:pPr>
                  <w:r>
                    <w:rPr>
                      <w:bCs/>
                      <w:szCs w:val="21"/>
                    </w:rPr>
                    <w:t>80</w:t>
                  </w:r>
                </w:p>
              </w:tc>
              <w:tc>
                <w:tcPr>
                  <w:tcW w:w="529" w:type="pct"/>
                  <w:tcBorders>
                    <w:top w:val="single" w:color="000000" w:sz="4" w:space="0"/>
                    <w:left w:val="single" w:color="000000" w:sz="4" w:space="0"/>
                    <w:bottom w:val="single" w:color="000000" w:sz="12" w:space="0"/>
                    <w:right w:val="single" w:color="000000" w:sz="4" w:space="0"/>
                  </w:tcBorders>
                  <w:vAlign w:val="center"/>
                </w:tcPr>
                <w:p>
                  <w:pPr>
                    <w:adjustRightInd w:val="0"/>
                    <w:snapToGrid w:val="0"/>
                    <w:jc w:val="center"/>
                  </w:pPr>
                  <w:r>
                    <w:rPr>
                      <w:rFonts w:hint="eastAsia"/>
                    </w:rPr>
                    <w:t>0.00384</w:t>
                  </w:r>
                </w:p>
              </w:tc>
              <w:tc>
                <w:tcPr>
                  <w:tcW w:w="408" w:type="pct"/>
                  <w:vMerge w:val="continue"/>
                  <w:tcBorders>
                    <w:left w:val="single" w:color="000000" w:sz="4" w:space="0"/>
                    <w:bottom w:val="single" w:color="000000" w:sz="12" w:space="0"/>
                    <w:right w:val="single" w:color="000000" w:sz="4" w:space="0"/>
                  </w:tcBorders>
                  <w:vAlign w:val="center"/>
                </w:tcPr>
                <w:p>
                  <w:pPr>
                    <w:widowControl/>
                    <w:jc w:val="center"/>
                    <w:rPr>
                      <w:szCs w:val="21"/>
                    </w:rPr>
                  </w:pPr>
                </w:p>
              </w:tc>
              <w:tc>
                <w:tcPr>
                  <w:tcW w:w="531" w:type="pct"/>
                  <w:tcBorders>
                    <w:top w:val="single" w:color="000000" w:sz="4" w:space="0"/>
                    <w:left w:val="single" w:color="000000" w:sz="4" w:space="0"/>
                    <w:bottom w:val="single" w:color="000000" w:sz="12" w:space="0"/>
                    <w:right w:val="single" w:color="000000" w:sz="4" w:space="0"/>
                  </w:tcBorders>
                  <w:vAlign w:val="center"/>
                </w:tcPr>
                <w:p>
                  <w:pPr>
                    <w:adjustRightInd w:val="0"/>
                    <w:snapToGrid w:val="0"/>
                    <w:jc w:val="center"/>
                    <w:rPr>
                      <w:bCs/>
                      <w:szCs w:val="21"/>
                    </w:rPr>
                  </w:pPr>
                  <w:r>
                    <w:rPr>
                      <w:bCs/>
                      <w:szCs w:val="21"/>
                    </w:rPr>
                    <w:t>40</w:t>
                  </w:r>
                </w:p>
              </w:tc>
              <w:tc>
                <w:tcPr>
                  <w:tcW w:w="758" w:type="pct"/>
                  <w:tcBorders>
                    <w:top w:val="single" w:color="000000" w:sz="4" w:space="0"/>
                    <w:left w:val="single" w:color="000000" w:sz="4" w:space="0"/>
                    <w:bottom w:val="single" w:color="000000" w:sz="12" w:space="0"/>
                    <w:right w:val="single" w:color="000000" w:sz="4" w:space="0"/>
                  </w:tcBorders>
                  <w:vAlign w:val="center"/>
                </w:tcPr>
                <w:p>
                  <w:pPr>
                    <w:adjustRightInd w:val="0"/>
                    <w:snapToGrid w:val="0"/>
                    <w:jc w:val="center"/>
                  </w:pPr>
                  <w:r>
                    <w:rPr>
                      <w:rFonts w:hint="eastAsia"/>
                    </w:rPr>
                    <w:t>0.00192</w:t>
                  </w:r>
                </w:p>
              </w:tc>
              <w:tc>
                <w:tcPr>
                  <w:tcW w:w="532" w:type="pct"/>
                  <w:tcBorders>
                    <w:top w:val="single" w:color="000000" w:sz="4" w:space="0"/>
                    <w:left w:val="single" w:color="000000" w:sz="4" w:space="0"/>
                    <w:bottom w:val="single" w:color="000000" w:sz="12" w:space="0"/>
                    <w:right w:val="single" w:color="000000" w:sz="4" w:space="0"/>
                  </w:tcBorders>
                  <w:vAlign w:val="center"/>
                </w:tcPr>
                <w:p>
                  <w:pPr>
                    <w:adjustRightInd w:val="0"/>
                    <w:snapToGrid w:val="0"/>
                    <w:jc w:val="center"/>
                    <w:rPr>
                      <w:bCs/>
                      <w:szCs w:val="21"/>
                    </w:rPr>
                  </w:pPr>
                  <w:r>
                    <w:rPr>
                      <w:bCs/>
                      <w:szCs w:val="21"/>
                    </w:rPr>
                    <w:t>100</w:t>
                  </w:r>
                </w:p>
              </w:tc>
              <w:tc>
                <w:tcPr>
                  <w:tcW w:w="422" w:type="pct"/>
                  <w:vMerge w:val="continue"/>
                  <w:tcBorders>
                    <w:left w:val="single" w:color="000000" w:sz="4" w:space="0"/>
                    <w:bottom w:val="single" w:color="000000" w:sz="12" w:space="0"/>
                    <w:right w:val="nil"/>
                  </w:tcBorders>
                  <w:vAlign w:val="center"/>
                </w:tcPr>
                <w:p>
                  <w:pPr>
                    <w:widowControl/>
                    <w:jc w:val="center"/>
                    <w:rPr>
                      <w:szCs w:val="21"/>
                    </w:rPr>
                  </w:pPr>
                </w:p>
              </w:tc>
            </w:tr>
          </w:tbl>
          <w:p>
            <w:pPr>
              <w:spacing w:line="360" w:lineRule="auto"/>
              <w:ind w:firstLine="482" w:firstLineChars="200"/>
              <w:rPr>
                <w:b/>
                <w:bCs/>
                <w:sz w:val="24"/>
              </w:rPr>
            </w:pPr>
            <w:r>
              <w:rPr>
                <w:rFonts w:hint="eastAsia"/>
                <w:b/>
                <w:bCs/>
                <w:sz w:val="24"/>
              </w:rPr>
              <w:t>（2）</w:t>
            </w:r>
            <w:r>
              <w:rPr>
                <w:b/>
                <w:bCs/>
                <w:sz w:val="24"/>
              </w:rPr>
              <w:t>依托污水处理厂的可行性分析</w:t>
            </w:r>
          </w:p>
          <w:p>
            <w:pPr>
              <w:tabs>
                <w:tab w:val="left" w:pos="1014"/>
              </w:tabs>
              <w:spacing w:line="360" w:lineRule="auto"/>
              <w:ind w:firstLine="480" w:firstLineChars="200"/>
              <w:rPr>
                <w:sz w:val="24"/>
              </w:rPr>
            </w:pPr>
            <w:r>
              <w:rPr>
                <w:sz w:val="24"/>
              </w:rPr>
              <w:t>1）防治措施</w:t>
            </w:r>
          </w:p>
          <w:p>
            <w:pPr>
              <w:tabs>
                <w:tab w:val="left" w:pos="1014"/>
              </w:tabs>
              <w:spacing w:line="360" w:lineRule="auto"/>
              <w:ind w:firstLine="480" w:firstLineChars="200"/>
              <w:rPr>
                <w:sz w:val="24"/>
              </w:rPr>
            </w:pPr>
            <w:r>
              <w:rPr>
                <w:sz w:val="24"/>
              </w:rPr>
              <w:t>项目所在区域内已实行</w:t>
            </w:r>
            <w:r>
              <w:rPr>
                <w:rFonts w:hint="eastAsia"/>
                <w:sz w:val="24"/>
              </w:rPr>
              <w:t>“</w:t>
            </w:r>
            <w:r>
              <w:rPr>
                <w:sz w:val="24"/>
              </w:rPr>
              <w:t>雨污分流、清污分流</w:t>
            </w:r>
            <w:r>
              <w:rPr>
                <w:rFonts w:hint="eastAsia"/>
                <w:sz w:val="24"/>
              </w:rPr>
              <w:t>”</w:t>
            </w:r>
            <w:r>
              <w:rPr>
                <w:sz w:val="24"/>
              </w:rPr>
              <w:t>。本项目食堂废水经隔油池处理后与生活污水经污水管网接管至武南污水处理厂集中处理，尾水最终排入武南河。</w:t>
            </w:r>
          </w:p>
          <w:p>
            <w:pPr>
              <w:tabs>
                <w:tab w:val="left" w:pos="1014"/>
              </w:tabs>
              <w:spacing w:line="360" w:lineRule="auto"/>
              <w:ind w:firstLine="480" w:firstLineChars="200"/>
              <w:rPr>
                <w:sz w:val="24"/>
              </w:rPr>
            </w:pPr>
            <w:r>
              <w:rPr>
                <w:sz w:val="24"/>
              </w:rPr>
              <w:t>武南污水处理厂位于武进高新区，占地252亩，总设计规模10万吨/日，一期工程规模4万吨/日，于2009年5月19日正式进水试运。二期扩建及改造工程规模6万吨/日，配套污水管网155公里，于2013年2月开工，目前已调试运行完毕，达标出水。工艺采用选择厌氧池+Carrousel氧化沟+二沉池+高密度澄清池+V型滤池工艺+ClO</w:t>
            </w:r>
            <w:r>
              <w:rPr>
                <w:sz w:val="24"/>
                <w:vertAlign w:val="subscript"/>
              </w:rPr>
              <w:t>2</w:t>
            </w:r>
            <w:r>
              <w:rPr>
                <w:sz w:val="24"/>
              </w:rPr>
              <w:t>消毒，出水执行GB8918-2002一级A标准。为进一步降解尾水氮磷等污染物，污水处理厂在尾水排放口建造生态湿地，目前生态湿地面积约6.6公顷，其中水域面积约为2.8公顷，总长1.2千米。生态湿地的建成运行，年削减COD、氨氮、总氮和总磷污染物分别为365吨、29.2吨、109吨和4.38吨，湿地排水每天为武南河补水景观绿化用水约4万立方米。经调查，市政污水管网已覆盖项目所在区域，故就污水管网建设来看，本项目污水具备纳入城市污水管网的条件。</w:t>
            </w:r>
          </w:p>
          <w:p>
            <w:pPr>
              <w:tabs>
                <w:tab w:val="left" w:pos="1014"/>
              </w:tabs>
              <w:spacing w:line="360" w:lineRule="auto"/>
              <w:jc w:val="center"/>
              <w:rPr>
                <w:b/>
                <w:bCs/>
                <w:sz w:val="24"/>
              </w:rPr>
            </w:pPr>
            <w:r>
              <w:drawing>
                <wp:inline distT="0" distB="0" distL="0" distR="0">
                  <wp:extent cx="5348605" cy="2230755"/>
                  <wp:effectExtent l="19050" t="0" r="4158" b="0"/>
                  <wp:docPr id="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8"/>
                          <pic:cNvPicPr>
                            <a:picLocks noChangeAspect="1" noChangeArrowheads="1"/>
                          </pic:cNvPicPr>
                        </pic:nvPicPr>
                        <pic:blipFill>
                          <a:blip r:embed="rId15" cstate="print"/>
                          <a:srcRect/>
                          <a:stretch>
                            <a:fillRect/>
                          </a:stretch>
                        </pic:blipFill>
                        <pic:spPr>
                          <a:xfrm>
                            <a:off x="0" y="0"/>
                            <a:ext cx="5352115" cy="2232480"/>
                          </a:xfrm>
                          <a:prstGeom prst="rect">
                            <a:avLst/>
                          </a:prstGeom>
                          <a:noFill/>
                          <a:ln w="9525">
                            <a:noFill/>
                            <a:miter lim="800000"/>
                            <a:headEnd/>
                            <a:tailEnd/>
                          </a:ln>
                        </pic:spPr>
                      </pic:pic>
                    </a:graphicData>
                  </a:graphic>
                </wp:inline>
              </w:drawing>
            </w:r>
            <w:r>
              <w:rPr>
                <w:b/>
                <w:bCs/>
                <w:sz w:val="24"/>
              </w:rPr>
              <w:t>图4-2  武南污水处理厂处理工艺流程</w:t>
            </w:r>
          </w:p>
          <w:p>
            <w:pPr>
              <w:tabs>
                <w:tab w:val="left" w:pos="1014"/>
              </w:tabs>
              <w:spacing w:line="360" w:lineRule="auto"/>
              <w:ind w:firstLine="480" w:firstLineChars="200"/>
              <w:rPr>
                <w:sz w:val="24"/>
              </w:rPr>
            </w:pPr>
            <w:r>
              <w:rPr>
                <w:sz w:val="24"/>
              </w:rPr>
              <w:t>2）排放情况</w:t>
            </w:r>
          </w:p>
          <w:p>
            <w:pPr>
              <w:tabs>
                <w:tab w:val="left" w:pos="1014"/>
              </w:tabs>
              <w:spacing w:line="360" w:lineRule="auto"/>
              <w:ind w:firstLine="480" w:firstLineChars="200"/>
              <w:rPr>
                <w:sz w:val="24"/>
              </w:rPr>
            </w:pPr>
            <w:r>
              <w:rPr>
                <w:sz w:val="24"/>
              </w:rPr>
              <w:t>废水排放去向：室内排水采用清、污分流制，室外排水采用雨、污分流制。食堂废水经隔油池处理后与员工生活污水经市政污水管网，由武南污水处理厂集中处理达标后排放，排放量为</w:t>
            </w:r>
            <w:r>
              <w:rPr>
                <w:rFonts w:hint="eastAsia"/>
                <w:sz w:val="24"/>
              </w:rPr>
              <w:t>528</w:t>
            </w:r>
            <w:r>
              <w:rPr>
                <w:sz w:val="24"/>
              </w:rPr>
              <w:t>m</w:t>
            </w:r>
            <w:r>
              <w:rPr>
                <w:sz w:val="24"/>
                <w:vertAlign w:val="superscript"/>
              </w:rPr>
              <w:t>3</w:t>
            </w:r>
            <w:r>
              <w:rPr>
                <w:sz w:val="24"/>
              </w:rPr>
              <w:t>/a；屋面雨水有组织排放到地面雨水井后，与地面雨水（由地面雨水口收集）一起汇入室外雨水管道系统，排入市政雨水管网。</w:t>
            </w:r>
          </w:p>
          <w:p>
            <w:pPr>
              <w:tabs>
                <w:tab w:val="left" w:pos="1014"/>
              </w:tabs>
              <w:spacing w:line="360" w:lineRule="auto"/>
              <w:ind w:firstLine="480" w:firstLineChars="200"/>
              <w:rPr>
                <w:sz w:val="24"/>
              </w:rPr>
            </w:pPr>
            <w:r>
              <w:rPr>
                <w:sz w:val="24"/>
              </w:rPr>
              <w:t>3）污水接管可行性分析</w:t>
            </w:r>
          </w:p>
          <w:p>
            <w:pPr>
              <w:spacing w:line="360" w:lineRule="auto"/>
              <w:ind w:firstLine="480" w:firstLineChars="200"/>
              <w:rPr>
                <w:bCs/>
                <w:sz w:val="24"/>
              </w:rPr>
            </w:pPr>
            <w:r>
              <w:rPr>
                <w:rFonts w:hint="eastAsia"/>
                <w:bCs/>
                <w:sz w:val="24"/>
              </w:rPr>
              <w:t>本项目</w:t>
            </w:r>
            <w:r>
              <w:rPr>
                <w:bCs/>
                <w:sz w:val="24"/>
              </w:rPr>
              <w:t>生活污水依托</w:t>
            </w:r>
            <w:r>
              <w:rPr>
                <w:rFonts w:hint="eastAsia" w:ascii="宋体" w:hAnsi="宋体" w:cs="宋体"/>
                <w:bCs/>
                <w:sz w:val="24"/>
              </w:rPr>
              <w:t>常州市武进新谊色织有限公司</w:t>
            </w:r>
            <w:r>
              <w:rPr>
                <w:bCs/>
                <w:sz w:val="24"/>
              </w:rPr>
              <w:t>管道接管至</w:t>
            </w:r>
            <w:r>
              <w:rPr>
                <w:rFonts w:hint="eastAsia"/>
                <w:bCs/>
                <w:sz w:val="24"/>
              </w:rPr>
              <w:t>武南</w:t>
            </w:r>
            <w:r>
              <w:rPr>
                <w:bCs/>
                <w:sz w:val="24"/>
              </w:rPr>
              <w:t>污水处理厂集中处理</w:t>
            </w:r>
            <w:r>
              <w:rPr>
                <w:rFonts w:hint="eastAsia"/>
                <w:bCs/>
                <w:sz w:val="24"/>
              </w:rPr>
              <w:t>，根据租赁方提供的《城镇污水排人排水管网许可证》，</w:t>
            </w:r>
            <w:r>
              <w:rPr>
                <w:bCs/>
                <w:sz w:val="24"/>
              </w:rPr>
              <w:t>本项目周边污水管网已铺设到位</w:t>
            </w:r>
            <w:r>
              <w:rPr>
                <w:rFonts w:hint="eastAsia"/>
                <w:bCs/>
                <w:sz w:val="24"/>
              </w:rPr>
              <w:t>，满足接管条件</w:t>
            </w:r>
            <w:r>
              <w:rPr>
                <w:rFonts w:hint="eastAsia"/>
                <w:bCs/>
                <w:color w:val="0000FF"/>
                <w:sz w:val="24"/>
              </w:rPr>
              <w:t>。</w:t>
            </w:r>
            <w:r>
              <w:rPr>
                <w:sz w:val="24"/>
              </w:rPr>
              <w:t>综上所述，本项目废水接管至武南污水处理厂处理是可行的。</w:t>
            </w:r>
          </w:p>
          <w:p>
            <w:pPr>
              <w:tabs>
                <w:tab w:val="left" w:pos="1014"/>
              </w:tabs>
              <w:spacing w:line="360" w:lineRule="auto"/>
              <w:ind w:firstLine="482" w:firstLineChars="200"/>
              <w:rPr>
                <w:b/>
                <w:bCs/>
                <w:sz w:val="24"/>
              </w:rPr>
            </w:pPr>
            <w:r>
              <w:rPr>
                <w:rFonts w:hint="eastAsia"/>
                <w:b/>
                <w:bCs/>
                <w:sz w:val="24"/>
              </w:rPr>
              <w:t>（3）</w:t>
            </w:r>
            <w:r>
              <w:rPr>
                <w:b/>
                <w:bCs/>
                <w:sz w:val="24"/>
              </w:rPr>
              <w:t>地表水环境影响分析</w:t>
            </w:r>
          </w:p>
          <w:p>
            <w:pPr>
              <w:pStyle w:val="5"/>
              <w:spacing w:line="360" w:lineRule="auto"/>
              <w:ind w:firstLine="480" w:firstLineChars="200"/>
              <w:jc w:val="left"/>
              <w:rPr>
                <w:sz w:val="24"/>
              </w:rPr>
            </w:pPr>
            <w:r>
              <w:rPr>
                <w:sz w:val="24"/>
              </w:rPr>
              <w:t>项目厂区排水实施</w:t>
            </w:r>
            <w:r>
              <w:rPr>
                <w:rFonts w:hint="eastAsia"/>
                <w:sz w:val="24"/>
              </w:rPr>
              <w:t>“</w:t>
            </w:r>
            <w:r>
              <w:rPr>
                <w:sz w:val="24"/>
              </w:rPr>
              <w:t>雨污分流</w:t>
            </w:r>
            <w:r>
              <w:rPr>
                <w:rFonts w:hint="eastAsia"/>
                <w:sz w:val="24"/>
              </w:rPr>
              <w:t>”</w:t>
            </w:r>
            <w:r>
              <w:rPr>
                <w:sz w:val="24"/>
              </w:rPr>
              <w:t>，雨水经雨水管网收集后排入附近水体。</w:t>
            </w:r>
          </w:p>
          <w:p>
            <w:pPr>
              <w:pStyle w:val="5"/>
              <w:spacing w:line="360" w:lineRule="auto"/>
              <w:ind w:firstLine="480" w:firstLineChars="200"/>
              <w:jc w:val="left"/>
              <w:rPr>
                <w:rFonts w:ascii="Times New Roman" w:hAnsi="Times New Roman"/>
                <w:sz w:val="24"/>
              </w:rPr>
            </w:pPr>
            <w:r>
              <w:rPr>
                <w:rFonts w:ascii="Times New Roman"/>
                <w:sz w:val="24"/>
              </w:rPr>
              <w:t>本项目生活污水接管量</w:t>
            </w:r>
            <w:r>
              <w:rPr>
                <w:rFonts w:hint="eastAsia" w:ascii="Times New Roman" w:hAnsi="Times New Roman"/>
                <w:sz w:val="24"/>
              </w:rPr>
              <w:t>48</w:t>
            </w:r>
            <w:r>
              <w:rPr>
                <w:rFonts w:ascii="Times New Roman" w:hAnsi="Times New Roman"/>
                <w:sz w:val="24"/>
              </w:rPr>
              <w:t>0t/a</w:t>
            </w:r>
            <w:r>
              <w:rPr>
                <w:rFonts w:ascii="Times New Roman"/>
                <w:sz w:val="24"/>
              </w:rPr>
              <w:t>，其中</w:t>
            </w:r>
            <w:r>
              <w:rPr>
                <w:rFonts w:ascii="Times New Roman" w:hAnsi="Times New Roman"/>
                <w:sz w:val="24"/>
              </w:rPr>
              <w:t>COD</w:t>
            </w:r>
            <w:r>
              <w:rPr>
                <w:rFonts w:ascii="Times New Roman"/>
                <w:sz w:val="24"/>
              </w:rPr>
              <w:t>、</w:t>
            </w:r>
            <w:r>
              <w:rPr>
                <w:rFonts w:ascii="Times New Roman" w:hAnsi="Times New Roman"/>
                <w:sz w:val="24"/>
              </w:rPr>
              <w:t>SS</w:t>
            </w:r>
            <w:r>
              <w:rPr>
                <w:rFonts w:ascii="Times New Roman"/>
                <w:sz w:val="24"/>
              </w:rPr>
              <w:t>、氨氮、</w:t>
            </w:r>
            <w:r>
              <w:rPr>
                <w:rFonts w:ascii="Times New Roman" w:hAnsi="Times New Roman"/>
                <w:sz w:val="24"/>
              </w:rPr>
              <w:t>TP</w:t>
            </w:r>
            <w:r>
              <w:rPr>
                <w:rFonts w:ascii="Times New Roman"/>
                <w:sz w:val="24"/>
              </w:rPr>
              <w:t>、</w:t>
            </w:r>
            <w:r>
              <w:rPr>
                <w:rFonts w:ascii="Times New Roman" w:hAnsi="Times New Roman"/>
                <w:sz w:val="24"/>
              </w:rPr>
              <w:t>TN</w:t>
            </w:r>
            <w:r>
              <w:rPr>
                <w:rFonts w:ascii="Times New Roman"/>
                <w:sz w:val="24"/>
              </w:rPr>
              <w:t>的产生浓度分别为</w:t>
            </w:r>
            <w:r>
              <w:rPr>
                <w:rFonts w:ascii="Times New Roman" w:hAnsi="Times New Roman"/>
                <w:sz w:val="24"/>
              </w:rPr>
              <w:t>400mg/L</w:t>
            </w:r>
            <w:r>
              <w:rPr>
                <w:rFonts w:ascii="Times New Roman"/>
                <w:sz w:val="24"/>
              </w:rPr>
              <w:t>、</w:t>
            </w:r>
            <w:r>
              <w:rPr>
                <w:rFonts w:ascii="Times New Roman" w:hAnsi="Times New Roman"/>
                <w:sz w:val="24"/>
              </w:rPr>
              <w:t>300mg/L</w:t>
            </w:r>
            <w:r>
              <w:rPr>
                <w:rFonts w:ascii="Times New Roman"/>
                <w:sz w:val="24"/>
              </w:rPr>
              <w:t>、</w:t>
            </w:r>
            <w:r>
              <w:rPr>
                <w:rFonts w:ascii="Times New Roman" w:hAnsi="Times New Roman"/>
                <w:sz w:val="24"/>
              </w:rPr>
              <w:t>25mg/L</w:t>
            </w:r>
            <w:r>
              <w:rPr>
                <w:rFonts w:ascii="Times New Roman"/>
                <w:sz w:val="24"/>
              </w:rPr>
              <w:t>、</w:t>
            </w:r>
            <w:r>
              <w:rPr>
                <w:rFonts w:ascii="Times New Roman" w:hAnsi="Times New Roman"/>
                <w:sz w:val="24"/>
              </w:rPr>
              <w:t>5mg/L</w:t>
            </w:r>
            <w:r>
              <w:rPr>
                <w:rFonts w:ascii="Times New Roman"/>
                <w:sz w:val="24"/>
              </w:rPr>
              <w:t>、</w:t>
            </w:r>
            <w:r>
              <w:rPr>
                <w:rFonts w:ascii="Times New Roman" w:hAnsi="Times New Roman"/>
                <w:sz w:val="24"/>
              </w:rPr>
              <w:t>50mg/L</w:t>
            </w:r>
            <w:r>
              <w:rPr>
                <w:rFonts w:ascii="Times New Roman"/>
                <w:sz w:val="24"/>
              </w:rPr>
              <w:t>，</w:t>
            </w:r>
            <w:r>
              <w:rPr>
                <w:rFonts w:ascii="Times New Roman" w:hAnsi="Times New Roman"/>
                <w:sz w:val="24"/>
              </w:rPr>
              <w:t>COD</w:t>
            </w:r>
            <w:r>
              <w:rPr>
                <w:rFonts w:ascii="Times New Roman"/>
                <w:sz w:val="24"/>
              </w:rPr>
              <w:t>、</w:t>
            </w:r>
            <w:r>
              <w:rPr>
                <w:rFonts w:ascii="Times New Roman" w:hAnsi="Times New Roman"/>
                <w:sz w:val="24"/>
              </w:rPr>
              <w:t>SS</w:t>
            </w:r>
            <w:r>
              <w:rPr>
                <w:rFonts w:ascii="Times New Roman"/>
                <w:sz w:val="24"/>
              </w:rPr>
              <w:t>、氨氮、</w:t>
            </w:r>
            <w:r>
              <w:rPr>
                <w:rFonts w:ascii="Times New Roman" w:hAnsi="Times New Roman"/>
                <w:sz w:val="24"/>
              </w:rPr>
              <w:t>TP</w:t>
            </w:r>
            <w:r>
              <w:rPr>
                <w:rFonts w:ascii="Times New Roman"/>
                <w:sz w:val="24"/>
              </w:rPr>
              <w:t>、</w:t>
            </w:r>
            <w:r>
              <w:rPr>
                <w:rFonts w:ascii="Times New Roman" w:hAnsi="Times New Roman"/>
                <w:sz w:val="24"/>
              </w:rPr>
              <w:t>TN</w:t>
            </w:r>
            <w:r>
              <w:rPr>
                <w:rFonts w:ascii="Times New Roman"/>
                <w:sz w:val="24"/>
              </w:rPr>
              <w:t>排放量分别为</w:t>
            </w:r>
            <w:r>
              <w:rPr>
                <w:rFonts w:ascii="Times New Roman" w:hAnsi="Times New Roman"/>
                <w:sz w:val="24"/>
              </w:rPr>
              <w:t>0.</w:t>
            </w:r>
            <w:r>
              <w:rPr>
                <w:rFonts w:hint="eastAsia" w:ascii="Times New Roman" w:hAnsi="Times New Roman"/>
                <w:sz w:val="24"/>
              </w:rPr>
              <w:t>192</w:t>
            </w:r>
            <w:r>
              <w:rPr>
                <w:rFonts w:ascii="Times New Roman" w:hAnsi="Times New Roman"/>
                <w:sz w:val="24"/>
              </w:rPr>
              <w:t>t/a</w:t>
            </w:r>
            <w:r>
              <w:rPr>
                <w:rFonts w:ascii="Times New Roman"/>
                <w:sz w:val="24"/>
              </w:rPr>
              <w:t>、</w:t>
            </w:r>
            <w:r>
              <w:rPr>
                <w:rFonts w:ascii="Times New Roman" w:hAnsi="Times New Roman"/>
                <w:sz w:val="24"/>
              </w:rPr>
              <w:t>0.</w:t>
            </w:r>
            <w:r>
              <w:rPr>
                <w:rFonts w:hint="eastAsia" w:ascii="Times New Roman" w:hAnsi="Times New Roman"/>
                <w:sz w:val="24"/>
              </w:rPr>
              <w:t>144</w:t>
            </w:r>
            <w:r>
              <w:rPr>
                <w:rFonts w:ascii="Times New Roman" w:hAnsi="Times New Roman"/>
                <w:sz w:val="24"/>
              </w:rPr>
              <w:t>t/a</w:t>
            </w:r>
            <w:r>
              <w:rPr>
                <w:rFonts w:ascii="Times New Roman"/>
                <w:sz w:val="24"/>
              </w:rPr>
              <w:t>、</w:t>
            </w:r>
            <w:r>
              <w:rPr>
                <w:rFonts w:ascii="Times New Roman" w:hAnsi="Times New Roman"/>
                <w:sz w:val="24"/>
              </w:rPr>
              <w:t>0.0</w:t>
            </w:r>
            <w:r>
              <w:rPr>
                <w:rFonts w:hint="eastAsia" w:ascii="Times New Roman" w:hAnsi="Times New Roman"/>
                <w:sz w:val="24"/>
              </w:rPr>
              <w:t>12</w:t>
            </w:r>
            <w:r>
              <w:rPr>
                <w:rFonts w:ascii="Times New Roman" w:hAnsi="Times New Roman"/>
                <w:sz w:val="24"/>
              </w:rPr>
              <w:t>t/a</w:t>
            </w:r>
            <w:r>
              <w:rPr>
                <w:rFonts w:ascii="Times New Roman"/>
                <w:sz w:val="24"/>
              </w:rPr>
              <w:t>、</w:t>
            </w:r>
            <w:r>
              <w:rPr>
                <w:rFonts w:ascii="Times New Roman" w:hAnsi="Times New Roman"/>
                <w:sz w:val="24"/>
              </w:rPr>
              <w:t>0.00</w:t>
            </w:r>
            <w:r>
              <w:rPr>
                <w:rFonts w:hint="eastAsia" w:ascii="Times New Roman" w:hAnsi="Times New Roman"/>
                <w:sz w:val="24"/>
              </w:rPr>
              <w:t>2</w:t>
            </w:r>
            <w:r>
              <w:rPr>
                <w:rFonts w:ascii="Times New Roman" w:hAnsi="Times New Roman"/>
                <w:sz w:val="24"/>
              </w:rPr>
              <w:t>4t/a</w:t>
            </w:r>
            <w:r>
              <w:rPr>
                <w:rFonts w:ascii="Times New Roman"/>
                <w:sz w:val="24"/>
              </w:rPr>
              <w:t>、</w:t>
            </w:r>
            <w:r>
              <w:rPr>
                <w:rFonts w:ascii="Times New Roman" w:hAnsi="Times New Roman"/>
                <w:sz w:val="24"/>
              </w:rPr>
              <w:t>0.0</w:t>
            </w:r>
            <w:r>
              <w:rPr>
                <w:rFonts w:hint="eastAsia" w:ascii="Times New Roman" w:hAnsi="Times New Roman"/>
                <w:sz w:val="24"/>
              </w:rPr>
              <w:t>2</w:t>
            </w:r>
            <w:r>
              <w:rPr>
                <w:rFonts w:ascii="Times New Roman" w:hAnsi="Times New Roman"/>
                <w:sz w:val="24"/>
              </w:rPr>
              <w:t>4t/a</w:t>
            </w:r>
            <w:r>
              <w:rPr>
                <w:rFonts w:ascii="Times New Roman"/>
                <w:sz w:val="24"/>
              </w:rPr>
              <w:t>。食堂废水接管量</w:t>
            </w:r>
            <w:r>
              <w:rPr>
                <w:rFonts w:hint="eastAsia" w:ascii="Times New Roman" w:hAnsi="Times New Roman"/>
                <w:sz w:val="24"/>
              </w:rPr>
              <w:t>4</w:t>
            </w:r>
            <w:r>
              <w:rPr>
                <w:rFonts w:ascii="Times New Roman" w:hAnsi="Times New Roman"/>
                <w:sz w:val="24"/>
              </w:rPr>
              <w:t>8t/a</w:t>
            </w:r>
            <w:r>
              <w:rPr>
                <w:rFonts w:ascii="Times New Roman"/>
                <w:sz w:val="24"/>
              </w:rPr>
              <w:t>，其中</w:t>
            </w:r>
            <w:r>
              <w:rPr>
                <w:rFonts w:ascii="Times New Roman" w:hAnsi="Times New Roman"/>
                <w:sz w:val="24"/>
              </w:rPr>
              <w:t>COD</w:t>
            </w:r>
            <w:r>
              <w:rPr>
                <w:rFonts w:ascii="Times New Roman"/>
                <w:sz w:val="24"/>
              </w:rPr>
              <w:t>、</w:t>
            </w:r>
            <w:r>
              <w:rPr>
                <w:rFonts w:ascii="Times New Roman" w:hAnsi="Times New Roman"/>
                <w:sz w:val="24"/>
              </w:rPr>
              <w:t>SS</w:t>
            </w:r>
            <w:r>
              <w:rPr>
                <w:rFonts w:ascii="Times New Roman"/>
                <w:sz w:val="24"/>
              </w:rPr>
              <w:t>、氨氮、</w:t>
            </w:r>
            <w:r>
              <w:rPr>
                <w:rFonts w:ascii="Times New Roman" w:hAnsi="Times New Roman"/>
                <w:sz w:val="24"/>
              </w:rPr>
              <w:t>TP</w:t>
            </w:r>
            <w:r>
              <w:rPr>
                <w:rFonts w:ascii="Times New Roman"/>
                <w:sz w:val="24"/>
              </w:rPr>
              <w:t>、</w:t>
            </w:r>
            <w:r>
              <w:rPr>
                <w:rFonts w:ascii="Times New Roman" w:hAnsi="Times New Roman"/>
                <w:sz w:val="24"/>
              </w:rPr>
              <w:t>TN</w:t>
            </w:r>
            <w:r>
              <w:rPr>
                <w:rFonts w:ascii="Times New Roman"/>
                <w:sz w:val="24"/>
              </w:rPr>
              <w:t>、动植物油的产生浓度分别为</w:t>
            </w:r>
            <w:r>
              <w:rPr>
                <w:rFonts w:ascii="Times New Roman" w:hAnsi="Times New Roman"/>
                <w:sz w:val="24"/>
              </w:rPr>
              <w:t>400mg/L</w:t>
            </w:r>
            <w:r>
              <w:rPr>
                <w:rFonts w:ascii="Times New Roman"/>
                <w:sz w:val="24"/>
              </w:rPr>
              <w:t>、</w:t>
            </w:r>
            <w:r>
              <w:rPr>
                <w:rFonts w:ascii="Times New Roman" w:hAnsi="Times New Roman"/>
                <w:sz w:val="24"/>
              </w:rPr>
              <w:t>300mg/L</w:t>
            </w:r>
            <w:r>
              <w:rPr>
                <w:rFonts w:ascii="Times New Roman"/>
                <w:sz w:val="24"/>
              </w:rPr>
              <w:t>、</w:t>
            </w:r>
            <w:r>
              <w:rPr>
                <w:rFonts w:ascii="Times New Roman" w:hAnsi="Times New Roman"/>
                <w:sz w:val="24"/>
              </w:rPr>
              <w:t>25mg/L</w:t>
            </w:r>
            <w:r>
              <w:rPr>
                <w:rFonts w:ascii="Times New Roman"/>
                <w:sz w:val="24"/>
              </w:rPr>
              <w:t>、</w:t>
            </w:r>
            <w:r>
              <w:rPr>
                <w:rFonts w:ascii="Times New Roman" w:hAnsi="Times New Roman"/>
                <w:sz w:val="24"/>
              </w:rPr>
              <w:t>5mg/L</w:t>
            </w:r>
            <w:r>
              <w:rPr>
                <w:rFonts w:ascii="Times New Roman"/>
                <w:sz w:val="24"/>
              </w:rPr>
              <w:t>、</w:t>
            </w:r>
            <w:r>
              <w:rPr>
                <w:rFonts w:ascii="Times New Roman" w:hAnsi="Times New Roman"/>
                <w:sz w:val="24"/>
              </w:rPr>
              <w:t>50mg/L</w:t>
            </w:r>
            <w:r>
              <w:rPr>
                <w:rFonts w:ascii="Times New Roman"/>
                <w:sz w:val="24"/>
              </w:rPr>
              <w:t>，</w:t>
            </w:r>
            <w:r>
              <w:rPr>
                <w:rFonts w:ascii="Times New Roman" w:hAnsi="Times New Roman"/>
                <w:sz w:val="24"/>
              </w:rPr>
              <w:t>COD</w:t>
            </w:r>
            <w:r>
              <w:rPr>
                <w:rFonts w:ascii="Times New Roman"/>
                <w:sz w:val="24"/>
              </w:rPr>
              <w:t>、</w:t>
            </w:r>
            <w:r>
              <w:rPr>
                <w:rFonts w:ascii="Times New Roman" w:hAnsi="Times New Roman"/>
                <w:sz w:val="24"/>
              </w:rPr>
              <w:t>SS</w:t>
            </w:r>
            <w:r>
              <w:rPr>
                <w:rFonts w:ascii="Times New Roman"/>
                <w:sz w:val="24"/>
              </w:rPr>
              <w:t>、氨氮、</w:t>
            </w:r>
            <w:r>
              <w:rPr>
                <w:rFonts w:ascii="Times New Roman" w:hAnsi="Times New Roman"/>
                <w:sz w:val="24"/>
              </w:rPr>
              <w:t>TP</w:t>
            </w:r>
            <w:r>
              <w:rPr>
                <w:rFonts w:ascii="Times New Roman"/>
                <w:sz w:val="24"/>
              </w:rPr>
              <w:t>、</w:t>
            </w:r>
            <w:r>
              <w:rPr>
                <w:rFonts w:ascii="Times New Roman" w:hAnsi="Times New Roman"/>
                <w:sz w:val="24"/>
              </w:rPr>
              <w:t>TN</w:t>
            </w:r>
            <w:r>
              <w:rPr>
                <w:rFonts w:ascii="Times New Roman"/>
                <w:sz w:val="24"/>
              </w:rPr>
              <w:t>、动植物油排放量分别为</w:t>
            </w:r>
            <w:r>
              <w:rPr>
                <w:rFonts w:ascii="Times New Roman" w:hAnsi="Times New Roman"/>
                <w:sz w:val="24"/>
              </w:rPr>
              <w:t>0.</w:t>
            </w:r>
            <w:r>
              <w:rPr>
                <w:rFonts w:hint="eastAsia" w:ascii="Times New Roman" w:hAnsi="Times New Roman"/>
                <w:sz w:val="24"/>
              </w:rPr>
              <w:t>0192</w:t>
            </w:r>
            <w:r>
              <w:rPr>
                <w:rFonts w:ascii="Times New Roman" w:hAnsi="Times New Roman"/>
                <w:sz w:val="24"/>
              </w:rPr>
              <w:t>t/a</w:t>
            </w:r>
            <w:r>
              <w:rPr>
                <w:rFonts w:ascii="Times New Roman"/>
                <w:sz w:val="24"/>
              </w:rPr>
              <w:t>、</w:t>
            </w:r>
            <w:r>
              <w:rPr>
                <w:rFonts w:ascii="Times New Roman" w:hAnsi="Times New Roman"/>
                <w:sz w:val="24"/>
              </w:rPr>
              <w:t>0.</w:t>
            </w:r>
            <w:r>
              <w:rPr>
                <w:rFonts w:hint="eastAsia" w:ascii="Times New Roman" w:hAnsi="Times New Roman"/>
                <w:sz w:val="24"/>
              </w:rPr>
              <w:t>0144</w:t>
            </w:r>
            <w:r>
              <w:rPr>
                <w:rFonts w:ascii="Times New Roman" w:hAnsi="Times New Roman"/>
                <w:sz w:val="24"/>
              </w:rPr>
              <w:t>t/a</w:t>
            </w:r>
            <w:r>
              <w:rPr>
                <w:rFonts w:ascii="Times New Roman"/>
                <w:sz w:val="24"/>
              </w:rPr>
              <w:t>、</w:t>
            </w:r>
            <w:r>
              <w:rPr>
                <w:rFonts w:ascii="Times New Roman" w:hAnsi="Times New Roman"/>
                <w:sz w:val="24"/>
              </w:rPr>
              <w:t>0.0</w:t>
            </w:r>
            <w:r>
              <w:rPr>
                <w:rFonts w:hint="eastAsia" w:ascii="Times New Roman" w:hAnsi="Times New Roman"/>
                <w:sz w:val="24"/>
              </w:rPr>
              <w:t>012</w:t>
            </w:r>
            <w:r>
              <w:rPr>
                <w:rFonts w:ascii="Times New Roman" w:hAnsi="Times New Roman"/>
                <w:sz w:val="24"/>
              </w:rPr>
              <w:t>t/a</w:t>
            </w:r>
            <w:r>
              <w:rPr>
                <w:rFonts w:ascii="Times New Roman"/>
                <w:sz w:val="24"/>
              </w:rPr>
              <w:t>、</w:t>
            </w:r>
            <w:r>
              <w:rPr>
                <w:rFonts w:ascii="Times New Roman" w:hAnsi="Times New Roman"/>
                <w:sz w:val="24"/>
              </w:rPr>
              <w:t>0.0</w:t>
            </w:r>
            <w:r>
              <w:rPr>
                <w:rFonts w:hint="eastAsia" w:ascii="Times New Roman" w:hAnsi="Times New Roman"/>
                <w:sz w:val="24"/>
              </w:rPr>
              <w:t>0</w:t>
            </w:r>
            <w:r>
              <w:rPr>
                <w:rFonts w:ascii="Times New Roman" w:hAnsi="Times New Roman"/>
                <w:sz w:val="24"/>
              </w:rPr>
              <w:t>0</w:t>
            </w:r>
            <w:r>
              <w:rPr>
                <w:rFonts w:hint="eastAsia" w:ascii="Times New Roman" w:hAnsi="Times New Roman"/>
                <w:sz w:val="24"/>
              </w:rPr>
              <w:t>2</w:t>
            </w:r>
            <w:r>
              <w:rPr>
                <w:rFonts w:ascii="Times New Roman" w:hAnsi="Times New Roman"/>
                <w:sz w:val="24"/>
              </w:rPr>
              <w:t>4t/a</w:t>
            </w:r>
            <w:r>
              <w:rPr>
                <w:rFonts w:ascii="Times New Roman"/>
                <w:sz w:val="24"/>
              </w:rPr>
              <w:t>、</w:t>
            </w:r>
            <w:r>
              <w:rPr>
                <w:rFonts w:ascii="Times New Roman" w:hAnsi="Times New Roman"/>
                <w:sz w:val="24"/>
              </w:rPr>
              <w:t>0.</w:t>
            </w:r>
            <w:r>
              <w:rPr>
                <w:rFonts w:hint="eastAsia" w:ascii="Times New Roman" w:hAnsi="Times New Roman"/>
                <w:sz w:val="24"/>
              </w:rPr>
              <w:t>0</w:t>
            </w:r>
            <w:r>
              <w:rPr>
                <w:rFonts w:ascii="Times New Roman" w:hAnsi="Times New Roman"/>
                <w:sz w:val="24"/>
              </w:rPr>
              <w:t>0</w:t>
            </w:r>
            <w:r>
              <w:rPr>
                <w:rFonts w:hint="eastAsia" w:ascii="Times New Roman" w:hAnsi="Times New Roman"/>
                <w:sz w:val="24"/>
              </w:rPr>
              <w:t>2</w:t>
            </w:r>
            <w:r>
              <w:rPr>
                <w:rFonts w:ascii="Times New Roman" w:hAnsi="Times New Roman"/>
                <w:sz w:val="24"/>
              </w:rPr>
              <w:t>4t/a</w:t>
            </w:r>
            <w:r>
              <w:rPr>
                <w:rFonts w:ascii="Times New Roman"/>
                <w:sz w:val="24"/>
              </w:rPr>
              <w:t>、动植物油</w:t>
            </w:r>
            <w:r>
              <w:rPr>
                <w:rFonts w:ascii="Times New Roman" w:hAnsi="Times New Roman"/>
                <w:sz w:val="24"/>
              </w:rPr>
              <w:t>0.00</w:t>
            </w:r>
            <w:r>
              <w:rPr>
                <w:rFonts w:hint="eastAsia" w:ascii="Times New Roman" w:hAnsi="Times New Roman"/>
                <w:sz w:val="24"/>
              </w:rPr>
              <w:t>192</w:t>
            </w:r>
            <w:r>
              <w:rPr>
                <w:rFonts w:ascii="Times New Roman" w:hAnsi="Times New Roman"/>
                <w:sz w:val="24"/>
              </w:rPr>
              <w:t>t/a</w:t>
            </w:r>
            <w:r>
              <w:rPr>
                <w:rFonts w:ascii="Times New Roman"/>
                <w:sz w:val="24"/>
              </w:rPr>
              <w:t>。符合《污水排入城镇下水道水质标准》（</w:t>
            </w:r>
            <w:r>
              <w:rPr>
                <w:rFonts w:ascii="Times New Roman" w:hAnsi="Times New Roman"/>
                <w:sz w:val="24"/>
              </w:rPr>
              <w:t>GB/T 31962-2015</w:t>
            </w:r>
            <w:r>
              <w:rPr>
                <w:rFonts w:ascii="Times New Roman"/>
                <w:sz w:val="24"/>
              </w:rPr>
              <w:t>）表</w:t>
            </w:r>
            <w:r>
              <w:rPr>
                <w:rFonts w:ascii="Times New Roman" w:hAnsi="Times New Roman"/>
                <w:sz w:val="24"/>
              </w:rPr>
              <w:t>1B</w:t>
            </w:r>
            <w:r>
              <w:rPr>
                <w:rFonts w:ascii="Times New Roman"/>
                <w:sz w:val="24"/>
              </w:rPr>
              <w:t>等级标准，</w:t>
            </w:r>
            <w:r>
              <w:rPr>
                <w:rFonts w:hint="eastAsia" w:ascii="Times New Roman"/>
                <w:sz w:val="24"/>
              </w:rPr>
              <w:t>食堂废水经隔油池处理后与</w:t>
            </w:r>
            <w:r>
              <w:rPr>
                <w:rFonts w:ascii="Times New Roman"/>
                <w:sz w:val="24"/>
              </w:rPr>
              <w:t>生活污水接入污水管网经武南污水处理厂集中处理，达标尾水排放至武南河。</w:t>
            </w:r>
          </w:p>
          <w:p>
            <w:pPr>
              <w:pStyle w:val="5"/>
              <w:spacing w:line="360" w:lineRule="auto"/>
              <w:ind w:firstLine="480" w:firstLineChars="200"/>
              <w:jc w:val="left"/>
            </w:pPr>
            <w:r>
              <w:rPr>
                <w:sz w:val="24"/>
              </w:rPr>
              <w:t>本项目建成后食堂废水和生活污水排放量为</w:t>
            </w:r>
            <w:r>
              <w:rPr>
                <w:rFonts w:ascii="Times New Roman" w:hAnsi="Times New Roman"/>
                <w:sz w:val="24"/>
              </w:rPr>
              <w:t>1.76t/d</w:t>
            </w:r>
            <w:r>
              <w:rPr>
                <w:sz w:val="24"/>
              </w:rPr>
              <w:t>，武南污水处理厂尚有能力接纳本项目废水，从接管量上接管可行。污水水质简单，废水中的污染物浓度低，可生化性好，经武南污水处理厂处理达标后排放，对受纳水体武南河影响很小，水质功能可维持现状。</w:t>
            </w:r>
          </w:p>
          <w:p>
            <w:pPr>
              <w:adjustRightInd w:val="0"/>
              <w:snapToGrid w:val="0"/>
              <w:spacing w:line="360" w:lineRule="auto"/>
              <w:ind w:firstLine="480" w:firstLineChars="200"/>
              <w:rPr>
                <w:bCs/>
                <w:sz w:val="24"/>
              </w:rPr>
            </w:pPr>
            <w:r>
              <w:rPr>
                <w:bCs/>
                <w:sz w:val="24"/>
              </w:rPr>
              <w:t>本项目废水类别、污染物及污染治理设施信息表见下表。</w:t>
            </w: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r>
              <w:rPr>
                <w:rFonts w:ascii="Times New Roman"/>
                <w:b/>
                <w:sz w:val="24"/>
              </w:rPr>
              <w:t>表</w:t>
            </w:r>
            <w:r>
              <w:rPr>
                <w:rFonts w:ascii="Times New Roman" w:hAnsi="Times New Roman"/>
                <w:b/>
                <w:sz w:val="24"/>
              </w:rPr>
              <w:t>4-</w:t>
            </w:r>
            <w:r>
              <w:rPr>
                <w:rFonts w:hint="eastAsia" w:ascii="Times New Roman" w:hAnsi="Times New Roman"/>
                <w:b/>
                <w:sz w:val="24"/>
              </w:rPr>
              <w:t>9</w:t>
            </w:r>
            <w:r>
              <w:rPr>
                <w:rFonts w:ascii="Times New Roman" w:hAnsi="Times New Roman"/>
                <w:b/>
                <w:sz w:val="24"/>
              </w:rPr>
              <w:t xml:space="preserve"> </w:t>
            </w:r>
            <w:r>
              <w:rPr>
                <w:rFonts w:ascii="Times New Roman"/>
                <w:b/>
                <w:sz w:val="24"/>
              </w:rPr>
              <w:t>废水类别、污染物及污染治理设施信息表</w:t>
            </w:r>
          </w:p>
          <w:tbl>
            <w:tblPr>
              <w:tblStyle w:val="23"/>
              <w:tblW w:w="808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1" w:type="dxa"/>
                <w:bottom w:w="0" w:type="dxa"/>
                <w:right w:w="51" w:type="dxa"/>
              </w:tblCellMar>
            </w:tblPr>
            <w:tblGrid>
              <w:gridCol w:w="357"/>
              <w:gridCol w:w="638"/>
              <w:gridCol w:w="764"/>
              <w:gridCol w:w="654"/>
              <w:gridCol w:w="765"/>
              <w:gridCol w:w="605"/>
              <w:gridCol w:w="605"/>
              <w:gridCol w:w="606"/>
              <w:gridCol w:w="819"/>
              <w:gridCol w:w="684"/>
              <w:gridCol w:w="158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400" w:hRule="atLeast"/>
                <w:jc w:val="center"/>
              </w:trPr>
              <w:tc>
                <w:tcPr>
                  <w:tcW w:w="357" w:type="dxa"/>
                  <w:vMerge w:val="restart"/>
                  <w:vAlign w:val="center"/>
                </w:tcPr>
                <w:p>
                  <w:pPr>
                    <w:spacing w:line="280" w:lineRule="exact"/>
                    <w:jc w:val="center"/>
                    <w:rPr>
                      <w:b/>
                      <w:bCs/>
                      <w:szCs w:val="21"/>
                    </w:rPr>
                  </w:pPr>
                  <w:r>
                    <w:rPr>
                      <w:b/>
                      <w:bCs/>
                      <w:szCs w:val="21"/>
                    </w:rPr>
                    <w:t>序号</w:t>
                  </w:r>
                </w:p>
              </w:tc>
              <w:tc>
                <w:tcPr>
                  <w:tcW w:w="638" w:type="dxa"/>
                  <w:vMerge w:val="restart"/>
                  <w:vAlign w:val="center"/>
                </w:tcPr>
                <w:p>
                  <w:pPr>
                    <w:spacing w:line="280" w:lineRule="exact"/>
                    <w:jc w:val="center"/>
                    <w:rPr>
                      <w:b/>
                      <w:bCs/>
                      <w:szCs w:val="21"/>
                    </w:rPr>
                  </w:pPr>
                  <w:r>
                    <w:rPr>
                      <w:b/>
                      <w:bCs/>
                      <w:szCs w:val="21"/>
                    </w:rPr>
                    <w:t>废水类型</w:t>
                  </w:r>
                </w:p>
              </w:tc>
              <w:tc>
                <w:tcPr>
                  <w:tcW w:w="764" w:type="dxa"/>
                  <w:vMerge w:val="restart"/>
                  <w:vAlign w:val="center"/>
                </w:tcPr>
                <w:p>
                  <w:pPr>
                    <w:spacing w:line="280" w:lineRule="exact"/>
                    <w:jc w:val="center"/>
                    <w:rPr>
                      <w:b/>
                      <w:bCs/>
                      <w:szCs w:val="21"/>
                    </w:rPr>
                  </w:pPr>
                  <w:r>
                    <w:rPr>
                      <w:b/>
                      <w:bCs/>
                      <w:szCs w:val="21"/>
                    </w:rPr>
                    <w:t>污染物种类</w:t>
                  </w:r>
                </w:p>
              </w:tc>
              <w:tc>
                <w:tcPr>
                  <w:tcW w:w="654" w:type="dxa"/>
                  <w:vMerge w:val="restart"/>
                  <w:vAlign w:val="center"/>
                </w:tcPr>
                <w:p>
                  <w:pPr>
                    <w:spacing w:line="280" w:lineRule="exact"/>
                    <w:jc w:val="center"/>
                    <w:rPr>
                      <w:b/>
                      <w:bCs/>
                      <w:szCs w:val="21"/>
                    </w:rPr>
                  </w:pPr>
                  <w:r>
                    <w:rPr>
                      <w:b/>
                      <w:bCs/>
                      <w:szCs w:val="21"/>
                    </w:rPr>
                    <w:t>排放去向</w:t>
                  </w:r>
                </w:p>
              </w:tc>
              <w:tc>
                <w:tcPr>
                  <w:tcW w:w="765" w:type="dxa"/>
                  <w:vMerge w:val="restart"/>
                  <w:vAlign w:val="center"/>
                </w:tcPr>
                <w:p>
                  <w:pPr>
                    <w:spacing w:line="280" w:lineRule="exact"/>
                    <w:jc w:val="center"/>
                    <w:rPr>
                      <w:b/>
                      <w:bCs/>
                      <w:szCs w:val="21"/>
                    </w:rPr>
                  </w:pPr>
                  <w:r>
                    <w:rPr>
                      <w:b/>
                      <w:bCs/>
                      <w:szCs w:val="21"/>
                    </w:rPr>
                    <w:t>排放</w:t>
                  </w:r>
                </w:p>
                <w:p>
                  <w:pPr>
                    <w:spacing w:line="280" w:lineRule="exact"/>
                    <w:jc w:val="center"/>
                    <w:rPr>
                      <w:b/>
                      <w:bCs/>
                      <w:szCs w:val="21"/>
                    </w:rPr>
                  </w:pPr>
                  <w:r>
                    <w:rPr>
                      <w:b/>
                      <w:bCs/>
                      <w:szCs w:val="21"/>
                    </w:rPr>
                    <w:t>规律</w:t>
                  </w:r>
                </w:p>
              </w:tc>
              <w:tc>
                <w:tcPr>
                  <w:tcW w:w="1816" w:type="dxa"/>
                  <w:gridSpan w:val="3"/>
                  <w:vAlign w:val="center"/>
                </w:tcPr>
                <w:p>
                  <w:pPr>
                    <w:spacing w:line="280" w:lineRule="exact"/>
                    <w:jc w:val="center"/>
                    <w:rPr>
                      <w:b/>
                      <w:bCs/>
                      <w:szCs w:val="21"/>
                    </w:rPr>
                  </w:pPr>
                  <w:r>
                    <w:rPr>
                      <w:b/>
                      <w:bCs/>
                      <w:szCs w:val="21"/>
                    </w:rPr>
                    <w:t>污染治理设施</w:t>
                  </w:r>
                </w:p>
              </w:tc>
              <w:tc>
                <w:tcPr>
                  <w:tcW w:w="819" w:type="dxa"/>
                  <w:vMerge w:val="restart"/>
                  <w:vAlign w:val="center"/>
                </w:tcPr>
                <w:p>
                  <w:pPr>
                    <w:spacing w:before="120" w:line="280" w:lineRule="exact"/>
                    <w:jc w:val="center"/>
                    <w:rPr>
                      <w:b/>
                      <w:bCs/>
                      <w:szCs w:val="21"/>
                    </w:rPr>
                  </w:pPr>
                  <w:r>
                    <w:rPr>
                      <w:b/>
                      <w:bCs/>
                      <w:szCs w:val="21"/>
                    </w:rPr>
                    <w:t>排放口编号</w:t>
                  </w:r>
                </w:p>
              </w:tc>
              <w:tc>
                <w:tcPr>
                  <w:tcW w:w="684" w:type="dxa"/>
                  <w:vMerge w:val="restart"/>
                  <w:vAlign w:val="center"/>
                </w:tcPr>
                <w:p>
                  <w:pPr>
                    <w:spacing w:before="120" w:line="280" w:lineRule="exact"/>
                    <w:jc w:val="center"/>
                    <w:rPr>
                      <w:b/>
                      <w:bCs/>
                      <w:szCs w:val="21"/>
                    </w:rPr>
                  </w:pPr>
                  <w:r>
                    <w:rPr>
                      <w:b/>
                      <w:bCs/>
                      <w:szCs w:val="21"/>
                    </w:rPr>
                    <w:t>排放口设置是否符合要求</w:t>
                  </w:r>
                </w:p>
              </w:tc>
              <w:tc>
                <w:tcPr>
                  <w:tcW w:w="1584" w:type="dxa"/>
                  <w:vMerge w:val="restart"/>
                  <w:vAlign w:val="center"/>
                </w:tcPr>
                <w:p>
                  <w:pPr>
                    <w:spacing w:line="280" w:lineRule="exact"/>
                    <w:jc w:val="center"/>
                    <w:rPr>
                      <w:b/>
                      <w:bCs/>
                      <w:szCs w:val="21"/>
                    </w:rPr>
                  </w:pPr>
                  <w:r>
                    <w:rPr>
                      <w:b/>
                      <w:bCs/>
                      <w:szCs w:val="21"/>
                    </w:rPr>
                    <w:t>排放口类型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1568" w:hRule="atLeast"/>
                <w:jc w:val="center"/>
              </w:trPr>
              <w:tc>
                <w:tcPr>
                  <w:tcW w:w="357" w:type="dxa"/>
                  <w:vMerge w:val="continue"/>
                  <w:vAlign w:val="center"/>
                </w:tcPr>
                <w:p>
                  <w:pPr>
                    <w:rPr>
                      <w:b/>
                      <w:bCs/>
                      <w:sz w:val="20"/>
                    </w:rPr>
                  </w:pPr>
                </w:p>
              </w:tc>
              <w:tc>
                <w:tcPr>
                  <w:tcW w:w="638" w:type="dxa"/>
                  <w:vMerge w:val="continue"/>
                  <w:vAlign w:val="center"/>
                </w:tcPr>
                <w:p>
                  <w:pPr>
                    <w:rPr>
                      <w:b/>
                      <w:bCs/>
                      <w:sz w:val="20"/>
                    </w:rPr>
                  </w:pPr>
                </w:p>
              </w:tc>
              <w:tc>
                <w:tcPr>
                  <w:tcW w:w="764" w:type="dxa"/>
                  <w:vMerge w:val="continue"/>
                  <w:vAlign w:val="center"/>
                </w:tcPr>
                <w:p>
                  <w:pPr>
                    <w:rPr>
                      <w:b/>
                      <w:bCs/>
                      <w:sz w:val="20"/>
                    </w:rPr>
                  </w:pPr>
                </w:p>
              </w:tc>
              <w:tc>
                <w:tcPr>
                  <w:tcW w:w="654" w:type="dxa"/>
                  <w:vMerge w:val="continue"/>
                  <w:vAlign w:val="center"/>
                </w:tcPr>
                <w:p>
                  <w:pPr>
                    <w:rPr>
                      <w:b/>
                      <w:bCs/>
                      <w:sz w:val="20"/>
                    </w:rPr>
                  </w:pPr>
                </w:p>
              </w:tc>
              <w:tc>
                <w:tcPr>
                  <w:tcW w:w="765" w:type="dxa"/>
                  <w:vMerge w:val="continue"/>
                  <w:vAlign w:val="center"/>
                </w:tcPr>
                <w:p>
                  <w:pPr>
                    <w:rPr>
                      <w:b/>
                      <w:bCs/>
                      <w:sz w:val="20"/>
                    </w:rPr>
                  </w:pPr>
                </w:p>
              </w:tc>
              <w:tc>
                <w:tcPr>
                  <w:tcW w:w="605" w:type="dxa"/>
                  <w:vAlign w:val="center"/>
                </w:tcPr>
                <w:p>
                  <w:pPr>
                    <w:spacing w:line="280" w:lineRule="exact"/>
                    <w:jc w:val="center"/>
                    <w:rPr>
                      <w:b/>
                      <w:bCs/>
                      <w:szCs w:val="21"/>
                    </w:rPr>
                  </w:pPr>
                  <w:r>
                    <w:rPr>
                      <w:b/>
                      <w:bCs/>
                      <w:szCs w:val="21"/>
                    </w:rPr>
                    <w:t>污染治理设施编号</w:t>
                  </w:r>
                </w:p>
              </w:tc>
              <w:tc>
                <w:tcPr>
                  <w:tcW w:w="605" w:type="dxa"/>
                  <w:vAlign w:val="center"/>
                </w:tcPr>
                <w:p>
                  <w:pPr>
                    <w:spacing w:line="280" w:lineRule="exact"/>
                    <w:jc w:val="center"/>
                    <w:rPr>
                      <w:b/>
                      <w:bCs/>
                      <w:szCs w:val="21"/>
                    </w:rPr>
                  </w:pPr>
                  <w:r>
                    <w:rPr>
                      <w:b/>
                      <w:bCs/>
                      <w:szCs w:val="21"/>
                    </w:rPr>
                    <w:t>污染治理设施名称</w:t>
                  </w:r>
                </w:p>
              </w:tc>
              <w:tc>
                <w:tcPr>
                  <w:tcW w:w="606" w:type="dxa"/>
                  <w:vAlign w:val="center"/>
                </w:tcPr>
                <w:p>
                  <w:pPr>
                    <w:spacing w:line="280" w:lineRule="exact"/>
                    <w:jc w:val="center"/>
                    <w:rPr>
                      <w:b/>
                      <w:bCs/>
                      <w:szCs w:val="21"/>
                    </w:rPr>
                  </w:pPr>
                  <w:r>
                    <w:rPr>
                      <w:b/>
                      <w:bCs/>
                      <w:szCs w:val="21"/>
                    </w:rPr>
                    <w:t>污染治理设施工艺</w:t>
                  </w:r>
                </w:p>
              </w:tc>
              <w:tc>
                <w:tcPr>
                  <w:tcW w:w="819" w:type="dxa"/>
                  <w:vMerge w:val="continue"/>
                  <w:vAlign w:val="center"/>
                </w:tcPr>
                <w:p>
                  <w:pPr>
                    <w:rPr>
                      <w:b/>
                      <w:bCs/>
                      <w:sz w:val="20"/>
                    </w:rPr>
                  </w:pPr>
                </w:p>
              </w:tc>
              <w:tc>
                <w:tcPr>
                  <w:tcW w:w="684" w:type="dxa"/>
                  <w:vMerge w:val="continue"/>
                  <w:vAlign w:val="center"/>
                </w:tcPr>
                <w:p>
                  <w:pPr>
                    <w:rPr>
                      <w:b/>
                      <w:bCs/>
                      <w:sz w:val="20"/>
                    </w:rPr>
                  </w:pPr>
                </w:p>
              </w:tc>
              <w:tc>
                <w:tcPr>
                  <w:tcW w:w="1584" w:type="dxa"/>
                  <w:vMerge w:val="continue"/>
                  <w:vAlign w:val="center"/>
                </w:tcPr>
                <w:p>
                  <w:pPr>
                    <w:rPr>
                      <w:b/>
                      <w:bCs/>
                      <w:sz w:val="20"/>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2549" w:hRule="atLeast"/>
                <w:jc w:val="center"/>
              </w:trPr>
              <w:tc>
                <w:tcPr>
                  <w:tcW w:w="357" w:type="dxa"/>
                  <w:vAlign w:val="center"/>
                </w:tcPr>
                <w:p>
                  <w:pPr>
                    <w:spacing w:line="280" w:lineRule="exact"/>
                    <w:jc w:val="center"/>
                    <w:rPr>
                      <w:szCs w:val="21"/>
                    </w:rPr>
                  </w:pPr>
                  <w:r>
                    <w:rPr>
                      <w:szCs w:val="21"/>
                    </w:rPr>
                    <w:t>1</w:t>
                  </w:r>
                </w:p>
              </w:tc>
              <w:tc>
                <w:tcPr>
                  <w:tcW w:w="638" w:type="dxa"/>
                  <w:vAlign w:val="center"/>
                </w:tcPr>
                <w:p>
                  <w:pPr>
                    <w:spacing w:line="280" w:lineRule="exact"/>
                    <w:jc w:val="center"/>
                    <w:rPr>
                      <w:szCs w:val="21"/>
                    </w:rPr>
                  </w:pPr>
                  <w:r>
                    <w:rPr>
                      <w:szCs w:val="21"/>
                    </w:rPr>
                    <w:t>生活污水</w:t>
                  </w:r>
                </w:p>
              </w:tc>
              <w:tc>
                <w:tcPr>
                  <w:tcW w:w="764" w:type="dxa"/>
                  <w:vAlign w:val="center"/>
                </w:tcPr>
                <w:p>
                  <w:pPr>
                    <w:adjustRightInd w:val="0"/>
                    <w:snapToGrid w:val="0"/>
                    <w:jc w:val="center"/>
                    <w:rPr>
                      <w:szCs w:val="21"/>
                    </w:rPr>
                  </w:pPr>
                  <w:r>
                    <w:rPr>
                      <w:szCs w:val="21"/>
                    </w:rPr>
                    <w:t>COD、SS、氨氮、总磷</w:t>
                  </w:r>
                  <w:r>
                    <w:rPr>
                      <w:rFonts w:hint="eastAsia"/>
                      <w:szCs w:val="21"/>
                    </w:rPr>
                    <w:t>、动植物油</w:t>
                  </w:r>
                </w:p>
              </w:tc>
              <w:tc>
                <w:tcPr>
                  <w:tcW w:w="654" w:type="dxa"/>
                  <w:vAlign w:val="center"/>
                </w:tcPr>
                <w:p>
                  <w:pPr>
                    <w:spacing w:line="280" w:lineRule="exact"/>
                    <w:jc w:val="center"/>
                    <w:rPr>
                      <w:szCs w:val="21"/>
                    </w:rPr>
                  </w:pPr>
                  <w:r>
                    <w:rPr>
                      <w:szCs w:val="21"/>
                    </w:rPr>
                    <w:t>城市污水处理厂</w:t>
                  </w:r>
                </w:p>
              </w:tc>
              <w:tc>
                <w:tcPr>
                  <w:tcW w:w="765" w:type="dxa"/>
                  <w:vAlign w:val="center"/>
                </w:tcPr>
                <w:p>
                  <w:pPr>
                    <w:spacing w:line="280" w:lineRule="exact"/>
                    <w:jc w:val="center"/>
                    <w:rPr>
                      <w:szCs w:val="21"/>
                    </w:rPr>
                  </w:pPr>
                  <w:r>
                    <w:rPr>
                      <w:szCs w:val="21"/>
                    </w:rPr>
                    <w:t>间断排放，排放期间流量不稳定，但有周期性规律</w:t>
                  </w:r>
                </w:p>
              </w:tc>
              <w:tc>
                <w:tcPr>
                  <w:tcW w:w="605" w:type="dxa"/>
                  <w:vAlign w:val="center"/>
                </w:tcPr>
                <w:p>
                  <w:pPr>
                    <w:spacing w:line="280" w:lineRule="exact"/>
                    <w:jc w:val="center"/>
                    <w:rPr>
                      <w:szCs w:val="21"/>
                    </w:rPr>
                  </w:pPr>
                  <w:r>
                    <w:rPr>
                      <w:szCs w:val="21"/>
                    </w:rPr>
                    <w:t>/</w:t>
                  </w:r>
                </w:p>
              </w:tc>
              <w:tc>
                <w:tcPr>
                  <w:tcW w:w="605" w:type="dxa"/>
                  <w:vAlign w:val="center"/>
                </w:tcPr>
                <w:p>
                  <w:pPr>
                    <w:spacing w:line="280" w:lineRule="exact"/>
                    <w:jc w:val="center"/>
                    <w:rPr>
                      <w:szCs w:val="21"/>
                    </w:rPr>
                  </w:pPr>
                  <w:r>
                    <w:rPr>
                      <w:szCs w:val="21"/>
                    </w:rPr>
                    <w:t>/</w:t>
                  </w:r>
                </w:p>
              </w:tc>
              <w:tc>
                <w:tcPr>
                  <w:tcW w:w="606" w:type="dxa"/>
                  <w:vAlign w:val="center"/>
                </w:tcPr>
                <w:p>
                  <w:pPr>
                    <w:spacing w:line="280" w:lineRule="exact"/>
                    <w:jc w:val="center"/>
                    <w:rPr>
                      <w:szCs w:val="21"/>
                    </w:rPr>
                  </w:pPr>
                  <w:r>
                    <w:rPr>
                      <w:szCs w:val="21"/>
                    </w:rPr>
                    <w:t>/</w:t>
                  </w:r>
                </w:p>
              </w:tc>
              <w:tc>
                <w:tcPr>
                  <w:tcW w:w="819" w:type="dxa"/>
                  <w:vAlign w:val="center"/>
                </w:tcPr>
                <w:p>
                  <w:pPr>
                    <w:spacing w:before="120" w:line="280" w:lineRule="exact"/>
                    <w:jc w:val="center"/>
                    <w:rPr>
                      <w:szCs w:val="21"/>
                    </w:rPr>
                  </w:pPr>
                  <w:r>
                    <w:rPr>
                      <w:szCs w:val="21"/>
                    </w:rPr>
                    <w:t>DW001</w:t>
                  </w:r>
                </w:p>
              </w:tc>
              <w:tc>
                <w:tcPr>
                  <w:tcW w:w="684" w:type="dxa"/>
                  <w:vAlign w:val="center"/>
                </w:tcPr>
                <w:p>
                  <w:pPr>
                    <w:spacing w:before="120" w:line="280" w:lineRule="exact"/>
                    <w:jc w:val="center"/>
                    <w:rPr>
                      <w:szCs w:val="21"/>
                    </w:rPr>
                  </w:pPr>
                  <w:r>
                    <w:rPr>
                      <w:szCs w:val="21"/>
                    </w:rPr>
                    <w:t>√是</w:t>
                  </w:r>
                </w:p>
                <w:p>
                  <w:pPr>
                    <w:pStyle w:val="87"/>
                    <w:widowControl/>
                    <w:spacing w:before="120" w:line="280" w:lineRule="exact"/>
                    <w:ind w:firstLine="0" w:firstLineChars="0"/>
                    <w:jc w:val="center"/>
                    <w:rPr>
                      <w:szCs w:val="21"/>
                    </w:rPr>
                  </w:pPr>
                  <w:r>
                    <w:rPr>
                      <w:szCs w:val="21"/>
                    </w:rPr>
                    <w:t>□否</w:t>
                  </w:r>
                </w:p>
              </w:tc>
              <w:tc>
                <w:tcPr>
                  <w:tcW w:w="1584" w:type="dxa"/>
                  <w:vAlign w:val="center"/>
                </w:tcPr>
                <w:p>
                  <w:pPr>
                    <w:spacing w:line="280" w:lineRule="exact"/>
                    <w:ind w:left="199" w:hanging="199" w:hangingChars="95"/>
                    <w:jc w:val="left"/>
                    <w:rPr>
                      <w:szCs w:val="21"/>
                    </w:rPr>
                  </w:pPr>
                  <w:r>
                    <w:rPr>
                      <w:szCs w:val="21"/>
                    </w:rPr>
                    <w:t>√企业总排口</w:t>
                  </w:r>
                </w:p>
                <w:p>
                  <w:pPr>
                    <w:spacing w:line="280" w:lineRule="exact"/>
                    <w:ind w:left="199" w:hanging="199" w:hangingChars="95"/>
                    <w:jc w:val="left"/>
                    <w:rPr>
                      <w:szCs w:val="21"/>
                    </w:rPr>
                  </w:pPr>
                  <w:r>
                    <w:rPr>
                      <w:szCs w:val="21"/>
                    </w:rPr>
                    <w:t>□雨水排放口</w:t>
                  </w:r>
                </w:p>
                <w:p>
                  <w:pPr>
                    <w:spacing w:line="280" w:lineRule="exact"/>
                    <w:ind w:left="199" w:hanging="199" w:hangingChars="95"/>
                    <w:jc w:val="left"/>
                    <w:rPr>
                      <w:szCs w:val="21"/>
                    </w:rPr>
                  </w:pPr>
                  <w:r>
                    <w:rPr>
                      <w:szCs w:val="21"/>
                    </w:rPr>
                    <w:t>□清净下水排放口</w:t>
                  </w:r>
                </w:p>
                <w:p>
                  <w:pPr>
                    <w:spacing w:line="280" w:lineRule="exact"/>
                    <w:ind w:left="199" w:hanging="199" w:hangingChars="95"/>
                    <w:jc w:val="left"/>
                    <w:rPr>
                      <w:szCs w:val="21"/>
                    </w:rPr>
                  </w:pPr>
                  <w:r>
                    <w:rPr>
                      <w:szCs w:val="21"/>
                    </w:rPr>
                    <w:t>□温排水排放口</w:t>
                  </w:r>
                </w:p>
                <w:p>
                  <w:pPr>
                    <w:spacing w:line="280" w:lineRule="exact"/>
                    <w:ind w:left="199" w:hanging="199" w:hangingChars="95"/>
                    <w:jc w:val="left"/>
                    <w:rPr>
                      <w:szCs w:val="21"/>
                    </w:rPr>
                  </w:pPr>
                  <w:r>
                    <w:rPr>
                      <w:szCs w:val="21"/>
                    </w:rPr>
                    <w:t>□车间或车间处理设施排放口</w:t>
                  </w:r>
                </w:p>
              </w:tc>
            </w:tr>
          </w:tbl>
          <w:p>
            <w:pPr>
              <w:pStyle w:val="49"/>
              <w:spacing w:before="78"/>
              <w:ind w:left="587"/>
            </w:pPr>
            <w:r>
              <w:t>本项目废水间接排放口基本情况表如下。</w:t>
            </w:r>
          </w:p>
          <w:p>
            <w:pPr>
              <w:pStyle w:val="9"/>
              <w:spacing w:after="0"/>
              <w:ind w:left="0" w:leftChars="0" w:right="0" w:rightChars="0"/>
              <w:jc w:val="center"/>
              <w:rPr>
                <w:rFonts w:ascii="Times New Roman"/>
                <w:b/>
                <w:sz w:val="24"/>
              </w:rPr>
            </w:pPr>
            <w:r>
              <w:rPr>
                <w:rFonts w:ascii="Times New Roman"/>
                <w:b/>
                <w:sz w:val="24"/>
              </w:rPr>
              <w:t>表</w:t>
            </w:r>
            <w:r>
              <w:rPr>
                <w:rFonts w:ascii="Times New Roman" w:hAnsi="Times New Roman"/>
                <w:b/>
                <w:sz w:val="24"/>
              </w:rPr>
              <w:t>4-</w:t>
            </w:r>
            <w:r>
              <w:rPr>
                <w:rFonts w:hint="eastAsia" w:ascii="Times New Roman" w:hAnsi="Times New Roman"/>
                <w:b/>
                <w:sz w:val="24"/>
              </w:rPr>
              <w:t>10</w:t>
            </w:r>
            <w:r>
              <w:rPr>
                <w:rFonts w:ascii="Times New Roman" w:hAnsi="Times New Roman"/>
                <w:b/>
                <w:sz w:val="24"/>
              </w:rPr>
              <w:t xml:space="preserve"> </w:t>
            </w:r>
            <w:r>
              <w:rPr>
                <w:rFonts w:ascii="Times New Roman"/>
                <w:b/>
                <w:sz w:val="24"/>
              </w:rPr>
              <w:t>废水间接排放口基本情况表</w:t>
            </w:r>
          </w:p>
          <w:tbl>
            <w:tblPr>
              <w:tblStyle w:val="22"/>
              <w:tblW w:w="8123"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79" w:type="dxa"/>
                <w:bottom w:w="0" w:type="dxa"/>
                <w:right w:w="79" w:type="dxa"/>
              </w:tblCellMar>
            </w:tblPr>
            <w:tblGrid>
              <w:gridCol w:w="350"/>
              <w:gridCol w:w="725"/>
              <w:gridCol w:w="848"/>
              <w:gridCol w:w="752"/>
              <w:gridCol w:w="875"/>
              <w:gridCol w:w="687"/>
              <w:gridCol w:w="806"/>
              <w:gridCol w:w="700"/>
              <w:gridCol w:w="671"/>
              <w:gridCol w:w="682"/>
              <w:gridCol w:w="102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350" w:type="dxa"/>
                  <w:vMerge w:val="restart"/>
                  <w:vAlign w:val="center"/>
                </w:tcPr>
                <w:p>
                  <w:pPr>
                    <w:adjustRightInd w:val="0"/>
                    <w:snapToGrid w:val="0"/>
                    <w:jc w:val="center"/>
                    <w:rPr>
                      <w:b/>
                      <w:bCs/>
                      <w:szCs w:val="21"/>
                    </w:rPr>
                  </w:pPr>
                  <w:r>
                    <w:rPr>
                      <w:b/>
                      <w:bCs/>
                      <w:szCs w:val="21"/>
                    </w:rPr>
                    <w:t>序号</w:t>
                  </w:r>
                </w:p>
              </w:tc>
              <w:tc>
                <w:tcPr>
                  <w:tcW w:w="725" w:type="dxa"/>
                  <w:vMerge w:val="restart"/>
                  <w:vAlign w:val="center"/>
                </w:tcPr>
                <w:p>
                  <w:pPr>
                    <w:adjustRightInd w:val="0"/>
                    <w:snapToGrid w:val="0"/>
                    <w:jc w:val="center"/>
                    <w:rPr>
                      <w:b/>
                      <w:bCs/>
                      <w:szCs w:val="21"/>
                    </w:rPr>
                  </w:pPr>
                  <w:r>
                    <w:rPr>
                      <w:b/>
                      <w:bCs/>
                      <w:szCs w:val="21"/>
                    </w:rPr>
                    <w:t>排放口编号</w:t>
                  </w:r>
                </w:p>
              </w:tc>
              <w:tc>
                <w:tcPr>
                  <w:tcW w:w="1600" w:type="dxa"/>
                  <w:gridSpan w:val="2"/>
                  <w:vAlign w:val="center"/>
                </w:tcPr>
                <w:p>
                  <w:pPr>
                    <w:adjustRightInd w:val="0"/>
                    <w:snapToGrid w:val="0"/>
                    <w:jc w:val="center"/>
                    <w:rPr>
                      <w:b/>
                      <w:bCs/>
                      <w:szCs w:val="21"/>
                    </w:rPr>
                  </w:pPr>
                  <w:r>
                    <w:rPr>
                      <w:b/>
                      <w:bCs/>
                      <w:szCs w:val="21"/>
                    </w:rPr>
                    <w:t>排放口地理坐标</w:t>
                  </w:r>
                </w:p>
              </w:tc>
              <w:tc>
                <w:tcPr>
                  <w:tcW w:w="875" w:type="dxa"/>
                  <w:vMerge w:val="restart"/>
                  <w:vAlign w:val="center"/>
                </w:tcPr>
                <w:p>
                  <w:pPr>
                    <w:adjustRightInd w:val="0"/>
                    <w:snapToGrid w:val="0"/>
                    <w:jc w:val="center"/>
                    <w:rPr>
                      <w:b/>
                      <w:bCs/>
                      <w:szCs w:val="21"/>
                    </w:rPr>
                  </w:pPr>
                  <w:r>
                    <w:rPr>
                      <w:b/>
                      <w:bCs/>
                      <w:szCs w:val="21"/>
                    </w:rPr>
                    <w:t>废水排放量/（万t/a）</w:t>
                  </w:r>
                </w:p>
              </w:tc>
              <w:tc>
                <w:tcPr>
                  <w:tcW w:w="687" w:type="dxa"/>
                  <w:vMerge w:val="restart"/>
                  <w:vAlign w:val="center"/>
                </w:tcPr>
                <w:p>
                  <w:pPr>
                    <w:adjustRightInd w:val="0"/>
                    <w:snapToGrid w:val="0"/>
                    <w:jc w:val="center"/>
                    <w:rPr>
                      <w:b/>
                      <w:bCs/>
                      <w:szCs w:val="21"/>
                    </w:rPr>
                  </w:pPr>
                  <w:r>
                    <w:rPr>
                      <w:b/>
                      <w:bCs/>
                      <w:szCs w:val="21"/>
                    </w:rPr>
                    <w:t>排放去向</w:t>
                  </w:r>
                </w:p>
              </w:tc>
              <w:tc>
                <w:tcPr>
                  <w:tcW w:w="806" w:type="dxa"/>
                  <w:vMerge w:val="restart"/>
                  <w:vAlign w:val="center"/>
                </w:tcPr>
                <w:p>
                  <w:pPr>
                    <w:adjustRightInd w:val="0"/>
                    <w:snapToGrid w:val="0"/>
                    <w:jc w:val="center"/>
                    <w:rPr>
                      <w:b/>
                      <w:bCs/>
                      <w:szCs w:val="21"/>
                    </w:rPr>
                  </w:pPr>
                  <w:r>
                    <w:rPr>
                      <w:b/>
                      <w:bCs/>
                      <w:szCs w:val="21"/>
                    </w:rPr>
                    <w:t>排放规律</w:t>
                  </w:r>
                </w:p>
              </w:tc>
              <w:tc>
                <w:tcPr>
                  <w:tcW w:w="700" w:type="dxa"/>
                  <w:vMerge w:val="restart"/>
                  <w:vAlign w:val="center"/>
                </w:tcPr>
                <w:p>
                  <w:pPr>
                    <w:adjustRightInd w:val="0"/>
                    <w:snapToGrid w:val="0"/>
                    <w:jc w:val="center"/>
                    <w:rPr>
                      <w:b/>
                      <w:bCs/>
                      <w:szCs w:val="21"/>
                    </w:rPr>
                  </w:pPr>
                  <w:r>
                    <w:rPr>
                      <w:b/>
                      <w:bCs/>
                      <w:szCs w:val="21"/>
                    </w:rPr>
                    <w:t>间歇排放时段</w:t>
                  </w:r>
                </w:p>
              </w:tc>
              <w:tc>
                <w:tcPr>
                  <w:tcW w:w="2380" w:type="dxa"/>
                  <w:gridSpan w:val="3"/>
                  <w:vAlign w:val="center"/>
                </w:tcPr>
                <w:p>
                  <w:pPr>
                    <w:adjustRightInd w:val="0"/>
                    <w:snapToGrid w:val="0"/>
                    <w:jc w:val="center"/>
                    <w:rPr>
                      <w:b/>
                      <w:bCs/>
                      <w:szCs w:val="21"/>
                    </w:rPr>
                  </w:pPr>
                  <w:r>
                    <w:rPr>
                      <w:b/>
                      <w:bCs/>
                      <w:szCs w:val="21"/>
                    </w:rPr>
                    <w:t>收纳污水处理厂信息</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1576" w:hRule="atLeast"/>
                <w:jc w:val="center"/>
              </w:trPr>
              <w:tc>
                <w:tcPr>
                  <w:tcW w:w="350" w:type="dxa"/>
                  <w:vMerge w:val="continue"/>
                  <w:vAlign w:val="center"/>
                </w:tcPr>
                <w:p>
                  <w:pPr>
                    <w:adjustRightInd w:val="0"/>
                    <w:snapToGrid w:val="0"/>
                    <w:jc w:val="center"/>
                    <w:rPr>
                      <w:b/>
                      <w:bCs/>
                      <w:szCs w:val="21"/>
                    </w:rPr>
                  </w:pPr>
                </w:p>
              </w:tc>
              <w:tc>
                <w:tcPr>
                  <w:tcW w:w="725" w:type="dxa"/>
                  <w:vMerge w:val="continue"/>
                  <w:vAlign w:val="center"/>
                </w:tcPr>
                <w:p>
                  <w:pPr>
                    <w:adjustRightInd w:val="0"/>
                    <w:snapToGrid w:val="0"/>
                    <w:jc w:val="center"/>
                    <w:rPr>
                      <w:b/>
                      <w:bCs/>
                      <w:szCs w:val="21"/>
                    </w:rPr>
                  </w:pPr>
                </w:p>
              </w:tc>
              <w:tc>
                <w:tcPr>
                  <w:tcW w:w="848" w:type="dxa"/>
                  <w:vAlign w:val="center"/>
                </w:tcPr>
                <w:p>
                  <w:pPr>
                    <w:adjustRightInd w:val="0"/>
                    <w:snapToGrid w:val="0"/>
                    <w:jc w:val="center"/>
                    <w:rPr>
                      <w:b/>
                      <w:bCs/>
                      <w:szCs w:val="21"/>
                    </w:rPr>
                  </w:pPr>
                  <w:r>
                    <w:rPr>
                      <w:b/>
                      <w:bCs/>
                      <w:szCs w:val="21"/>
                    </w:rPr>
                    <w:t>经度</w:t>
                  </w:r>
                </w:p>
              </w:tc>
              <w:tc>
                <w:tcPr>
                  <w:tcW w:w="752" w:type="dxa"/>
                  <w:vAlign w:val="center"/>
                </w:tcPr>
                <w:p>
                  <w:pPr>
                    <w:adjustRightInd w:val="0"/>
                    <w:snapToGrid w:val="0"/>
                    <w:jc w:val="center"/>
                    <w:rPr>
                      <w:b/>
                      <w:bCs/>
                      <w:szCs w:val="21"/>
                    </w:rPr>
                  </w:pPr>
                  <w:r>
                    <w:rPr>
                      <w:b/>
                      <w:bCs/>
                      <w:szCs w:val="21"/>
                    </w:rPr>
                    <w:t>纬度</w:t>
                  </w:r>
                </w:p>
              </w:tc>
              <w:tc>
                <w:tcPr>
                  <w:tcW w:w="875" w:type="dxa"/>
                  <w:vMerge w:val="continue"/>
                  <w:vAlign w:val="center"/>
                </w:tcPr>
                <w:p>
                  <w:pPr>
                    <w:adjustRightInd w:val="0"/>
                    <w:snapToGrid w:val="0"/>
                    <w:jc w:val="center"/>
                    <w:rPr>
                      <w:b/>
                      <w:bCs/>
                      <w:szCs w:val="21"/>
                    </w:rPr>
                  </w:pPr>
                </w:p>
              </w:tc>
              <w:tc>
                <w:tcPr>
                  <w:tcW w:w="687" w:type="dxa"/>
                  <w:vMerge w:val="continue"/>
                  <w:vAlign w:val="center"/>
                </w:tcPr>
                <w:p>
                  <w:pPr>
                    <w:adjustRightInd w:val="0"/>
                    <w:snapToGrid w:val="0"/>
                    <w:jc w:val="center"/>
                    <w:rPr>
                      <w:b/>
                      <w:bCs/>
                      <w:szCs w:val="21"/>
                    </w:rPr>
                  </w:pPr>
                </w:p>
              </w:tc>
              <w:tc>
                <w:tcPr>
                  <w:tcW w:w="806" w:type="dxa"/>
                  <w:vMerge w:val="continue"/>
                  <w:vAlign w:val="center"/>
                </w:tcPr>
                <w:p>
                  <w:pPr>
                    <w:adjustRightInd w:val="0"/>
                    <w:snapToGrid w:val="0"/>
                    <w:jc w:val="center"/>
                    <w:rPr>
                      <w:b/>
                      <w:bCs/>
                      <w:szCs w:val="21"/>
                    </w:rPr>
                  </w:pPr>
                </w:p>
              </w:tc>
              <w:tc>
                <w:tcPr>
                  <w:tcW w:w="700" w:type="dxa"/>
                  <w:vMerge w:val="continue"/>
                  <w:vAlign w:val="center"/>
                </w:tcPr>
                <w:p>
                  <w:pPr>
                    <w:adjustRightInd w:val="0"/>
                    <w:snapToGrid w:val="0"/>
                    <w:jc w:val="center"/>
                    <w:rPr>
                      <w:b/>
                      <w:bCs/>
                      <w:szCs w:val="21"/>
                    </w:rPr>
                  </w:pPr>
                </w:p>
              </w:tc>
              <w:tc>
                <w:tcPr>
                  <w:tcW w:w="671" w:type="dxa"/>
                  <w:vAlign w:val="center"/>
                </w:tcPr>
                <w:p>
                  <w:pPr>
                    <w:adjustRightInd w:val="0"/>
                    <w:snapToGrid w:val="0"/>
                    <w:jc w:val="center"/>
                    <w:rPr>
                      <w:b/>
                      <w:bCs/>
                      <w:szCs w:val="21"/>
                    </w:rPr>
                  </w:pPr>
                  <w:r>
                    <w:rPr>
                      <w:b/>
                      <w:bCs/>
                      <w:szCs w:val="21"/>
                    </w:rPr>
                    <w:t>名称</w:t>
                  </w:r>
                </w:p>
              </w:tc>
              <w:tc>
                <w:tcPr>
                  <w:tcW w:w="682" w:type="dxa"/>
                  <w:vAlign w:val="center"/>
                </w:tcPr>
                <w:p>
                  <w:pPr>
                    <w:adjustRightInd w:val="0"/>
                    <w:snapToGrid w:val="0"/>
                    <w:jc w:val="center"/>
                    <w:rPr>
                      <w:b/>
                      <w:bCs/>
                      <w:szCs w:val="21"/>
                    </w:rPr>
                  </w:pPr>
                  <w:r>
                    <w:rPr>
                      <w:b/>
                      <w:bCs/>
                      <w:szCs w:val="21"/>
                    </w:rPr>
                    <w:t>污染物种类</w:t>
                  </w:r>
                </w:p>
              </w:tc>
              <w:tc>
                <w:tcPr>
                  <w:tcW w:w="1027" w:type="dxa"/>
                  <w:vAlign w:val="center"/>
                </w:tcPr>
                <w:p>
                  <w:pPr>
                    <w:adjustRightInd w:val="0"/>
                    <w:snapToGrid w:val="0"/>
                    <w:jc w:val="center"/>
                    <w:rPr>
                      <w:b/>
                      <w:bCs/>
                      <w:szCs w:val="21"/>
                    </w:rPr>
                  </w:pPr>
                  <w:r>
                    <w:rPr>
                      <w:b/>
                      <w:bCs/>
                      <w:szCs w:val="21"/>
                    </w:rPr>
                    <w:t>国家或地方污染物排放标准浓度限值/（mg/L）</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restart"/>
                  <w:vAlign w:val="center"/>
                </w:tcPr>
                <w:p>
                  <w:pPr>
                    <w:adjustRightInd w:val="0"/>
                    <w:snapToGrid w:val="0"/>
                    <w:jc w:val="center"/>
                    <w:rPr>
                      <w:szCs w:val="21"/>
                    </w:rPr>
                  </w:pPr>
                  <w:r>
                    <w:rPr>
                      <w:szCs w:val="21"/>
                    </w:rPr>
                    <w:t>1</w:t>
                  </w:r>
                </w:p>
              </w:tc>
              <w:tc>
                <w:tcPr>
                  <w:tcW w:w="725" w:type="dxa"/>
                  <w:vMerge w:val="restart"/>
                  <w:vAlign w:val="center"/>
                </w:tcPr>
                <w:p>
                  <w:pPr>
                    <w:adjustRightInd w:val="0"/>
                    <w:snapToGrid w:val="0"/>
                    <w:jc w:val="center"/>
                    <w:rPr>
                      <w:szCs w:val="21"/>
                    </w:rPr>
                  </w:pPr>
                  <w:r>
                    <w:rPr>
                      <w:szCs w:val="21"/>
                    </w:rPr>
                    <w:t>DW001</w:t>
                  </w:r>
                </w:p>
              </w:tc>
              <w:tc>
                <w:tcPr>
                  <w:tcW w:w="848" w:type="dxa"/>
                  <w:vMerge w:val="restart"/>
                  <w:vAlign w:val="center"/>
                </w:tcPr>
                <w:p>
                  <w:pPr>
                    <w:adjustRightInd w:val="0"/>
                    <w:snapToGrid w:val="0"/>
                    <w:jc w:val="center"/>
                    <w:rPr>
                      <w:szCs w:val="21"/>
                    </w:rPr>
                  </w:pPr>
                  <w:r>
                    <w:rPr>
                      <w:szCs w:val="21"/>
                    </w:rPr>
                    <w:t>1</w:t>
                  </w:r>
                  <w:r>
                    <w:rPr>
                      <w:rFonts w:hint="eastAsia"/>
                      <w:szCs w:val="21"/>
                    </w:rPr>
                    <w:t>19.98°</w:t>
                  </w:r>
                </w:p>
              </w:tc>
              <w:tc>
                <w:tcPr>
                  <w:tcW w:w="752" w:type="dxa"/>
                  <w:vMerge w:val="restart"/>
                  <w:vAlign w:val="center"/>
                </w:tcPr>
                <w:p>
                  <w:pPr>
                    <w:adjustRightInd w:val="0"/>
                    <w:snapToGrid w:val="0"/>
                    <w:jc w:val="center"/>
                    <w:rPr>
                      <w:szCs w:val="21"/>
                    </w:rPr>
                  </w:pPr>
                  <w:r>
                    <w:rPr>
                      <w:szCs w:val="21"/>
                    </w:rPr>
                    <w:t>31.6</w:t>
                  </w:r>
                  <w:r>
                    <w:rPr>
                      <w:rFonts w:hint="eastAsia"/>
                      <w:szCs w:val="21"/>
                    </w:rPr>
                    <w:t>9°</w:t>
                  </w:r>
                </w:p>
              </w:tc>
              <w:tc>
                <w:tcPr>
                  <w:tcW w:w="875" w:type="dxa"/>
                  <w:vMerge w:val="restart"/>
                  <w:vAlign w:val="center"/>
                </w:tcPr>
                <w:p>
                  <w:pPr>
                    <w:adjustRightInd w:val="0"/>
                    <w:snapToGrid w:val="0"/>
                    <w:jc w:val="center"/>
                    <w:rPr>
                      <w:szCs w:val="21"/>
                    </w:rPr>
                  </w:pPr>
                  <w:r>
                    <w:rPr>
                      <w:szCs w:val="21"/>
                    </w:rPr>
                    <w:t>0.</w:t>
                  </w:r>
                  <w:r>
                    <w:rPr>
                      <w:rFonts w:hint="eastAsia"/>
                      <w:szCs w:val="21"/>
                    </w:rPr>
                    <w:t>0528</w:t>
                  </w:r>
                </w:p>
              </w:tc>
              <w:tc>
                <w:tcPr>
                  <w:tcW w:w="687" w:type="dxa"/>
                  <w:vMerge w:val="restart"/>
                  <w:vAlign w:val="center"/>
                </w:tcPr>
                <w:p>
                  <w:pPr>
                    <w:adjustRightInd w:val="0"/>
                    <w:snapToGrid w:val="0"/>
                    <w:jc w:val="center"/>
                    <w:rPr>
                      <w:szCs w:val="21"/>
                    </w:rPr>
                  </w:pPr>
                  <w:r>
                    <w:rPr>
                      <w:szCs w:val="21"/>
                    </w:rPr>
                    <w:t>进入城市污水处理厂</w:t>
                  </w:r>
                </w:p>
              </w:tc>
              <w:tc>
                <w:tcPr>
                  <w:tcW w:w="806" w:type="dxa"/>
                  <w:vMerge w:val="restart"/>
                  <w:vAlign w:val="center"/>
                </w:tcPr>
                <w:p>
                  <w:pPr>
                    <w:spacing w:line="280" w:lineRule="exact"/>
                    <w:jc w:val="center"/>
                    <w:rPr>
                      <w:szCs w:val="21"/>
                    </w:rPr>
                  </w:pPr>
                  <w:r>
                    <w:rPr>
                      <w:szCs w:val="21"/>
                    </w:rPr>
                    <w:t>间断排放，排放期间流量不稳定，但有周期性规律</w:t>
                  </w:r>
                </w:p>
              </w:tc>
              <w:tc>
                <w:tcPr>
                  <w:tcW w:w="700" w:type="dxa"/>
                  <w:vMerge w:val="restart"/>
                  <w:vAlign w:val="center"/>
                </w:tcPr>
                <w:p>
                  <w:pPr>
                    <w:spacing w:line="280" w:lineRule="exact"/>
                    <w:jc w:val="center"/>
                    <w:rPr>
                      <w:szCs w:val="21"/>
                    </w:rPr>
                  </w:pPr>
                  <w:r>
                    <w:rPr>
                      <w:rFonts w:hint="eastAsia"/>
                      <w:szCs w:val="21"/>
                    </w:rPr>
                    <w:t>9</w:t>
                  </w:r>
                  <w:r>
                    <w:rPr>
                      <w:szCs w:val="21"/>
                    </w:rPr>
                    <w:t>h/d</w:t>
                  </w:r>
                </w:p>
              </w:tc>
              <w:tc>
                <w:tcPr>
                  <w:tcW w:w="671" w:type="dxa"/>
                  <w:vMerge w:val="restart"/>
                  <w:vAlign w:val="center"/>
                </w:tcPr>
                <w:p>
                  <w:pPr>
                    <w:adjustRightInd w:val="0"/>
                    <w:snapToGrid w:val="0"/>
                    <w:jc w:val="center"/>
                    <w:rPr>
                      <w:szCs w:val="21"/>
                    </w:rPr>
                  </w:pPr>
                  <w:r>
                    <w:rPr>
                      <w:rFonts w:hint="eastAsia"/>
                      <w:szCs w:val="21"/>
                    </w:rPr>
                    <w:t>武南</w:t>
                  </w:r>
                  <w:r>
                    <w:rPr>
                      <w:szCs w:val="21"/>
                    </w:rPr>
                    <w:t>污水处理厂</w:t>
                  </w:r>
                </w:p>
              </w:tc>
              <w:tc>
                <w:tcPr>
                  <w:tcW w:w="682" w:type="dxa"/>
                  <w:vAlign w:val="center"/>
                </w:tcPr>
                <w:p>
                  <w:pPr>
                    <w:adjustRightInd w:val="0"/>
                    <w:snapToGrid w:val="0"/>
                    <w:jc w:val="center"/>
                    <w:rPr>
                      <w:szCs w:val="21"/>
                    </w:rPr>
                  </w:pPr>
                  <w:r>
                    <w:rPr>
                      <w:szCs w:val="21"/>
                    </w:rPr>
                    <w:t>COD</w:t>
                  </w:r>
                </w:p>
              </w:tc>
              <w:tc>
                <w:tcPr>
                  <w:tcW w:w="1027" w:type="dxa"/>
                  <w:vAlign w:val="center"/>
                </w:tcPr>
                <w:p>
                  <w:pPr>
                    <w:adjustRightInd w:val="0"/>
                    <w:snapToGrid w:val="0"/>
                    <w:jc w:val="center"/>
                    <w:rPr>
                      <w:szCs w:val="21"/>
                    </w:rPr>
                  </w:pPr>
                  <w:r>
                    <w:rPr>
                      <w:szCs w:val="21"/>
                    </w:rPr>
                    <w:t>50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continue"/>
                  <w:vAlign w:val="center"/>
                </w:tcPr>
                <w:p>
                  <w:pPr>
                    <w:adjustRightInd w:val="0"/>
                    <w:snapToGrid w:val="0"/>
                    <w:rPr>
                      <w:szCs w:val="21"/>
                    </w:rPr>
                  </w:pPr>
                </w:p>
              </w:tc>
              <w:tc>
                <w:tcPr>
                  <w:tcW w:w="725" w:type="dxa"/>
                  <w:vMerge w:val="continue"/>
                  <w:vAlign w:val="center"/>
                </w:tcPr>
                <w:p>
                  <w:pPr>
                    <w:adjustRightInd w:val="0"/>
                    <w:snapToGrid w:val="0"/>
                    <w:rPr>
                      <w:szCs w:val="21"/>
                    </w:rPr>
                  </w:pPr>
                </w:p>
              </w:tc>
              <w:tc>
                <w:tcPr>
                  <w:tcW w:w="848" w:type="dxa"/>
                  <w:vMerge w:val="continue"/>
                  <w:vAlign w:val="center"/>
                </w:tcPr>
                <w:p>
                  <w:pPr>
                    <w:adjustRightInd w:val="0"/>
                    <w:snapToGrid w:val="0"/>
                    <w:rPr>
                      <w:szCs w:val="21"/>
                    </w:rPr>
                  </w:pPr>
                </w:p>
              </w:tc>
              <w:tc>
                <w:tcPr>
                  <w:tcW w:w="752" w:type="dxa"/>
                  <w:vMerge w:val="continue"/>
                  <w:vAlign w:val="center"/>
                </w:tcPr>
                <w:p>
                  <w:pPr>
                    <w:adjustRightInd w:val="0"/>
                    <w:snapToGrid w:val="0"/>
                    <w:rPr>
                      <w:szCs w:val="21"/>
                    </w:rPr>
                  </w:pPr>
                </w:p>
              </w:tc>
              <w:tc>
                <w:tcPr>
                  <w:tcW w:w="875" w:type="dxa"/>
                  <w:vMerge w:val="continue"/>
                  <w:vAlign w:val="center"/>
                </w:tcPr>
                <w:p>
                  <w:pPr>
                    <w:adjustRightInd w:val="0"/>
                    <w:snapToGrid w:val="0"/>
                    <w:rPr>
                      <w:szCs w:val="21"/>
                    </w:rPr>
                  </w:pPr>
                </w:p>
              </w:tc>
              <w:tc>
                <w:tcPr>
                  <w:tcW w:w="687" w:type="dxa"/>
                  <w:vMerge w:val="continue"/>
                  <w:vAlign w:val="center"/>
                </w:tcPr>
                <w:p>
                  <w:pPr>
                    <w:adjustRightInd w:val="0"/>
                    <w:snapToGrid w:val="0"/>
                    <w:rPr>
                      <w:szCs w:val="21"/>
                    </w:rPr>
                  </w:pPr>
                </w:p>
              </w:tc>
              <w:tc>
                <w:tcPr>
                  <w:tcW w:w="806" w:type="dxa"/>
                  <w:vMerge w:val="continue"/>
                  <w:vAlign w:val="center"/>
                </w:tcPr>
                <w:p>
                  <w:pPr>
                    <w:adjustRightInd w:val="0"/>
                    <w:snapToGrid w:val="0"/>
                    <w:rPr>
                      <w:szCs w:val="21"/>
                    </w:rPr>
                  </w:pPr>
                </w:p>
              </w:tc>
              <w:tc>
                <w:tcPr>
                  <w:tcW w:w="700" w:type="dxa"/>
                  <w:vMerge w:val="continue"/>
                  <w:vAlign w:val="center"/>
                </w:tcPr>
                <w:p>
                  <w:pPr>
                    <w:adjustRightInd w:val="0"/>
                    <w:snapToGrid w:val="0"/>
                    <w:rPr>
                      <w:szCs w:val="21"/>
                    </w:rPr>
                  </w:pPr>
                </w:p>
              </w:tc>
              <w:tc>
                <w:tcPr>
                  <w:tcW w:w="671" w:type="dxa"/>
                  <w:vMerge w:val="continue"/>
                  <w:vAlign w:val="center"/>
                </w:tcPr>
                <w:p>
                  <w:pPr>
                    <w:adjustRightInd w:val="0"/>
                    <w:snapToGrid w:val="0"/>
                    <w:jc w:val="center"/>
                    <w:rPr>
                      <w:szCs w:val="21"/>
                    </w:rPr>
                  </w:pPr>
                </w:p>
              </w:tc>
              <w:tc>
                <w:tcPr>
                  <w:tcW w:w="682" w:type="dxa"/>
                  <w:vAlign w:val="center"/>
                </w:tcPr>
                <w:p>
                  <w:pPr>
                    <w:adjustRightInd w:val="0"/>
                    <w:snapToGrid w:val="0"/>
                    <w:jc w:val="center"/>
                    <w:rPr>
                      <w:szCs w:val="21"/>
                    </w:rPr>
                  </w:pPr>
                  <w:r>
                    <w:rPr>
                      <w:szCs w:val="21"/>
                    </w:rPr>
                    <w:t>SS</w:t>
                  </w:r>
                </w:p>
              </w:tc>
              <w:tc>
                <w:tcPr>
                  <w:tcW w:w="1027" w:type="dxa"/>
                  <w:vAlign w:val="center"/>
                </w:tcPr>
                <w:p>
                  <w:pPr>
                    <w:adjustRightInd w:val="0"/>
                    <w:snapToGrid w:val="0"/>
                    <w:jc w:val="center"/>
                    <w:rPr>
                      <w:szCs w:val="21"/>
                    </w:rPr>
                  </w:pPr>
                  <w:r>
                    <w:rPr>
                      <w:szCs w:val="21"/>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continue"/>
                  <w:vAlign w:val="center"/>
                </w:tcPr>
                <w:p>
                  <w:pPr>
                    <w:adjustRightInd w:val="0"/>
                    <w:snapToGrid w:val="0"/>
                    <w:rPr>
                      <w:szCs w:val="21"/>
                    </w:rPr>
                  </w:pPr>
                </w:p>
              </w:tc>
              <w:tc>
                <w:tcPr>
                  <w:tcW w:w="725" w:type="dxa"/>
                  <w:vMerge w:val="continue"/>
                  <w:vAlign w:val="center"/>
                </w:tcPr>
                <w:p>
                  <w:pPr>
                    <w:adjustRightInd w:val="0"/>
                    <w:snapToGrid w:val="0"/>
                    <w:rPr>
                      <w:szCs w:val="21"/>
                    </w:rPr>
                  </w:pPr>
                </w:p>
              </w:tc>
              <w:tc>
                <w:tcPr>
                  <w:tcW w:w="848" w:type="dxa"/>
                  <w:vMerge w:val="continue"/>
                  <w:vAlign w:val="center"/>
                </w:tcPr>
                <w:p>
                  <w:pPr>
                    <w:adjustRightInd w:val="0"/>
                    <w:snapToGrid w:val="0"/>
                    <w:rPr>
                      <w:szCs w:val="21"/>
                    </w:rPr>
                  </w:pPr>
                </w:p>
              </w:tc>
              <w:tc>
                <w:tcPr>
                  <w:tcW w:w="752" w:type="dxa"/>
                  <w:vMerge w:val="continue"/>
                  <w:vAlign w:val="center"/>
                </w:tcPr>
                <w:p>
                  <w:pPr>
                    <w:adjustRightInd w:val="0"/>
                    <w:snapToGrid w:val="0"/>
                    <w:rPr>
                      <w:szCs w:val="21"/>
                    </w:rPr>
                  </w:pPr>
                </w:p>
              </w:tc>
              <w:tc>
                <w:tcPr>
                  <w:tcW w:w="875" w:type="dxa"/>
                  <w:vMerge w:val="continue"/>
                  <w:vAlign w:val="center"/>
                </w:tcPr>
                <w:p>
                  <w:pPr>
                    <w:adjustRightInd w:val="0"/>
                    <w:snapToGrid w:val="0"/>
                    <w:rPr>
                      <w:szCs w:val="21"/>
                    </w:rPr>
                  </w:pPr>
                </w:p>
              </w:tc>
              <w:tc>
                <w:tcPr>
                  <w:tcW w:w="687" w:type="dxa"/>
                  <w:vMerge w:val="continue"/>
                  <w:vAlign w:val="center"/>
                </w:tcPr>
                <w:p>
                  <w:pPr>
                    <w:adjustRightInd w:val="0"/>
                    <w:snapToGrid w:val="0"/>
                    <w:rPr>
                      <w:szCs w:val="21"/>
                    </w:rPr>
                  </w:pPr>
                </w:p>
              </w:tc>
              <w:tc>
                <w:tcPr>
                  <w:tcW w:w="806" w:type="dxa"/>
                  <w:vMerge w:val="continue"/>
                  <w:vAlign w:val="center"/>
                </w:tcPr>
                <w:p>
                  <w:pPr>
                    <w:adjustRightInd w:val="0"/>
                    <w:snapToGrid w:val="0"/>
                    <w:rPr>
                      <w:szCs w:val="21"/>
                    </w:rPr>
                  </w:pPr>
                </w:p>
              </w:tc>
              <w:tc>
                <w:tcPr>
                  <w:tcW w:w="700" w:type="dxa"/>
                  <w:vMerge w:val="continue"/>
                  <w:vAlign w:val="center"/>
                </w:tcPr>
                <w:p>
                  <w:pPr>
                    <w:adjustRightInd w:val="0"/>
                    <w:snapToGrid w:val="0"/>
                    <w:rPr>
                      <w:szCs w:val="21"/>
                    </w:rPr>
                  </w:pPr>
                </w:p>
              </w:tc>
              <w:tc>
                <w:tcPr>
                  <w:tcW w:w="671" w:type="dxa"/>
                  <w:vMerge w:val="continue"/>
                  <w:vAlign w:val="center"/>
                </w:tcPr>
                <w:p>
                  <w:pPr>
                    <w:adjustRightInd w:val="0"/>
                    <w:snapToGrid w:val="0"/>
                    <w:jc w:val="center"/>
                    <w:rPr>
                      <w:szCs w:val="21"/>
                    </w:rPr>
                  </w:pPr>
                </w:p>
              </w:tc>
              <w:tc>
                <w:tcPr>
                  <w:tcW w:w="682" w:type="dxa"/>
                  <w:vAlign w:val="center"/>
                </w:tcPr>
                <w:p>
                  <w:pPr>
                    <w:adjustRightInd w:val="0"/>
                    <w:snapToGrid w:val="0"/>
                    <w:jc w:val="center"/>
                    <w:rPr>
                      <w:szCs w:val="21"/>
                    </w:rPr>
                  </w:pPr>
                  <w:r>
                    <w:rPr>
                      <w:szCs w:val="21"/>
                    </w:rPr>
                    <w:t>氨氮</w:t>
                  </w:r>
                </w:p>
              </w:tc>
              <w:tc>
                <w:tcPr>
                  <w:tcW w:w="1027" w:type="dxa"/>
                  <w:vAlign w:val="center"/>
                </w:tcPr>
                <w:p>
                  <w:pPr>
                    <w:adjustRightInd w:val="0"/>
                    <w:snapToGrid w:val="0"/>
                    <w:jc w:val="center"/>
                    <w:rPr>
                      <w:szCs w:val="21"/>
                    </w:rPr>
                  </w:pPr>
                  <w:r>
                    <w:rPr>
                      <w:szCs w:val="21"/>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continue"/>
                  <w:vAlign w:val="center"/>
                </w:tcPr>
                <w:p>
                  <w:pPr>
                    <w:adjustRightInd w:val="0"/>
                    <w:snapToGrid w:val="0"/>
                    <w:rPr>
                      <w:szCs w:val="21"/>
                    </w:rPr>
                  </w:pPr>
                </w:p>
              </w:tc>
              <w:tc>
                <w:tcPr>
                  <w:tcW w:w="725" w:type="dxa"/>
                  <w:vMerge w:val="continue"/>
                  <w:vAlign w:val="center"/>
                </w:tcPr>
                <w:p>
                  <w:pPr>
                    <w:adjustRightInd w:val="0"/>
                    <w:snapToGrid w:val="0"/>
                    <w:rPr>
                      <w:szCs w:val="21"/>
                    </w:rPr>
                  </w:pPr>
                </w:p>
              </w:tc>
              <w:tc>
                <w:tcPr>
                  <w:tcW w:w="848" w:type="dxa"/>
                  <w:vMerge w:val="continue"/>
                  <w:vAlign w:val="center"/>
                </w:tcPr>
                <w:p>
                  <w:pPr>
                    <w:adjustRightInd w:val="0"/>
                    <w:snapToGrid w:val="0"/>
                    <w:rPr>
                      <w:szCs w:val="21"/>
                    </w:rPr>
                  </w:pPr>
                </w:p>
              </w:tc>
              <w:tc>
                <w:tcPr>
                  <w:tcW w:w="752" w:type="dxa"/>
                  <w:vMerge w:val="continue"/>
                  <w:vAlign w:val="center"/>
                </w:tcPr>
                <w:p>
                  <w:pPr>
                    <w:adjustRightInd w:val="0"/>
                    <w:snapToGrid w:val="0"/>
                    <w:rPr>
                      <w:szCs w:val="21"/>
                    </w:rPr>
                  </w:pPr>
                </w:p>
              </w:tc>
              <w:tc>
                <w:tcPr>
                  <w:tcW w:w="875" w:type="dxa"/>
                  <w:vMerge w:val="continue"/>
                  <w:vAlign w:val="center"/>
                </w:tcPr>
                <w:p>
                  <w:pPr>
                    <w:adjustRightInd w:val="0"/>
                    <w:snapToGrid w:val="0"/>
                    <w:rPr>
                      <w:szCs w:val="21"/>
                    </w:rPr>
                  </w:pPr>
                </w:p>
              </w:tc>
              <w:tc>
                <w:tcPr>
                  <w:tcW w:w="687" w:type="dxa"/>
                  <w:vMerge w:val="continue"/>
                  <w:vAlign w:val="center"/>
                </w:tcPr>
                <w:p>
                  <w:pPr>
                    <w:adjustRightInd w:val="0"/>
                    <w:snapToGrid w:val="0"/>
                    <w:rPr>
                      <w:szCs w:val="21"/>
                    </w:rPr>
                  </w:pPr>
                </w:p>
              </w:tc>
              <w:tc>
                <w:tcPr>
                  <w:tcW w:w="806" w:type="dxa"/>
                  <w:vMerge w:val="continue"/>
                  <w:vAlign w:val="center"/>
                </w:tcPr>
                <w:p>
                  <w:pPr>
                    <w:adjustRightInd w:val="0"/>
                    <w:snapToGrid w:val="0"/>
                    <w:rPr>
                      <w:szCs w:val="21"/>
                    </w:rPr>
                  </w:pPr>
                </w:p>
              </w:tc>
              <w:tc>
                <w:tcPr>
                  <w:tcW w:w="700" w:type="dxa"/>
                  <w:vMerge w:val="continue"/>
                  <w:vAlign w:val="center"/>
                </w:tcPr>
                <w:p>
                  <w:pPr>
                    <w:adjustRightInd w:val="0"/>
                    <w:snapToGrid w:val="0"/>
                    <w:rPr>
                      <w:szCs w:val="21"/>
                    </w:rPr>
                  </w:pPr>
                </w:p>
              </w:tc>
              <w:tc>
                <w:tcPr>
                  <w:tcW w:w="671" w:type="dxa"/>
                  <w:vMerge w:val="continue"/>
                  <w:vAlign w:val="center"/>
                </w:tcPr>
                <w:p>
                  <w:pPr>
                    <w:adjustRightInd w:val="0"/>
                    <w:snapToGrid w:val="0"/>
                    <w:jc w:val="center"/>
                    <w:rPr>
                      <w:szCs w:val="21"/>
                    </w:rPr>
                  </w:pPr>
                </w:p>
              </w:tc>
              <w:tc>
                <w:tcPr>
                  <w:tcW w:w="682" w:type="dxa"/>
                  <w:vAlign w:val="center"/>
                </w:tcPr>
                <w:p>
                  <w:pPr>
                    <w:adjustRightInd w:val="0"/>
                    <w:snapToGrid w:val="0"/>
                    <w:jc w:val="center"/>
                    <w:rPr>
                      <w:szCs w:val="21"/>
                    </w:rPr>
                  </w:pPr>
                  <w:r>
                    <w:rPr>
                      <w:szCs w:val="21"/>
                    </w:rPr>
                    <w:t>总氮</w:t>
                  </w:r>
                </w:p>
              </w:tc>
              <w:tc>
                <w:tcPr>
                  <w:tcW w:w="1027" w:type="dxa"/>
                  <w:vAlign w:val="center"/>
                </w:tcPr>
                <w:p>
                  <w:pPr>
                    <w:adjustRightInd w:val="0"/>
                    <w:snapToGrid w:val="0"/>
                    <w:jc w:val="center"/>
                    <w:rPr>
                      <w:szCs w:val="21"/>
                    </w:rPr>
                  </w:pPr>
                  <w:r>
                    <w:rPr>
                      <w:szCs w:val="21"/>
                    </w:rPr>
                    <w:t>12（15）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continue"/>
                  <w:vAlign w:val="center"/>
                </w:tcPr>
                <w:p>
                  <w:pPr>
                    <w:adjustRightInd w:val="0"/>
                    <w:snapToGrid w:val="0"/>
                    <w:rPr>
                      <w:szCs w:val="21"/>
                    </w:rPr>
                  </w:pPr>
                </w:p>
              </w:tc>
              <w:tc>
                <w:tcPr>
                  <w:tcW w:w="725" w:type="dxa"/>
                  <w:vMerge w:val="continue"/>
                  <w:vAlign w:val="center"/>
                </w:tcPr>
                <w:p>
                  <w:pPr>
                    <w:adjustRightInd w:val="0"/>
                    <w:snapToGrid w:val="0"/>
                    <w:rPr>
                      <w:szCs w:val="21"/>
                    </w:rPr>
                  </w:pPr>
                </w:p>
              </w:tc>
              <w:tc>
                <w:tcPr>
                  <w:tcW w:w="848" w:type="dxa"/>
                  <w:vMerge w:val="continue"/>
                  <w:vAlign w:val="center"/>
                </w:tcPr>
                <w:p>
                  <w:pPr>
                    <w:adjustRightInd w:val="0"/>
                    <w:snapToGrid w:val="0"/>
                    <w:rPr>
                      <w:szCs w:val="21"/>
                    </w:rPr>
                  </w:pPr>
                </w:p>
              </w:tc>
              <w:tc>
                <w:tcPr>
                  <w:tcW w:w="752" w:type="dxa"/>
                  <w:vMerge w:val="continue"/>
                  <w:vAlign w:val="center"/>
                </w:tcPr>
                <w:p>
                  <w:pPr>
                    <w:adjustRightInd w:val="0"/>
                    <w:snapToGrid w:val="0"/>
                    <w:rPr>
                      <w:szCs w:val="21"/>
                    </w:rPr>
                  </w:pPr>
                </w:p>
              </w:tc>
              <w:tc>
                <w:tcPr>
                  <w:tcW w:w="875" w:type="dxa"/>
                  <w:vMerge w:val="continue"/>
                  <w:vAlign w:val="center"/>
                </w:tcPr>
                <w:p>
                  <w:pPr>
                    <w:adjustRightInd w:val="0"/>
                    <w:snapToGrid w:val="0"/>
                    <w:rPr>
                      <w:szCs w:val="21"/>
                    </w:rPr>
                  </w:pPr>
                </w:p>
              </w:tc>
              <w:tc>
                <w:tcPr>
                  <w:tcW w:w="687" w:type="dxa"/>
                  <w:vMerge w:val="continue"/>
                  <w:vAlign w:val="center"/>
                </w:tcPr>
                <w:p>
                  <w:pPr>
                    <w:adjustRightInd w:val="0"/>
                    <w:snapToGrid w:val="0"/>
                    <w:rPr>
                      <w:szCs w:val="21"/>
                    </w:rPr>
                  </w:pPr>
                </w:p>
              </w:tc>
              <w:tc>
                <w:tcPr>
                  <w:tcW w:w="806" w:type="dxa"/>
                  <w:vMerge w:val="continue"/>
                  <w:vAlign w:val="center"/>
                </w:tcPr>
                <w:p>
                  <w:pPr>
                    <w:adjustRightInd w:val="0"/>
                    <w:snapToGrid w:val="0"/>
                    <w:rPr>
                      <w:szCs w:val="21"/>
                    </w:rPr>
                  </w:pPr>
                </w:p>
              </w:tc>
              <w:tc>
                <w:tcPr>
                  <w:tcW w:w="700" w:type="dxa"/>
                  <w:vMerge w:val="continue"/>
                  <w:vAlign w:val="center"/>
                </w:tcPr>
                <w:p>
                  <w:pPr>
                    <w:adjustRightInd w:val="0"/>
                    <w:snapToGrid w:val="0"/>
                    <w:rPr>
                      <w:szCs w:val="21"/>
                    </w:rPr>
                  </w:pPr>
                </w:p>
              </w:tc>
              <w:tc>
                <w:tcPr>
                  <w:tcW w:w="671" w:type="dxa"/>
                  <w:vMerge w:val="continue"/>
                  <w:vAlign w:val="center"/>
                </w:tcPr>
                <w:p>
                  <w:pPr>
                    <w:adjustRightInd w:val="0"/>
                    <w:snapToGrid w:val="0"/>
                    <w:jc w:val="center"/>
                    <w:rPr>
                      <w:szCs w:val="21"/>
                    </w:rPr>
                  </w:pPr>
                </w:p>
              </w:tc>
              <w:tc>
                <w:tcPr>
                  <w:tcW w:w="682" w:type="dxa"/>
                  <w:vAlign w:val="center"/>
                </w:tcPr>
                <w:p>
                  <w:pPr>
                    <w:adjustRightInd w:val="0"/>
                    <w:snapToGrid w:val="0"/>
                    <w:jc w:val="center"/>
                    <w:rPr>
                      <w:szCs w:val="21"/>
                    </w:rPr>
                  </w:pPr>
                  <w:r>
                    <w:rPr>
                      <w:szCs w:val="21"/>
                    </w:rPr>
                    <w:t>总磷</w:t>
                  </w:r>
                </w:p>
              </w:tc>
              <w:tc>
                <w:tcPr>
                  <w:tcW w:w="1027" w:type="dxa"/>
                  <w:vAlign w:val="center"/>
                </w:tcPr>
                <w:p>
                  <w:pPr>
                    <w:adjustRightInd w:val="0"/>
                    <w:snapToGrid w:val="0"/>
                    <w:jc w:val="center"/>
                    <w:rPr>
                      <w:szCs w:val="21"/>
                    </w:rPr>
                  </w:pPr>
                  <w:r>
                    <w:rPr>
                      <w:szCs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454" w:hRule="atLeast"/>
                <w:jc w:val="center"/>
              </w:trPr>
              <w:tc>
                <w:tcPr>
                  <w:tcW w:w="350" w:type="dxa"/>
                  <w:vMerge w:val="continue"/>
                  <w:vAlign w:val="center"/>
                </w:tcPr>
                <w:p>
                  <w:pPr>
                    <w:adjustRightInd w:val="0"/>
                    <w:snapToGrid w:val="0"/>
                    <w:rPr>
                      <w:szCs w:val="21"/>
                    </w:rPr>
                  </w:pPr>
                </w:p>
              </w:tc>
              <w:tc>
                <w:tcPr>
                  <w:tcW w:w="725" w:type="dxa"/>
                  <w:vMerge w:val="continue"/>
                  <w:vAlign w:val="center"/>
                </w:tcPr>
                <w:p>
                  <w:pPr>
                    <w:adjustRightInd w:val="0"/>
                    <w:snapToGrid w:val="0"/>
                    <w:rPr>
                      <w:szCs w:val="21"/>
                    </w:rPr>
                  </w:pPr>
                </w:p>
              </w:tc>
              <w:tc>
                <w:tcPr>
                  <w:tcW w:w="848" w:type="dxa"/>
                  <w:vMerge w:val="continue"/>
                  <w:vAlign w:val="center"/>
                </w:tcPr>
                <w:p>
                  <w:pPr>
                    <w:adjustRightInd w:val="0"/>
                    <w:snapToGrid w:val="0"/>
                    <w:rPr>
                      <w:szCs w:val="21"/>
                    </w:rPr>
                  </w:pPr>
                </w:p>
              </w:tc>
              <w:tc>
                <w:tcPr>
                  <w:tcW w:w="752" w:type="dxa"/>
                  <w:vMerge w:val="continue"/>
                  <w:vAlign w:val="center"/>
                </w:tcPr>
                <w:p>
                  <w:pPr>
                    <w:adjustRightInd w:val="0"/>
                    <w:snapToGrid w:val="0"/>
                    <w:rPr>
                      <w:szCs w:val="21"/>
                    </w:rPr>
                  </w:pPr>
                </w:p>
              </w:tc>
              <w:tc>
                <w:tcPr>
                  <w:tcW w:w="875" w:type="dxa"/>
                  <w:vMerge w:val="continue"/>
                  <w:vAlign w:val="center"/>
                </w:tcPr>
                <w:p>
                  <w:pPr>
                    <w:adjustRightInd w:val="0"/>
                    <w:snapToGrid w:val="0"/>
                    <w:rPr>
                      <w:szCs w:val="21"/>
                    </w:rPr>
                  </w:pPr>
                </w:p>
              </w:tc>
              <w:tc>
                <w:tcPr>
                  <w:tcW w:w="687" w:type="dxa"/>
                  <w:vMerge w:val="continue"/>
                  <w:vAlign w:val="center"/>
                </w:tcPr>
                <w:p>
                  <w:pPr>
                    <w:adjustRightInd w:val="0"/>
                    <w:snapToGrid w:val="0"/>
                    <w:rPr>
                      <w:szCs w:val="21"/>
                    </w:rPr>
                  </w:pPr>
                </w:p>
              </w:tc>
              <w:tc>
                <w:tcPr>
                  <w:tcW w:w="806" w:type="dxa"/>
                  <w:vMerge w:val="continue"/>
                  <w:vAlign w:val="center"/>
                </w:tcPr>
                <w:p>
                  <w:pPr>
                    <w:adjustRightInd w:val="0"/>
                    <w:snapToGrid w:val="0"/>
                    <w:rPr>
                      <w:szCs w:val="21"/>
                    </w:rPr>
                  </w:pPr>
                </w:p>
              </w:tc>
              <w:tc>
                <w:tcPr>
                  <w:tcW w:w="700" w:type="dxa"/>
                  <w:vMerge w:val="continue"/>
                  <w:vAlign w:val="center"/>
                </w:tcPr>
                <w:p>
                  <w:pPr>
                    <w:adjustRightInd w:val="0"/>
                    <w:snapToGrid w:val="0"/>
                    <w:rPr>
                      <w:szCs w:val="21"/>
                    </w:rPr>
                  </w:pPr>
                </w:p>
              </w:tc>
              <w:tc>
                <w:tcPr>
                  <w:tcW w:w="671" w:type="dxa"/>
                  <w:vMerge w:val="continue"/>
                  <w:vAlign w:val="center"/>
                </w:tcPr>
                <w:p>
                  <w:pPr>
                    <w:adjustRightInd w:val="0"/>
                    <w:snapToGrid w:val="0"/>
                    <w:jc w:val="center"/>
                    <w:rPr>
                      <w:szCs w:val="21"/>
                    </w:rPr>
                  </w:pPr>
                </w:p>
              </w:tc>
              <w:tc>
                <w:tcPr>
                  <w:tcW w:w="682" w:type="dxa"/>
                  <w:vAlign w:val="center"/>
                </w:tcPr>
                <w:p>
                  <w:pPr>
                    <w:adjustRightInd w:val="0"/>
                    <w:snapToGrid w:val="0"/>
                    <w:jc w:val="center"/>
                    <w:rPr>
                      <w:szCs w:val="21"/>
                    </w:rPr>
                  </w:pPr>
                  <w:r>
                    <w:rPr>
                      <w:szCs w:val="21"/>
                    </w:rPr>
                    <w:t>动植物油</w:t>
                  </w:r>
                </w:p>
              </w:tc>
              <w:tc>
                <w:tcPr>
                  <w:tcW w:w="1027" w:type="dxa"/>
                  <w:vAlign w:val="center"/>
                </w:tcPr>
                <w:p>
                  <w:pPr>
                    <w:adjustRightInd w:val="0"/>
                    <w:snapToGrid w:val="0"/>
                    <w:jc w:val="center"/>
                    <w:rPr>
                      <w:szCs w:val="21"/>
                    </w:rPr>
                  </w:pPr>
                  <w:r>
                    <w:rPr>
                      <w:szCs w:val="21"/>
                    </w:rPr>
                    <w:t>1</w:t>
                  </w:r>
                </w:p>
              </w:tc>
            </w:tr>
          </w:tbl>
          <w:p>
            <w:pPr>
              <w:pStyle w:val="49"/>
              <w:spacing w:line="360" w:lineRule="auto"/>
              <w:ind w:firstLine="480" w:firstLineChars="200"/>
            </w:pPr>
            <w:r>
              <w:t>本项目废水污染物排放执行标准表如下。</w:t>
            </w: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p>
          <w:p>
            <w:pPr>
              <w:pStyle w:val="9"/>
              <w:spacing w:after="0"/>
              <w:ind w:left="0" w:leftChars="0" w:right="0" w:rightChars="0"/>
              <w:jc w:val="center"/>
              <w:rPr>
                <w:rFonts w:ascii="Times New Roman"/>
                <w:b/>
                <w:sz w:val="24"/>
              </w:rPr>
            </w:pPr>
            <w:r>
              <w:rPr>
                <w:rFonts w:ascii="Times New Roman"/>
                <w:b/>
                <w:sz w:val="24"/>
              </w:rPr>
              <w:t>表</w:t>
            </w:r>
            <w:r>
              <w:rPr>
                <w:rFonts w:ascii="Times New Roman" w:hAnsi="Times New Roman"/>
                <w:b/>
                <w:sz w:val="24"/>
              </w:rPr>
              <w:t>4-</w:t>
            </w:r>
            <w:r>
              <w:rPr>
                <w:rFonts w:hint="eastAsia" w:ascii="Times New Roman" w:hAnsi="Times New Roman"/>
                <w:b/>
                <w:sz w:val="24"/>
              </w:rPr>
              <w:t>11</w:t>
            </w:r>
            <w:r>
              <w:rPr>
                <w:rFonts w:ascii="Times New Roman" w:hAnsi="Times New Roman"/>
                <w:b/>
                <w:sz w:val="24"/>
              </w:rPr>
              <w:t xml:space="preserve"> </w:t>
            </w:r>
            <w:r>
              <w:rPr>
                <w:rFonts w:ascii="Times New Roman"/>
                <w:b/>
                <w:sz w:val="24"/>
              </w:rPr>
              <w:t>废水污染物排放执行标准表</w:t>
            </w:r>
          </w:p>
          <w:tbl>
            <w:tblPr>
              <w:tblStyle w:val="22"/>
              <w:tblW w:w="802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79" w:type="dxa"/>
                <w:bottom w:w="0" w:type="dxa"/>
                <w:right w:w="79" w:type="dxa"/>
              </w:tblCellMar>
            </w:tblPr>
            <w:tblGrid>
              <w:gridCol w:w="698"/>
              <w:gridCol w:w="1100"/>
              <w:gridCol w:w="1400"/>
              <w:gridCol w:w="3035"/>
              <w:gridCol w:w="1794"/>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698" w:type="dxa"/>
                  <w:vMerge w:val="restart"/>
                  <w:vAlign w:val="center"/>
                </w:tcPr>
                <w:p>
                  <w:pPr>
                    <w:adjustRightInd w:val="0"/>
                    <w:snapToGrid w:val="0"/>
                    <w:jc w:val="center"/>
                    <w:rPr>
                      <w:b/>
                      <w:bCs/>
                      <w:szCs w:val="21"/>
                    </w:rPr>
                  </w:pPr>
                  <w:r>
                    <w:rPr>
                      <w:b/>
                      <w:bCs/>
                      <w:szCs w:val="21"/>
                    </w:rPr>
                    <w:t>序号</w:t>
                  </w:r>
                </w:p>
              </w:tc>
              <w:tc>
                <w:tcPr>
                  <w:tcW w:w="1100" w:type="dxa"/>
                  <w:vMerge w:val="restart"/>
                  <w:vAlign w:val="center"/>
                </w:tcPr>
                <w:p>
                  <w:pPr>
                    <w:adjustRightInd w:val="0"/>
                    <w:snapToGrid w:val="0"/>
                    <w:jc w:val="center"/>
                    <w:rPr>
                      <w:b/>
                      <w:bCs/>
                      <w:szCs w:val="21"/>
                    </w:rPr>
                  </w:pPr>
                  <w:r>
                    <w:rPr>
                      <w:b/>
                      <w:bCs/>
                      <w:szCs w:val="21"/>
                    </w:rPr>
                    <w:t>排放口</w:t>
                  </w:r>
                </w:p>
                <w:p>
                  <w:pPr>
                    <w:adjustRightInd w:val="0"/>
                    <w:snapToGrid w:val="0"/>
                    <w:jc w:val="center"/>
                    <w:rPr>
                      <w:b/>
                      <w:bCs/>
                      <w:szCs w:val="21"/>
                    </w:rPr>
                  </w:pPr>
                  <w:r>
                    <w:rPr>
                      <w:b/>
                      <w:bCs/>
                      <w:szCs w:val="21"/>
                    </w:rPr>
                    <w:t>编号</w:t>
                  </w:r>
                </w:p>
              </w:tc>
              <w:tc>
                <w:tcPr>
                  <w:tcW w:w="1400" w:type="dxa"/>
                  <w:vMerge w:val="restart"/>
                  <w:vAlign w:val="center"/>
                </w:tcPr>
                <w:p>
                  <w:pPr>
                    <w:adjustRightInd w:val="0"/>
                    <w:snapToGrid w:val="0"/>
                    <w:jc w:val="center"/>
                    <w:rPr>
                      <w:b/>
                      <w:bCs/>
                      <w:szCs w:val="21"/>
                    </w:rPr>
                  </w:pPr>
                  <w:r>
                    <w:rPr>
                      <w:b/>
                      <w:bCs/>
                      <w:szCs w:val="21"/>
                    </w:rPr>
                    <w:t>污染物种类</w:t>
                  </w:r>
                </w:p>
              </w:tc>
              <w:tc>
                <w:tcPr>
                  <w:tcW w:w="4829" w:type="dxa"/>
                  <w:gridSpan w:val="2"/>
                  <w:vAlign w:val="center"/>
                </w:tcPr>
                <w:p>
                  <w:pPr>
                    <w:adjustRightInd w:val="0"/>
                    <w:snapToGrid w:val="0"/>
                    <w:jc w:val="center"/>
                    <w:rPr>
                      <w:b/>
                      <w:bCs/>
                      <w:szCs w:val="21"/>
                    </w:rPr>
                  </w:pPr>
                  <w:r>
                    <w:rPr>
                      <w:b/>
                      <w:bCs/>
                      <w:szCs w:val="21"/>
                    </w:rPr>
                    <w:t>国家或地方污染物排放标准及其他按规定商定的排放协议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698" w:type="dxa"/>
                  <w:vMerge w:val="continue"/>
                  <w:vAlign w:val="center"/>
                </w:tcPr>
                <w:p>
                  <w:pPr>
                    <w:adjustRightInd w:val="0"/>
                    <w:snapToGrid w:val="0"/>
                    <w:jc w:val="center"/>
                    <w:rPr>
                      <w:b/>
                      <w:bCs/>
                    </w:rPr>
                  </w:pPr>
                </w:p>
              </w:tc>
              <w:tc>
                <w:tcPr>
                  <w:tcW w:w="1100" w:type="dxa"/>
                  <w:vMerge w:val="continue"/>
                  <w:vAlign w:val="center"/>
                </w:tcPr>
                <w:p>
                  <w:pPr>
                    <w:adjustRightInd w:val="0"/>
                    <w:snapToGrid w:val="0"/>
                    <w:jc w:val="center"/>
                    <w:rPr>
                      <w:b/>
                      <w:bCs/>
                    </w:rPr>
                  </w:pPr>
                </w:p>
              </w:tc>
              <w:tc>
                <w:tcPr>
                  <w:tcW w:w="1400" w:type="dxa"/>
                  <w:vMerge w:val="continue"/>
                  <w:vAlign w:val="center"/>
                </w:tcPr>
                <w:p>
                  <w:pPr>
                    <w:adjustRightInd w:val="0"/>
                    <w:snapToGrid w:val="0"/>
                    <w:jc w:val="center"/>
                    <w:rPr>
                      <w:b/>
                      <w:bCs/>
                    </w:rPr>
                  </w:pPr>
                </w:p>
              </w:tc>
              <w:tc>
                <w:tcPr>
                  <w:tcW w:w="3035" w:type="dxa"/>
                  <w:vAlign w:val="center"/>
                </w:tcPr>
                <w:p>
                  <w:pPr>
                    <w:adjustRightInd w:val="0"/>
                    <w:snapToGrid w:val="0"/>
                    <w:jc w:val="center"/>
                    <w:rPr>
                      <w:b/>
                      <w:bCs/>
                      <w:szCs w:val="21"/>
                    </w:rPr>
                  </w:pPr>
                  <w:r>
                    <w:rPr>
                      <w:b/>
                      <w:bCs/>
                      <w:szCs w:val="21"/>
                    </w:rPr>
                    <w:t>名称</w:t>
                  </w:r>
                </w:p>
              </w:tc>
              <w:tc>
                <w:tcPr>
                  <w:tcW w:w="1794" w:type="dxa"/>
                  <w:vAlign w:val="center"/>
                </w:tcPr>
                <w:p>
                  <w:pPr>
                    <w:adjustRightInd w:val="0"/>
                    <w:snapToGrid w:val="0"/>
                    <w:jc w:val="center"/>
                    <w:rPr>
                      <w:b/>
                      <w:bCs/>
                      <w:szCs w:val="21"/>
                    </w:rPr>
                  </w:pPr>
                  <w:r>
                    <w:rPr>
                      <w:b/>
                      <w:bCs/>
                      <w:szCs w:val="21"/>
                    </w:rPr>
                    <w:t>浓度限值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698" w:type="dxa"/>
                  <w:vAlign w:val="center"/>
                </w:tcPr>
                <w:p>
                  <w:pPr>
                    <w:adjustRightInd w:val="0"/>
                    <w:snapToGrid w:val="0"/>
                    <w:jc w:val="center"/>
                    <w:rPr>
                      <w:szCs w:val="21"/>
                    </w:rPr>
                  </w:pPr>
                  <w:r>
                    <w:rPr>
                      <w:szCs w:val="21"/>
                    </w:rPr>
                    <w:t>1</w:t>
                  </w:r>
                </w:p>
              </w:tc>
              <w:tc>
                <w:tcPr>
                  <w:tcW w:w="1100" w:type="dxa"/>
                  <w:vMerge w:val="restart"/>
                  <w:vAlign w:val="center"/>
                </w:tcPr>
                <w:p>
                  <w:pPr>
                    <w:adjustRightInd w:val="0"/>
                    <w:snapToGrid w:val="0"/>
                    <w:jc w:val="center"/>
                    <w:rPr>
                      <w:szCs w:val="21"/>
                    </w:rPr>
                  </w:pPr>
                  <w:r>
                    <w:rPr>
                      <w:szCs w:val="21"/>
                    </w:rPr>
                    <w:t>DW001</w:t>
                  </w:r>
                </w:p>
              </w:tc>
              <w:tc>
                <w:tcPr>
                  <w:tcW w:w="1400" w:type="dxa"/>
                  <w:vAlign w:val="center"/>
                </w:tcPr>
                <w:p>
                  <w:pPr>
                    <w:adjustRightInd w:val="0"/>
                    <w:snapToGrid w:val="0"/>
                    <w:jc w:val="center"/>
                    <w:rPr>
                      <w:szCs w:val="21"/>
                    </w:rPr>
                  </w:pPr>
                  <w:r>
                    <w:rPr>
                      <w:szCs w:val="21"/>
                    </w:rPr>
                    <w:t>COD</w:t>
                  </w:r>
                </w:p>
              </w:tc>
              <w:tc>
                <w:tcPr>
                  <w:tcW w:w="3035" w:type="dxa"/>
                  <w:vMerge w:val="restart"/>
                  <w:vAlign w:val="center"/>
                </w:tcPr>
                <w:p>
                  <w:pPr>
                    <w:adjustRightInd w:val="0"/>
                    <w:snapToGrid w:val="0"/>
                    <w:rPr>
                      <w:szCs w:val="21"/>
                    </w:rPr>
                  </w:pPr>
                  <w:r>
                    <w:rPr>
                      <w:bCs/>
                      <w:szCs w:val="21"/>
                    </w:rPr>
                    <w:t>《污水排入城镇下水道水质标准》（GB/T31962-2015）</w:t>
                  </w:r>
                </w:p>
              </w:tc>
              <w:tc>
                <w:tcPr>
                  <w:tcW w:w="1794" w:type="dxa"/>
                  <w:vAlign w:val="center"/>
                </w:tcPr>
                <w:p>
                  <w:pPr>
                    <w:adjustRightInd w:val="0"/>
                    <w:snapToGrid w:val="0"/>
                    <w:jc w:val="center"/>
                    <w:rPr>
                      <w:szCs w:val="21"/>
                    </w:rPr>
                  </w:pPr>
                  <w:r>
                    <w:rPr>
                      <w:szCs w:val="21"/>
                    </w:rPr>
                    <w:t>500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698" w:type="dxa"/>
                  <w:vAlign w:val="center"/>
                </w:tcPr>
                <w:p>
                  <w:pPr>
                    <w:adjustRightInd w:val="0"/>
                    <w:snapToGrid w:val="0"/>
                    <w:jc w:val="center"/>
                    <w:rPr>
                      <w:szCs w:val="21"/>
                    </w:rPr>
                  </w:pPr>
                  <w:r>
                    <w:rPr>
                      <w:szCs w:val="21"/>
                    </w:rPr>
                    <w:t>2</w:t>
                  </w:r>
                </w:p>
              </w:tc>
              <w:tc>
                <w:tcPr>
                  <w:tcW w:w="1100" w:type="dxa"/>
                  <w:vMerge w:val="continue"/>
                  <w:vAlign w:val="center"/>
                </w:tcPr>
                <w:p>
                  <w:pPr>
                    <w:adjustRightInd w:val="0"/>
                    <w:snapToGrid w:val="0"/>
                    <w:jc w:val="center"/>
                    <w:rPr>
                      <w:szCs w:val="21"/>
                    </w:rPr>
                  </w:pPr>
                </w:p>
              </w:tc>
              <w:tc>
                <w:tcPr>
                  <w:tcW w:w="1400" w:type="dxa"/>
                  <w:vAlign w:val="center"/>
                </w:tcPr>
                <w:p>
                  <w:pPr>
                    <w:adjustRightInd w:val="0"/>
                    <w:snapToGrid w:val="0"/>
                    <w:jc w:val="center"/>
                    <w:rPr>
                      <w:szCs w:val="21"/>
                    </w:rPr>
                  </w:pPr>
                  <w:r>
                    <w:rPr>
                      <w:szCs w:val="21"/>
                    </w:rPr>
                    <w:t>氨氮</w:t>
                  </w:r>
                </w:p>
              </w:tc>
              <w:tc>
                <w:tcPr>
                  <w:tcW w:w="3035" w:type="dxa"/>
                  <w:vMerge w:val="continue"/>
                  <w:vAlign w:val="center"/>
                </w:tcPr>
                <w:p>
                  <w:pPr>
                    <w:adjustRightInd w:val="0"/>
                    <w:snapToGrid w:val="0"/>
                    <w:jc w:val="center"/>
                    <w:rPr>
                      <w:szCs w:val="21"/>
                    </w:rPr>
                  </w:pPr>
                </w:p>
              </w:tc>
              <w:tc>
                <w:tcPr>
                  <w:tcW w:w="1794" w:type="dxa"/>
                  <w:vAlign w:val="center"/>
                </w:tcPr>
                <w:p>
                  <w:pPr>
                    <w:adjustRightInd w:val="0"/>
                    <w:snapToGrid w:val="0"/>
                    <w:jc w:val="center"/>
                    <w:rPr>
                      <w:szCs w:val="21"/>
                    </w:rPr>
                  </w:pPr>
                  <w:r>
                    <w:rPr>
                      <w:szCs w:val="21"/>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698" w:type="dxa"/>
                  <w:vAlign w:val="center"/>
                </w:tcPr>
                <w:p>
                  <w:pPr>
                    <w:adjustRightInd w:val="0"/>
                    <w:snapToGrid w:val="0"/>
                    <w:jc w:val="center"/>
                    <w:rPr>
                      <w:szCs w:val="21"/>
                    </w:rPr>
                  </w:pPr>
                  <w:r>
                    <w:rPr>
                      <w:szCs w:val="21"/>
                    </w:rPr>
                    <w:t>3</w:t>
                  </w:r>
                </w:p>
              </w:tc>
              <w:tc>
                <w:tcPr>
                  <w:tcW w:w="1100" w:type="dxa"/>
                  <w:vMerge w:val="continue"/>
                  <w:vAlign w:val="center"/>
                </w:tcPr>
                <w:p>
                  <w:pPr>
                    <w:adjustRightInd w:val="0"/>
                    <w:snapToGrid w:val="0"/>
                    <w:jc w:val="center"/>
                    <w:rPr>
                      <w:szCs w:val="21"/>
                    </w:rPr>
                  </w:pPr>
                </w:p>
              </w:tc>
              <w:tc>
                <w:tcPr>
                  <w:tcW w:w="1400" w:type="dxa"/>
                  <w:vAlign w:val="center"/>
                </w:tcPr>
                <w:p>
                  <w:pPr>
                    <w:adjustRightInd w:val="0"/>
                    <w:snapToGrid w:val="0"/>
                    <w:jc w:val="center"/>
                    <w:rPr>
                      <w:szCs w:val="21"/>
                    </w:rPr>
                  </w:pPr>
                  <w:r>
                    <w:rPr>
                      <w:szCs w:val="21"/>
                    </w:rPr>
                    <w:t>总磷</w:t>
                  </w:r>
                </w:p>
              </w:tc>
              <w:tc>
                <w:tcPr>
                  <w:tcW w:w="3035" w:type="dxa"/>
                  <w:vMerge w:val="continue"/>
                  <w:vAlign w:val="center"/>
                </w:tcPr>
                <w:p>
                  <w:pPr>
                    <w:adjustRightInd w:val="0"/>
                    <w:snapToGrid w:val="0"/>
                    <w:jc w:val="center"/>
                    <w:rPr>
                      <w:szCs w:val="21"/>
                    </w:rPr>
                  </w:pPr>
                </w:p>
              </w:tc>
              <w:tc>
                <w:tcPr>
                  <w:tcW w:w="1794" w:type="dxa"/>
                  <w:vAlign w:val="center"/>
                </w:tcPr>
                <w:p>
                  <w:pPr>
                    <w:adjustRightInd w:val="0"/>
                    <w:snapToGrid w:val="0"/>
                    <w:jc w:val="center"/>
                    <w:rPr>
                      <w:szCs w:val="21"/>
                    </w:rPr>
                  </w:pPr>
                  <w:r>
                    <w:rPr>
                      <w:szCs w:val="21"/>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698" w:type="dxa"/>
                  <w:vAlign w:val="center"/>
                </w:tcPr>
                <w:p>
                  <w:pPr>
                    <w:adjustRightInd w:val="0"/>
                    <w:snapToGrid w:val="0"/>
                    <w:jc w:val="center"/>
                    <w:rPr>
                      <w:szCs w:val="21"/>
                    </w:rPr>
                  </w:pPr>
                  <w:r>
                    <w:rPr>
                      <w:szCs w:val="21"/>
                    </w:rPr>
                    <w:t>4</w:t>
                  </w:r>
                </w:p>
              </w:tc>
              <w:tc>
                <w:tcPr>
                  <w:tcW w:w="1100" w:type="dxa"/>
                  <w:vMerge w:val="continue"/>
                  <w:vAlign w:val="center"/>
                </w:tcPr>
                <w:p>
                  <w:pPr>
                    <w:adjustRightInd w:val="0"/>
                    <w:snapToGrid w:val="0"/>
                    <w:jc w:val="center"/>
                    <w:rPr>
                      <w:szCs w:val="21"/>
                    </w:rPr>
                  </w:pPr>
                </w:p>
              </w:tc>
              <w:tc>
                <w:tcPr>
                  <w:tcW w:w="1400" w:type="dxa"/>
                  <w:vAlign w:val="center"/>
                </w:tcPr>
                <w:p>
                  <w:pPr>
                    <w:adjustRightInd w:val="0"/>
                    <w:snapToGrid w:val="0"/>
                    <w:jc w:val="center"/>
                    <w:rPr>
                      <w:szCs w:val="21"/>
                    </w:rPr>
                  </w:pPr>
                  <w:r>
                    <w:rPr>
                      <w:szCs w:val="21"/>
                    </w:rPr>
                    <w:t>总氮</w:t>
                  </w:r>
                </w:p>
              </w:tc>
              <w:tc>
                <w:tcPr>
                  <w:tcW w:w="3035" w:type="dxa"/>
                  <w:vMerge w:val="continue"/>
                  <w:vAlign w:val="center"/>
                </w:tcPr>
                <w:p>
                  <w:pPr>
                    <w:adjustRightInd w:val="0"/>
                    <w:snapToGrid w:val="0"/>
                    <w:jc w:val="center"/>
                    <w:rPr>
                      <w:szCs w:val="21"/>
                    </w:rPr>
                  </w:pPr>
                </w:p>
              </w:tc>
              <w:tc>
                <w:tcPr>
                  <w:tcW w:w="1794" w:type="dxa"/>
                  <w:vAlign w:val="center"/>
                </w:tcPr>
                <w:p>
                  <w:pPr>
                    <w:adjustRightInd w:val="0"/>
                    <w:snapToGrid w:val="0"/>
                    <w:jc w:val="center"/>
                    <w:rPr>
                      <w:szCs w:val="21"/>
                    </w:rPr>
                  </w:pPr>
                  <w:r>
                    <w:rPr>
                      <w:szCs w:val="21"/>
                    </w:rPr>
                    <w:t>70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698" w:type="dxa"/>
                  <w:vAlign w:val="center"/>
                </w:tcPr>
                <w:p>
                  <w:pPr>
                    <w:adjustRightInd w:val="0"/>
                    <w:snapToGrid w:val="0"/>
                    <w:jc w:val="center"/>
                    <w:rPr>
                      <w:szCs w:val="21"/>
                    </w:rPr>
                  </w:pPr>
                  <w:r>
                    <w:rPr>
                      <w:szCs w:val="21"/>
                    </w:rPr>
                    <w:t>5</w:t>
                  </w:r>
                </w:p>
              </w:tc>
              <w:tc>
                <w:tcPr>
                  <w:tcW w:w="1100" w:type="dxa"/>
                  <w:vMerge w:val="continue"/>
                  <w:vAlign w:val="center"/>
                </w:tcPr>
                <w:p>
                  <w:pPr>
                    <w:adjustRightInd w:val="0"/>
                    <w:snapToGrid w:val="0"/>
                    <w:jc w:val="center"/>
                    <w:rPr>
                      <w:szCs w:val="21"/>
                    </w:rPr>
                  </w:pPr>
                </w:p>
              </w:tc>
              <w:tc>
                <w:tcPr>
                  <w:tcW w:w="1400" w:type="dxa"/>
                  <w:vAlign w:val="center"/>
                </w:tcPr>
                <w:p>
                  <w:pPr>
                    <w:adjustRightInd w:val="0"/>
                    <w:snapToGrid w:val="0"/>
                    <w:jc w:val="center"/>
                    <w:rPr>
                      <w:szCs w:val="21"/>
                    </w:rPr>
                  </w:pPr>
                  <w:r>
                    <w:rPr>
                      <w:szCs w:val="21"/>
                    </w:rPr>
                    <w:t>SS</w:t>
                  </w:r>
                </w:p>
              </w:tc>
              <w:tc>
                <w:tcPr>
                  <w:tcW w:w="3035" w:type="dxa"/>
                  <w:vMerge w:val="continue"/>
                  <w:vAlign w:val="center"/>
                </w:tcPr>
                <w:p>
                  <w:pPr>
                    <w:adjustRightInd w:val="0"/>
                    <w:snapToGrid w:val="0"/>
                    <w:jc w:val="center"/>
                    <w:rPr>
                      <w:szCs w:val="21"/>
                    </w:rPr>
                  </w:pPr>
                </w:p>
              </w:tc>
              <w:tc>
                <w:tcPr>
                  <w:tcW w:w="1794" w:type="dxa"/>
                  <w:vAlign w:val="center"/>
                </w:tcPr>
                <w:p>
                  <w:pPr>
                    <w:adjustRightInd w:val="0"/>
                    <w:snapToGrid w:val="0"/>
                    <w:jc w:val="center"/>
                    <w:rPr>
                      <w:szCs w:val="21"/>
                    </w:rPr>
                  </w:pPr>
                  <w:r>
                    <w:rPr>
                      <w:szCs w:val="21"/>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698" w:type="dxa"/>
                  <w:vAlign w:val="center"/>
                </w:tcPr>
                <w:p>
                  <w:pPr>
                    <w:adjustRightInd w:val="0"/>
                    <w:snapToGrid w:val="0"/>
                    <w:jc w:val="center"/>
                    <w:rPr>
                      <w:szCs w:val="21"/>
                    </w:rPr>
                  </w:pPr>
                  <w:r>
                    <w:rPr>
                      <w:rFonts w:hint="eastAsia"/>
                      <w:szCs w:val="21"/>
                    </w:rPr>
                    <w:t>6</w:t>
                  </w:r>
                </w:p>
              </w:tc>
              <w:tc>
                <w:tcPr>
                  <w:tcW w:w="1100" w:type="dxa"/>
                  <w:vMerge w:val="continue"/>
                  <w:vAlign w:val="center"/>
                </w:tcPr>
                <w:p>
                  <w:pPr>
                    <w:adjustRightInd w:val="0"/>
                    <w:snapToGrid w:val="0"/>
                    <w:jc w:val="center"/>
                    <w:rPr>
                      <w:szCs w:val="21"/>
                    </w:rPr>
                  </w:pPr>
                </w:p>
              </w:tc>
              <w:tc>
                <w:tcPr>
                  <w:tcW w:w="1400" w:type="dxa"/>
                  <w:vAlign w:val="center"/>
                </w:tcPr>
                <w:p>
                  <w:pPr>
                    <w:adjustRightInd w:val="0"/>
                    <w:snapToGrid w:val="0"/>
                    <w:jc w:val="center"/>
                    <w:rPr>
                      <w:szCs w:val="21"/>
                    </w:rPr>
                  </w:pPr>
                  <w:r>
                    <w:rPr>
                      <w:szCs w:val="21"/>
                    </w:rPr>
                    <w:t>动植物油</w:t>
                  </w:r>
                </w:p>
              </w:tc>
              <w:tc>
                <w:tcPr>
                  <w:tcW w:w="3035" w:type="dxa"/>
                  <w:vMerge w:val="continue"/>
                  <w:vAlign w:val="center"/>
                </w:tcPr>
                <w:p>
                  <w:pPr>
                    <w:adjustRightInd w:val="0"/>
                    <w:snapToGrid w:val="0"/>
                    <w:jc w:val="center"/>
                    <w:rPr>
                      <w:szCs w:val="21"/>
                    </w:rPr>
                  </w:pPr>
                </w:p>
              </w:tc>
              <w:tc>
                <w:tcPr>
                  <w:tcW w:w="1794" w:type="dxa"/>
                  <w:vAlign w:val="center"/>
                </w:tcPr>
                <w:p>
                  <w:pPr>
                    <w:adjustRightInd w:val="0"/>
                    <w:snapToGrid w:val="0"/>
                    <w:jc w:val="center"/>
                    <w:rPr>
                      <w:szCs w:val="21"/>
                    </w:rPr>
                  </w:pPr>
                  <w:r>
                    <w:rPr>
                      <w:szCs w:val="21"/>
                    </w:rPr>
                    <w:t>100</w:t>
                  </w:r>
                </w:p>
              </w:tc>
            </w:tr>
          </w:tbl>
          <w:p>
            <w:pPr>
              <w:adjustRightInd w:val="0"/>
              <w:snapToGrid w:val="0"/>
              <w:spacing w:line="360" w:lineRule="auto"/>
              <w:ind w:firstLine="480" w:firstLineChars="200"/>
              <w:rPr>
                <w:b/>
                <w:sz w:val="24"/>
              </w:rPr>
            </w:pPr>
            <w:r>
              <w:rPr>
                <w:sz w:val="24"/>
              </w:rPr>
              <w:t>综上，本项目所产生的废水对周围环境无直接影响。</w:t>
            </w:r>
          </w:p>
          <w:p>
            <w:pPr>
              <w:spacing w:line="360" w:lineRule="auto"/>
              <w:ind w:firstLine="482" w:firstLineChars="200"/>
              <w:rPr>
                <w:b/>
                <w:bCs/>
                <w:sz w:val="24"/>
              </w:rPr>
            </w:pPr>
            <w:r>
              <w:rPr>
                <w:rFonts w:hint="eastAsia"/>
                <w:b/>
                <w:bCs/>
                <w:sz w:val="24"/>
              </w:rPr>
              <w:t>（4）</w:t>
            </w:r>
            <w:r>
              <w:rPr>
                <w:b/>
                <w:bCs/>
                <w:sz w:val="24"/>
              </w:rPr>
              <w:t>监测计划</w:t>
            </w:r>
          </w:p>
          <w:p>
            <w:pPr>
              <w:tabs>
                <w:tab w:val="left" w:pos="1014"/>
              </w:tabs>
              <w:spacing w:line="360" w:lineRule="auto"/>
              <w:ind w:firstLine="480" w:firstLineChars="200"/>
              <w:rPr>
                <w:sz w:val="24"/>
              </w:rPr>
            </w:pPr>
            <w:r>
              <w:rPr>
                <w:sz w:val="24"/>
              </w:rPr>
              <w:t>根据《排污单位自行监测技术指南总则》（HJ819-2017），排污单位应按照规定对污染物排放情况进行监测，废水污染源监测情况具体见下表。</w:t>
            </w:r>
          </w:p>
          <w:p>
            <w:pPr>
              <w:snapToGrid w:val="0"/>
              <w:jc w:val="center"/>
              <w:rPr>
                <w:b/>
                <w:sz w:val="24"/>
              </w:rPr>
            </w:pPr>
            <w:r>
              <w:rPr>
                <w:b/>
                <w:sz w:val="24"/>
              </w:rPr>
              <w:t>表4-1</w:t>
            </w:r>
            <w:r>
              <w:rPr>
                <w:rFonts w:hint="eastAsia"/>
                <w:b/>
                <w:sz w:val="24"/>
              </w:rPr>
              <w:t>2</w:t>
            </w:r>
            <w:r>
              <w:rPr>
                <w:b/>
                <w:sz w:val="24"/>
              </w:rPr>
              <w:t xml:space="preserve"> 废水自行监测方案</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53"/>
              <w:gridCol w:w="1385"/>
              <w:gridCol w:w="2498"/>
              <w:gridCol w:w="325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534" w:type="pct"/>
                  <w:vAlign w:val="center"/>
                </w:tcPr>
                <w:p>
                  <w:pPr>
                    <w:snapToGrid w:val="0"/>
                    <w:spacing w:line="280" w:lineRule="exact"/>
                    <w:jc w:val="center"/>
                    <w:rPr>
                      <w:b/>
                      <w:szCs w:val="21"/>
                    </w:rPr>
                  </w:pPr>
                  <w:r>
                    <w:rPr>
                      <w:b/>
                      <w:szCs w:val="21"/>
                    </w:rPr>
                    <w:t>监测点位</w:t>
                  </w:r>
                </w:p>
              </w:tc>
              <w:tc>
                <w:tcPr>
                  <w:tcW w:w="867" w:type="pct"/>
                  <w:vAlign w:val="center"/>
                </w:tcPr>
                <w:p>
                  <w:pPr>
                    <w:snapToGrid w:val="0"/>
                    <w:spacing w:line="280" w:lineRule="exact"/>
                    <w:jc w:val="center"/>
                    <w:rPr>
                      <w:b/>
                      <w:szCs w:val="21"/>
                    </w:rPr>
                  </w:pPr>
                  <w:r>
                    <w:rPr>
                      <w:b/>
                      <w:szCs w:val="21"/>
                    </w:rPr>
                    <w:t>监测因子</w:t>
                  </w:r>
                </w:p>
              </w:tc>
              <w:tc>
                <w:tcPr>
                  <w:tcW w:w="1564" w:type="pct"/>
                  <w:vAlign w:val="center"/>
                </w:tcPr>
                <w:p>
                  <w:pPr>
                    <w:snapToGrid w:val="0"/>
                    <w:spacing w:line="280" w:lineRule="exact"/>
                    <w:jc w:val="center"/>
                    <w:rPr>
                      <w:b/>
                      <w:szCs w:val="21"/>
                    </w:rPr>
                  </w:pPr>
                  <w:r>
                    <w:rPr>
                      <w:b/>
                      <w:szCs w:val="21"/>
                    </w:rPr>
                    <w:t>监测频次</w:t>
                  </w:r>
                </w:p>
              </w:tc>
              <w:tc>
                <w:tcPr>
                  <w:tcW w:w="2035" w:type="pct"/>
                  <w:vAlign w:val="center"/>
                </w:tcPr>
                <w:p>
                  <w:pPr>
                    <w:snapToGrid w:val="0"/>
                    <w:spacing w:line="280" w:lineRule="exact"/>
                    <w:jc w:val="center"/>
                    <w:rPr>
                      <w:b/>
                      <w:szCs w:val="21"/>
                    </w:rPr>
                  </w:pPr>
                  <w:r>
                    <w:rPr>
                      <w:b/>
                      <w:szCs w:val="21"/>
                    </w:rPr>
                    <w:t>执行排放标准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9" w:hRule="atLeast"/>
                <w:jc w:val="center"/>
              </w:trPr>
              <w:tc>
                <w:tcPr>
                  <w:tcW w:w="534" w:type="pct"/>
                  <w:vAlign w:val="center"/>
                </w:tcPr>
                <w:p>
                  <w:pPr>
                    <w:snapToGrid w:val="0"/>
                    <w:spacing w:line="280" w:lineRule="exact"/>
                    <w:jc w:val="center"/>
                    <w:rPr>
                      <w:szCs w:val="21"/>
                    </w:rPr>
                  </w:pPr>
                  <w:r>
                    <w:rPr>
                      <w:szCs w:val="21"/>
                    </w:rPr>
                    <w:t>生活污水排口</w:t>
                  </w:r>
                </w:p>
              </w:tc>
              <w:tc>
                <w:tcPr>
                  <w:tcW w:w="867" w:type="pct"/>
                  <w:vAlign w:val="center"/>
                </w:tcPr>
                <w:p>
                  <w:pPr>
                    <w:snapToGrid w:val="0"/>
                    <w:spacing w:line="280" w:lineRule="exact"/>
                    <w:jc w:val="center"/>
                    <w:rPr>
                      <w:b/>
                      <w:szCs w:val="21"/>
                    </w:rPr>
                  </w:pPr>
                  <w:r>
                    <w:rPr>
                      <w:kern w:val="0"/>
                      <w:szCs w:val="21"/>
                    </w:rPr>
                    <w:t>COD、SS、NH</w:t>
                  </w:r>
                  <w:r>
                    <w:rPr>
                      <w:kern w:val="0"/>
                      <w:szCs w:val="21"/>
                      <w:vertAlign w:val="subscript"/>
                    </w:rPr>
                    <w:t>3</w:t>
                  </w:r>
                  <w:r>
                    <w:rPr>
                      <w:kern w:val="0"/>
                      <w:szCs w:val="21"/>
                    </w:rPr>
                    <w:t>-N、TN、TP、动植物油</w:t>
                  </w:r>
                </w:p>
              </w:tc>
              <w:tc>
                <w:tcPr>
                  <w:tcW w:w="1564" w:type="pct"/>
                  <w:vAlign w:val="center"/>
                </w:tcPr>
                <w:p>
                  <w:pPr>
                    <w:snapToGrid w:val="0"/>
                    <w:spacing w:line="280" w:lineRule="exact"/>
                    <w:jc w:val="center"/>
                    <w:rPr>
                      <w:szCs w:val="21"/>
                    </w:rPr>
                  </w:pPr>
                  <w:r>
                    <w:rPr>
                      <w:szCs w:val="21"/>
                    </w:rPr>
                    <w:t>按照《排污单位自行监测技术指南总则》（HJ819-2017）中相关要求，每</w:t>
                  </w:r>
                  <w:r>
                    <w:rPr>
                      <w:rFonts w:hint="eastAsia"/>
                      <w:szCs w:val="21"/>
                    </w:rPr>
                    <w:t>1</w:t>
                  </w:r>
                  <w:r>
                    <w:rPr>
                      <w:szCs w:val="21"/>
                    </w:rPr>
                    <w:t>年监测1次</w:t>
                  </w:r>
                </w:p>
              </w:tc>
              <w:tc>
                <w:tcPr>
                  <w:tcW w:w="2035" w:type="pct"/>
                  <w:vAlign w:val="center"/>
                </w:tcPr>
                <w:p>
                  <w:pPr>
                    <w:snapToGrid w:val="0"/>
                    <w:spacing w:line="280" w:lineRule="exact"/>
                    <w:jc w:val="center"/>
                    <w:rPr>
                      <w:szCs w:val="21"/>
                    </w:rPr>
                  </w:pPr>
                  <w:r>
                    <w:rPr>
                      <w:szCs w:val="21"/>
                    </w:rPr>
                    <w:t>《污水综合排放标准》（GB8978-1996）表4三级标准及《污水排入城市下水道水质标准》（GB/T 31962-2015）A等级标准</w:t>
                  </w:r>
                </w:p>
              </w:tc>
            </w:tr>
          </w:tbl>
          <w:p>
            <w:pPr>
              <w:spacing w:line="360" w:lineRule="auto"/>
              <w:ind w:firstLine="482" w:firstLineChars="200"/>
              <w:rPr>
                <w:b/>
                <w:bCs/>
                <w:sz w:val="24"/>
              </w:rPr>
            </w:pPr>
            <w:r>
              <w:rPr>
                <w:rFonts w:hint="eastAsia"/>
                <w:b/>
                <w:bCs/>
                <w:sz w:val="24"/>
              </w:rPr>
              <w:t>（5）</w:t>
            </w:r>
            <w:r>
              <w:rPr>
                <w:b/>
                <w:bCs/>
                <w:sz w:val="24"/>
              </w:rPr>
              <w:t>小结</w:t>
            </w:r>
          </w:p>
          <w:p>
            <w:pPr>
              <w:snapToGrid w:val="0"/>
              <w:spacing w:line="360" w:lineRule="auto"/>
              <w:ind w:firstLine="480" w:firstLineChars="200"/>
              <w:rPr>
                <w:bCs/>
                <w:sz w:val="24"/>
                <w:szCs w:val="22"/>
              </w:rPr>
            </w:pPr>
            <w:r>
              <w:rPr>
                <w:bCs/>
                <w:sz w:val="24"/>
                <w:szCs w:val="22"/>
              </w:rPr>
              <w:t>综上，本项目废水产生量较小，</w:t>
            </w:r>
            <w:r>
              <w:rPr>
                <w:rFonts w:hint="eastAsia"/>
                <w:bCs/>
                <w:sz w:val="24"/>
                <w:szCs w:val="22"/>
              </w:rPr>
              <w:t>食堂废水经隔油池处理后与</w:t>
            </w:r>
            <w:r>
              <w:rPr>
                <w:bCs/>
                <w:sz w:val="24"/>
                <w:szCs w:val="22"/>
              </w:rPr>
              <w:t>生活污水接入武南污水处理厂，处理达标后排放，尾水达标排入武南河。因此，本项目废水对周围环境影响较小。</w:t>
            </w:r>
          </w:p>
          <w:p>
            <w:pPr>
              <w:adjustRightInd w:val="0"/>
              <w:snapToGrid w:val="0"/>
              <w:spacing w:line="360" w:lineRule="auto"/>
              <w:rPr>
                <w:b/>
                <w:bCs/>
                <w:sz w:val="24"/>
              </w:rPr>
            </w:pPr>
            <w:r>
              <w:rPr>
                <w:rFonts w:hint="eastAsia"/>
                <w:b/>
                <w:sz w:val="24"/>
              </w:rPr>
              <w:t>3</w:t>
            </w:r>
            <w:r>
              <w:rPr>
                <w:b/>
                <w:sz w:val="24"/>
              </w:rPr>
              <w:t>、噪声</w:t>
            </w:r>
          </w:p>
          <w:p>
            <w:pPr>
              <w:adjustRightInd w:val="0"/>
              <w:snapToGrid w:val="0"/>
              <w:spacing w:line="360" w:lineRule="auto"/>
              <w:ind w:firstLine="482" w:firstLineChars="200"/>
              <w:rPr>
                <w:rFonts w:ascii="宋体" w:hAnsi="宋体"/>
                <w:b/>
                <w:bCs/>
                <w:sz w:val="24"/>
              </w:rPr>
            </w:pPr>
            <w:r>
              <w:rPr>
                <w:rFonts w:hint="eastAsia" w:ascii="宋体" w:hAnsi="宋体"/>
                <w:b/>
                <w:bCs/>
                <w:sz w:val="24"/>
              </w:rPr>
              <w:t>（1）源强分析</w:t>
            </w:r>
          </w:p>
          <w:p>
            <w:pPr>
              <w:adjustRightInd w:val="0"/>
              <w:snapToGrid w:val="0"/>
              <w:spacing w:line="360" w:lineRule="auto"/>
              <w:ind w:firstLine="480" w:firstLineChars="200"/>
              <w:rPr>
                <w:rFonts w:ascii="宋体" w:hAnsi="宋体"/>
                <w:bCs/>
                <w:sz w:val="24"/>
              </w:rPr>
            </w:pPr>
            <w:r>
              <w:rPr>
                <w:rFonts w:hint="eastAsia" w:ascii="宋体" w:hAnsi="宋体"/>
                <w:bCs/>
                <w:sz w:val="24"/>
              </w:rPr>
              <w:t>本项目主要为设备运行时产生的机械噪声，噪声源强</w:t>
            </w:r>
            <w:r>
              <w:rPr>
                <w:bCs/>
                <w:sz w:val="24"/>
              </w:rPr>
              <w:t>约为</w:t>
            </w:r>
            <w:r>
              <w:rPr>
                <w:rFonts w:hint="eastAsia"/>
                <w:bCs/>
                <w:sz w:val="24"/>
              </w:rPr>
              <w:t>75</w:t>
            </w:r>
            <w:r>
              <w:rPr>
                <w:bCs/>
                <w:sz w:val="24"/>
              </w:rPr>
              <w:t>-85</w:t>
            </w:r>
            <w:r>
              <w:rPr>
                <w:rFonts w:hint="eastAsia"/>
                <w:bCs/>
                <w:sz w:val="24"/>
              </w:rPr>
              <w:t>dB</w:t>
            </w:r>
            <w:r>
              <w:rPr>
                <w:rFonts w:hint="eastAsia" w:ascii="宋体" w:hAnsi="宋体"/>
                <w:bCs/>
                <w:sz w:val="24"/>
              </w:rPr>
              <w:t>(</w:t>
            </w:r>
            <w:r>
              <w:rPr>
                <w:rFonts w:hint="eastAsia"/>
                <w:bCs/>
                <w:sz w:val="24"/>
              </w:rPr>
              <w:t>A</w:t>
            </w:r>
            <w:r>
              <w:rPr>
                <w:rFonts w:hint="eastAsia" w:ascii="宋体" w:hAnsi="宋体"/>
                <w:bCs/>
                <w:sz w:val="24"/>
              </w:rPr>
              <w:t>)。项目主要噪声污染源强见下表。</w:t>
            </w:r>
          </w:p>
          <w:p>
            <w:pPr>
              <w:pStyle w:val="2"/>
              <w:ind w:left="-84" w:firstLine="560"/>
            </w:pPr>
          </w:p>
          <w:p>
            <w:pPr>
              <w:pStyle w:val="2"/>
              <w:ind w:left="-84" w:firstLine="560"/>
            </w:pPr>
          </w:p>
          <w:p>
            <w:pPr>
              <w:pStyle w:val="2"/>
              <w:ind w:left="-84" w:firstLine="560"/>
            </w:pPr>
          </w:p>
          <w:p>
            <w:pPr>
              <w:snapToGrid w:val="0"/>
              <w:jc w:val="center"/>
              <w:rPr>
                <w:b/>
                <w:sz w:val="24"/>
              </w:rPr>
            </w:pPr>
          </w:p>
          <w:p>
            <w:pPr>
              <w:snapToGrid w:val="0"/>
              <w:jc w:val="center"/>
              <w:rPr>
                <w:b/>
                <w:sz w:val="24"/>
              </w:rPr>
            </w:pPr>
            <w:r>
              <w:rPr>
                <w:b/>
                <w:sz w:val="24"/>
              </w:rPr>
              <w:t>表4-</w:t>
            </w:r>
            <w:r>
              <w:rPr>
                <w:rFonts w:hint="eastAsia"/>
                <w:b/>
                <w:sz w:val="24"/>
              </w:rPr>
              <w:t>13</w:t>
            </w:r>
            <w:r>
              <w:rPr>
                <w:b/>
                <w:sz w:val="24"/>
              </w:rPr>
              <w:t xml:space="preserve"> 本项目主要噪声污染源一览表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79" w:type="dxa"/>
                <w:bottom w:w="0" w:type="dxa"/>
                <w:right w:w="79" w:type="dxa"/>
              </w:tblCellMar>
            </w:tblPr>
            <w:tblGrid>
              <w:gridCol w:w="479"/>
              <w:gridCol w:w="1510"/>
              <w:gridCol w:w="1046"/>
              <w:gridCol w:w="987"/>
              <w:gridCol w:w="1179"/>
              <w:gridCol w:w="756"/>
              <w:gridCol w:w="982"/>
              <w:gridCol w:w="10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592" w:hRule="atLeast"/>
                <w:jc w:val="center"/>
              </w:trPr>
              <w:tc>
                <w:tcPr>
                  <w:tcW w:w="299" w:type="pct"/>
                  <w:vAlign w:val="center"/>
                </w:tcPr>
                <w:p>
                  <w:pPr>
                    <w:snapToGrid w:val="0"/>
                    <w:jc w:val="center"/>
                    <w:rPr>
                      <w:b/>
                      <w:bCs/>
                      <w:szCs w:val="21"/>
                    </w:rPr>
                  </w:pPr>
                  <w:r>
                    <w:rPr>
                      <w:b/>
                      <w:bCs/>
                      <w:szCs w:val="21"/>
                    </w:rPr>
                    <w:t>序号</w:t>
                  </w:r>
                </w:p>
              </w:tc>
              <w:tc>
                <w:tcPr>
                  <w:tcW w:w="945" w:type="pct"/>
                  <w:vAlign w:val="center"/>
                </w:tcPr>
                <w:p>
                  <w:pPr>
                    <w:snapToGrid w:val="0"/>
                    <w:jc w:val="center"/>
                    <w:rPr>
                      <w:b/>
                      <w:bCs/>
                      <w:szCs w:val="21"/>
                    </w:rPr>
                  </w:pPr>
                  <w:r>
                    <w:rPr>
                      <w:b/>
                      <w:bCs/>
                      <w:szCs w:val="21"/>
                    </w:rPr>
                    <w:t>名称</w:t>
                  </w:r>
                </w:p>
              </w:tc>
              <w:tc>
                <w:tcPr>
                  <w:tcW w:w="655" w:type="pct"/>
                  <w:vAlign w:val="center"/>
                </w:tcPr>
                <w:p>
                  <w:pPr>
                    <w:snapToGrid w:val="0"/>
                    <w:jc w:val="center"/>
                    <w:rPr>
                      <w:b/>
                      <w:bCs/>
                      <w:szCs w:val="21"/>
                    </w:rPr>
                  </w:pPr>
                  <w:r>
                    <w:rPr>
                      <w:b/>
                      <w:bCs/>
                      <w:szCs w:val="21"/>
                    </w:rPr>
                    <w:t>数量</w:t>
                  </w:r>
                </w:p>
                <w:p>
                  <w:pPr>
                    <w:snapToGrid w:val="0"/>
                    <w:jc w:val="center"/>
                    <w:rPr>
                      <w:b/>
                      <w:bCs/>
                      <w:szCs w:val="21"/>
                    </w:rPr>
                  </w:pPr>
                  <w:r>
                    <w:rPr>
                      <w:b/>
                      <w:bCs/>
                      <w:szCs w:val="21"/>
                    </w:rPr>
                    <w:t>（台/套）</w:t>
                  </w:r>
                </w:p>
              </w:tc>
              <w:tc>
                <w:tcPr>
                  <w:tcW w:w="618" w:type="pct"/>
                  <w:vAlign w:val="center"/>
                </w:tcPr>
                <w:p>
                  <w:pPr>
                    <w:snapToGrid w:val="0"/>
                    <w:jc w:val="center"/>
                    <w:rPr>
                      <w:b/>
                      <w:bCs/>
                    </w:rPr>
                  </w:pPr>
                  <w:r>
                    <w:rPr>
                      <w:b/>
                      <w:bCs/>
                    </w:rPr>
                    <w:t>产生源强dB(A)</w:t>
                  </w:r>
                </w:p>
              </w:tc>
              <w:tc>
                <w:tcPr>
                  <w:tcW w:w="738" w:type="pct"/>
                  <w:vAlign w:val="center"/>
                </w:tcPr>
                <w:p>
                  <w:pPr>
                    <w:snapToGrid w:val="0"/>
                    <w:jc w:val="center"/>
                    <w:rPr>
                      <w:b/>
                      <w:bCs/>
                    </w:rPr>
                  </w:pPr>
                  <w:r>
                    <w:rPr>
                      <w:rFonts w:hint="eastAsia"/>
                      <w:b/>
                      <w:bCs/>
                    </w:rPr>
                    <w:t>距最近厂界距离（m）</w:t>
                  </w:r>
                </w:p>
              </w:tc>
              <w:tc>
                <w:tcPr>
                  <w:tcW w:w="473" w:type="pct"/>
                  <w:vAlign w:val="center"/>
                </w:tcPr>
                <w:p>
                  <w:pPr>
                    <w:snapToGrid w:val="0"/>
                    <w:jc w:val="center"/>
                    <w:rPr>
                      <w:b/>
                      <w:bCs/>
                    </w:rPr>
                  </w:pPr>
                  <w:r>
                    <w:rPr>
                      <w:b/>
                      <w:bCs/>
                    </w:rPr>
                    <w:t>治理措施</w:t>
                  </w:r>
                </w:p>
              </w:tc>
              <w:tc>
                <w:tcPr>
                  <w:tcW w:w="615" w:type="pct"/>
                  <w:vAlign w:val="center"/>
                </w:tcPr>
                <w:p>
                  <w:pPr>
                    <w:adjustRightInd w:val="0"/>
                    <w:snapToGrid w:val="0"/>
                    <w:jc w:val="center"/>
                    <w:rPr>
                      <w:b/>
                      <w:bCs/>
                    </w:rPr>
                  </w:pPr>
                  <w:r>
                    <w:rPr>
                      <w:rFonts w:hint="eastAsia"/>
                      <w:b/>
                      <w:bCs/>
                    </w:rPr>
                    <w:t>降噪效果</w:t>
                  </w:r>
                  <w:r>
                    <w:rPr>
                      <w:b/>
                      <w:bCs/>
                    </w:rPr>
                    <w:t>dB(A)</w:t>
                  </w:r>
                </w:p>
              </w:tc>
              <w:tc>
                <w:tcPr>
                  <w:tcW w:w="656" w:type="pct"/>
                  <w:vAlign w:val="center"/>
                </w:tcPr>
                <w:p>
                  <w:pPr>
                    <w:adjustRightInd w:val="0"/>
                    <w:snapToGrid w:val="0"/>
                    <w:jc w:val="center"/>
                    <w:rPr>
                      <w:b/>
                      <w:bCs/>
                      <w:szCs w:val="21"/>
                    </w:rPr>
                  </w:pPr>
                  <w:r>
                    <w:rPr>
                      <w:b/>
                      <w:bCs/>
                      <w:szCs w:val="21"/>
                    </w:rPr>
                    <w:t>持续时间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99" w:type="pct"/>
                  <w:vAlign w:val="center"/>
                </w:tcPr>
                <w:p>
                  <w:pPr>
                    <w:snapToGrid w:val="0"/>
                    <w:jc w:val="center"/>
                    <w:rPr>
                      <w:szCs w:val="21"/>
                    </w:rPr>
                  </w:pPr>
                  <w:r>
                    <w:rPr>
                      <w:szCs w:val="21"/>
                    </w:rPr>
                    <w:t>1</w:t>
                  </w:r>
                </w:p>
              </w:tc>
              <w:tc>
                <w:tcPr>
                  <w:tcW w:w="945" w:type="pct"/>
                  <w:vAlign w:val="center"/>
                </w:tcPr>
                <w:p>
                  <w:pPr>
                    <w:widowControl/>
                    <w:jc w:val="center"/>
                    <w:rPr>
                      <w:szCs w:val="21"/>
                    </w:rPr>
                  </w:pPr>
                  <w:r>
                    <w:rPr>
                      <w:rFonts w:hint="eastAsia"/>
                      <w:szCs w:val="21"/>
                    </w:rPr>
                    <w:t>车床</w:t>
                  </w:r>
                </w:p>
              </w:tc>
              <w:tc>
                <w:tcPr>
                  <w:tcW w:w="655" w:type="pct"/>
                  <w:vAlign w:val="center"/>
                </w:tcPr>
                <w:p>
                  <w:pPr>
                    <w:widowControl/>
                    <w:jc w:val="center"/>
                    <w:rPr>
                      <w:szCs w:val="21"/>
                    </w:rPr>
                  </w:pPr>
                  <w:r>
                    <w:rPr>
                      <w:rFonts w:hint="eastAsia"/>
                      <w:szCs w:val="21"/>
                    </w:rPr>
                    <w:t>90</w:t>
                  </w:r>
                </w:p>
              </w:tc>
              <w:tc>
                <w:tcPr>
                  <w:tcW w:w="618" w:type="pct"/>
                  <w:vAlign w:val="center"/>
                </w:tcPr>
                <w:p>
                  <w:pPr>
                    <w:adjustRightInd w:val="0"/>
                    <w:snapToGrid w:val="0"/>
                    <w:jc w:val="center"/>
                    <w:rPr>
                      <w:kern w:val="0"/>
                      <w:szCs w:val="21"/>
                    </w:rPr>
                  </w:pPr>
                  <w:r>
                    <w:rPr>
                      <w:rFonts w:hint="eastAsia"/>
                      <w:szCs w:val="21"/>
                    </w:rPr>
                    <w:t>75</w:t>
                  </w:r>
                </w:p>
              </w:tc>
              <w:tc>
                <w:tcPr>
                  <w:tcW w:w="738" w:type="pct"/>
                  <w:vAlign w:val="center"/>
                </w:tcPr>
                <w:p>
                  <w:pPr>
                    <w:snapToGrid w:val="0"/>
                    <w:jc w:val="center"/>
                    <w:rPr>
                      <w:szCs w:val="21"/>
                    </w:rPr>
                  </w:pPr>
                  <w:r>
                    <w:rPr>
                      <w:rFonts w:hint="eastAsia"/>
                      <w:szCs w:val="21"/>
                    </w:rPr>
                    <w:t>N，5</w:t>
                  </w:r>
                </w:p>
              </w:tc>
              <w:tc>
                <w:tcPr>
                  <w:tcW w:w="473" w:type="pct"/>
                  <w:vMerge w:val="restart"/>
                  <w:vAlign w:val="center"/>
                </w:tcPr>
                <w:p>
                  <w:pPr>
                    <w:snapToGrid w:val="0"/>
                    <w:jc w:val="center"/>
                  </w:pPr>
                  <w:r>
                    <w:rPr>
                      <w:szCs w:val="21"/>
                    </w:rPr>
                    <w:t>减振</w:t>
                  </w:r>
                  <w:r>
                    <w:rPr>
                      <w:rFonts w:hint="eastAsia"/>
                      <w:szCs w:val="21"/>
                    </w:rPr>
                    <w:t>、</w:t>
                  </w:r>
                  <w:r>
                    <w:rPr>
                      <w:szCs w:val="21"/>
                    </w:rPr>
                    <w:t>隔声</w:t>
                  </w:r>
                </w:p>
              </w:tc>
              <w:tc>
                <w:tcPr>
                  <w:tcW w:w="615" w:type="pct"/>
                  <w:vAlign w:val="center"/>
                </w:tcPr>
                <w:p>
                  <w:pPr>
                    <w:adjustRightInd w:val="0"/>
                    <w:snapToGrid w:val="0"/>
                    <w:jc w:val="center"/>
                    <w:rPr>
                      <w:szCs w:val="22"/>
                    </w:rPr>
                  </w:pPr>
                  <w:r>
                    <w:rPr>
                      <w:rFonts w:hint="eastAsia"/>
                      <w:szCs w:val="22"/>
                    </w:rPr>
                    <w:t>25</w:t>
                  </w:r>
                </w:p>
              </w:tc>
              <w:tc>
                <w:tcPr>
                  <w:tcW w:w="656" w:type="pct"/>
                  <w:vAlign w:val="center"/>
                </w:tcPr>
                <w:p>
                  <w:pPr>
                    <w:adjustRightInd w:val="0"/>
                    <w:snapToGrid w:val="0"/>
                    <w:jc w:val="center"/>
                    <w:rPr>
                      <w:szCs w:val="21"/>
                    </w:rPr>
                  </w:pPr>
                  <w:r>
                    <w:rPr>
                      <w:rFonts w:hint="eastAsia"/>
                      <w:szCs w:val="21"/>
                    </w:rPr>
                    <w:t>2700h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99" w:type="pct"/>
                  <w:vAlign w:val="center"/>
                </w:tcPr>
                <w:p>
                  <w:pPr>
                    <w:snapToGrid w:val="0"/>
                    <w:jc w:val="center"/>
                    <w:rPr>
                      <w:szCs w:val="21"/>
                    </w:rPr>
                  </w:pPr>
                  <w:r>
                    <w:rPr>
                      <w:szCs w:val="21"/>
                    </w:rPr>
                    <w:t>2</w:t>
                  </w:r>
                </w:p>
              </w:tc>
              <w:tc>
                <w:tcPr>
                  <w:tcW w:w="945" w:type="pct"/>
                  <w:vAlign w:val="center"/>
                </w:tcPr>
                <w:p>
                  <w:pPr>
                    <w:widowControl/>
                    <w:jc w:val="center"/>
                    <w:rPr>
                      <w:szCs w:val="21"/>
                    </w:rPr>
                  </w:pPr>
                  <w:r>
                    <w:rPr>
                      <w:rFonts w:hint="eastAsia"/>
                      <w:szCs w:val="21"/>
                    </w:rPr>
                    <w:t>钻床</w:t>
                  </w:r>
                </w:p>
              </w:tc>
              <w:tc>
                <w:tcPr>
                  <w:tcW w:w="655" w:type="pct"/>
                  <w:vAlign w:val="center"/>
                </w:tcPr>
                <w:p>
                  <w:pPr>
                    <w:widowControl/>
                    <w:jc w:val="center"/>
                    <w:rPr>
                      <w:szCs w:val="21"/>
                    </w:rPr>
                  </w:pPr>
                  <w:r>
                    <w:rPr>
                      <w:rFonts w:hint="eastAsia"/>
                      <w:szCs w:val="21"/>
                    </w:rPr>
                    <w:t>2</w:t>
                  </w:r>
                </w:p>
              </w:tc>
              <w:tc>
                <w:tcPr>
                  <w:tcW w:w="618" w:type="pct"/>
                  <w:vAlign w:val="center"/>
                </w:tcPr>
                <w:p>
                  <w:pPr>
                    <w:adjustRightInd w:val="0"/>
                    <w:snapToGrid w:val="0"/>
                    <w:jc w:val="center"/>
                    <w:rPr>
                      <w:kern w:val="0"/>
                      <w:szCs w:val="21"/>
                    </w:rPr>
                  </w:pPr>
                  <w:r>
                    <w:rPr>
                      <w:rFonts w:hint="eastAsia"/>
                      <w:szCs w:val="21"/>
                    </w:rPr>
                    <w:t>85</w:t>
                  </w:r>
                </w:p>
              </w:tc>
              <w:tc>
                <w:tcPr>
                  <w:tcW w:w="738" w:type="pct"/>
                  <w:vAlign w:val="center"/>
                </w:tcPr>
                <w:p>
                  <w:pPr>
                    <w:snapToGrid w:val="0"/>
                    <w:jc w:val="center"/>
                    <w:rPr>
                      <w:szCs w:val="21"/>
                    </w:rPr>
                  </w:pPr>
                  <w:r>
                    <w:rPr>
                      <w:rFonts w:hint="eastAsia"/>
                      <w:szCs w:val="21"/>
                    </w:rPr>
                    <w:t>N，5</w:t>
                  </w:r>
                </w:p>
              </w:tc>
              <w:tc>
                <w:tcPr>
                  <w:tcW w:w="473" w:type="pct"/>
                  <w:vMerge w:val="continue"/>
                  <w:vAlign w:val="center"/>
                </w:tcPr>
                <w:p>
                  <w:pPr>
                    <w:snapToGrid w:val="0"/>
                    <w:jc w:val="center"/>
                    <w:rPr>
                      <w:b/>
                      <w:bCs/>
                    </w:rPr>
                  </w:pPr>
                </w:p>
              </w:tc>
              <w:tc>
                <w:tcPr>
                  <w:tcW w:w="615" w:type="pct"/>
                  <w:vAlign w:val="center"/>
                </w:tcPr>
                <w:p>
                  <w:pPr>
                    <w:snapToGrid w:val="0"/>
                    <w:jc w:val="center"/>
                    <w:rPr>
                      <w:szCs w:val="22"/>
                    </w:rPr>
                  </w:pPr>
                  <w:r>
                    <w:rPr>
                      <w:rFonts w:hint="eastAsia"/>
                      <w:szCs w:val="22"/>
                    </w:rPr>
                    <w:t>25</w:t>
                  </w:r>
                </w:p>
              </w:tc>
              <w:tc>
                <w:tcPr>
                  <w:tcW w:w="656" w:type="pct"/>
                  <w:vAlign w:val="center"/>
                </w:tcPr>
                <w:p>
                  <w:pPr>
                    <w:snapToGrid w:val="0"/>
                    <w:jc w:val="center"/>
                    <w:rPr>
                      <w:szCs w:val="21"/>
                    </w:rPr>
                  </w:pPr>
                  <w:r>
                    <w:rPr>
                      <w:rFonts w:hint="eastAsia"/>
                      <w:szCs w:val="21"/>
                    </w:rPr>
                    <w:t>2700h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99" w:type="pct"/>
                  <w:vAlign w:val="center"/>
                </w:tcPr>
                <w:p>
                  <w:pPr>
                    <w:snapToGrid w:val="0"/>
                    <w:jc w:val="center"/>
                    <w:rPr>
                      <w:szCs w:val="21"/>
                    </w:rPr>
                  </w:pPr>
                  <w:r>
                    <w:rPr>
                      <w:szCs w:val="21"/>
                    </w:rPr>
                    <w:t>3</w:t>
                  </w:r>
                </w:p>
              </w:tc>
              <w:tc>
                <w:tcPr>
                  <w:tcW w:w="945" w:type="pct"/>
                  <w:vAlign w:val="center"/>
                </w:tcPr>
                <w:p>
                  <w:pPr>
                    <w:widowControl/>
                    <w:jc w:val="center"/>
                    <w:rPr>
                      <w:szCs w:val="21"/>
                    </w:rPr>
                  </w:pPr>
                  <w:r>
                    <w:rPr>
                      <w:rFonts w:hint="eastAsia"/>
                      <w:szCs w:val="21"/>
                    </w:rPr>
                    <w:t>离心机</w:t>
                  </w:r>
                </w:p>
              </w:tc>
              <w:tc>
                <w:tcPr>
                  <w:tcW w:w="655" w:type="pct"/>
                  <w:vAlign w:val="center"/>
                </w:tcPr>
                <w:p>
                  <w:pPr>
                    <w:widowControl/>
                    <w:jc w:val="center"/>
                    <w:rPr>
                      <w:szCs w:val="21"/>
                    </w:rPr>
                  </w:pPr>
                  <w:r>
                    <w:rPr>
                      <w:rFonts w:hint="eastAsia"/>
                      <w:szCs w:val="21"/>
                    </w:rPr>
                    <w:t>2</w:t>
                  </w:r>
                </w:p>
              </w:tc>
              <w:tc>
                <w:tcPr>
                  <w:tcW w:w="618" w:type="pct"/>
                  <w:vAlign w:val="center"/>
                </w:tcPr>
                <w:p>
                  <w:pPr>
                    <w:adjustRightInd w:val="0"/>
                    <w:snapToGrid w:val="0"/>
                    <w:jc w:val="center"/>
                    <w:rPr>
                      <w:szCs w:val="21"/>
                    </w:rPr>
                  </w:pPr>
                  <w:r>
                    <w:rPr>
                      <w:rFonts w:hint="eastAsia"/>
                      <w:szCs w:val="21"/>
                    </w:rPr>
                    <w:t>75</w:t>
                  </w:r>
                </w:p>
              </w:tc>
              <w:tc>
                <w:tcPr>
                  <w:tcW w:w="738" w:type="pct"/>
                  <w:vAlign w:val="center"/>
                </w:tcPr>
                <w:p>
                  <w:pPr>
                    <w:jc w:val="center"/>
                    <w:rPr>
                      <w:szCs w:val="21"/>
                    </w:rPr>
                  </w:pPr>
                  <w:r>
                    <w:rPr>
                      <w:rFonts w:hint="eastAsia"/>
                      <w:szCs w:val="21"/>
                    </w:rPr>
                    <w:t>N，4</w:t>
                  </w:r>
                </w:p>
              </w:tc>
              <w:tc>
                <w:tcPr>
                  <w:tcW w:w="473" w:type="pct"/>
                  <w:vMerge w:val="continue"/>
                  <w:vAlign w:val="center"/>
                </w:tcPr>
                <w:p>
                  <w:pPr>
                    <w:snapToGrid w:val="0"/>
                    <w:jc w:val="center"/>
                  </w:pPr>
                </w:p>
              </w:tc>
              <w:tc>
                <w:tcPr>
                  <w:tcW w:w="615" w:type="pct"/>
                  <w:vAlign w:val="center"/>
                </w:tcPr>
                <w:p>
                  <w:pPr>
                    <w:snapToGrid w:val="0"/>
                    <w:jc w:val="center"/>
                    <w:rPr>
                      <w:szCs w:val="21"/>
                    </w:rPr>
                  </w:pPr>
                  <w:r>
                    <w:rPr>
                      <w:rFonts w:hint="eastAsia"/>
                      <w:szCs w:val="22"/>
                    </w:rPr>
                    <w:t>25</w:t>
                  </w:r>
                </w:p>
              </w:tc>
              <w:tc>
                <w:tcPr>
                  <w:tcW w:w="656" w:type="pct"/>
                  <w:vAlign w:val="center"/>
                </w:tcPr>
                <w:p>
                  <w:pPr>
                    <w:snapToGrid w:val="0"/>
                    <w:jc w:val="center"/>
                    <w:rPr>
                      <w:szCs w:val="21"/>
                    </w:rPr>
                  </w:pPr>
                  <w:r>
                    <w:rPr>
                      <w:rFonts w:hint="eastAsia"/>
                      <w:szCs w:val="21"/>
                    </w:rPr>
                    <w:t>2700h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99" w:type="pct"/>
                  <w:vAlign w:val="center"/>
                </w:tcPr>
                <w:p>
                  <w:pPr>
                    <w:snapToGrid w:val="0"/>
                    <w:jc w:val="center"/>
                    <w:rPr>
                      <w:szCs w:val="21"/>
                    </w:rPr>
                  </w:pPr>
                  <w:r>
                    <w:rPr>
                      <w:szCs w:val="21"/>
                    </w:rPr>
                    <w:t>4</w:t>
                  </w:r>
                </w:p>
              </w:tc>
              <w:tc>
                <w:tcPr>
                  <w:tcW w:w="945" w:type="pct"/>
                  <w:vAlign w:val="center"/>
                </w:tcPr>
                <w:p>
                  <w:pPr>
                    <w:widowControl/>
                    <w:jc w:val="center"/>
                    <w:rPr>
                      <w:szCs w:val="21"/>
                    </w:rPr>
                  </w:pPr>
                  <w:r>
                    <w:rPr>
                      <w:rFonts w:hint="eastAsia"/>
                      <w:szCs w:val="21"/>
                    </w:rPr>
                    <w:t>磁力抛光机</w:t>
                  </w:r>
                </w:p>
              </w:tc>
              <w:tc>
                <w:tcPr>
                  <w:tcW w:w="655" w:type="pct"/>
                  <w:vAlign w:val="center"/>
                </w:tcPr>
                <w:p>
                  <w:pPr>
                    <w:widowControl/>
                    <w:jc w:val="center"/>
                    <w:rPr>
                      <w:szCs w:val="21"/>
                    </w:rPr>
                  </w:pPr>
                  <w:r>
                    <w:rPr>
                      <w:rFonts w:hint="eastAsia"/>
                      <w:szCs w:val="21"/>
                    </w:rPr>
                    <w:t>1</w:t>
                  </w:r>
                </w:p>
              </w:tc>
              <w:tc>
                <w:tcPr>
                  <w:tcW w:w="618" w:type="pct"/>
                  <w:vAlign w:val="center"/>
                </w:tcPr>
                <w:p>
                  <w:pPr>
                    <w:adjustRightInd w:val="0"/>
                    <w:snapToGrid w:val="0"/>
                    <w:jc w:val="center"/>
                    <w:rPr>
                      <w:szCs w:val="21"/>
                    </w:rPr>
                  </w:pPr>
                  <w:r>
                    <w:rPr>
                      <w:rFonts w:hint="eastAsia"/>
                      <w:szCs w:val="21"/>
                    </w:rPr>
                    <w:t>75</w:t>
                  </w:r>
                </w:p>
              </w:tc>
              <w:tc>
                <w:tcPr>
                  <w:tcW w:w="738" w:type="pct"/>
                  <w:vAlign w:val="center"/>
                </w:tcPr>
                <w:p>
                  <w:pPr>
                    <w:jc w:val="center"/>
                  </w:pPr>
                  <w:r>
                    <w:rPr>
                      <w:rFonts w:hint="eastAsia"/>
                      <w:szCs w:val="21"/>
                    </w:rPr>
                    <w:t>N，4</w:t>
                  </w:r>
                </w:p>
              </w:tc>
              <w:tc>
                <w:tcPr>
                  <w:tcW w:w="473" w:type="pct"/>
                  <w:vMerge w:val="continue"/>
                  <w:vAlign w:val="center"/>
                </w:tcPr>
                <w:p>
                  <w:pPr>
                    <w:snapToGrid w:val="0"/>
                    <w:jc w:val="center"/>
                    <w:rPr>
                      <w:szCs w:val="21"/>
                    </w:rPr>
                  </w:pPr>
                </w:p>
              </w:tc>
              <w:tc>
                <w:tcPr>
                  <w:tcW w:w="615" w:type="pct"/>
                  <w:vAlign w:val="center"/>
                </w:tcPr>
                <w:p>
                  <w:pPr>
                    <w:snapToGrid w:val="0"/>
                    <w:jc w:val="center"/>
                  </w:pPr>
                  <w:r>
                    <w:rPr>
                      <w:rFonts w:hint="eastAsia"/>
                      <w:szCs w:val="22"/>
                    </w:rPr>
                    <w:t>25</w:t>
                  </w:r>
                </w:p>
              </w:tc>
              <w:tc>
                <w:tcPr>
                  <w:tcW w:w="656" w:type="pct"/>
                  <w:vAlign w:val="center"/>
                </w:tcPr>
                <w:p>
                  <w:pPr>
                    <w:snapToGrid w:val="0"/>
                    <w:jc w:val="center"/>
                    <w:rPr>
                      <w:szCs w:val="21"/>
                    </w:rPr>
                  </w:pPr>
                  <w:r>
                    <w:rPr>
                      <w:rFonts w:hint="eastAsia"/>
                      <w:szCs w:val="21"/>
                    </w:rPr>
                    <w:t>2700h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99" w:type="pct"/>
                  <w:vAlign w:val="center"/>
                </w:tcPr>
                <w:p>
                  <w:pPr>
                    <w:snapToGrid w:val="0"/>
                    <w:jc w:val="center"/>
                    <w:rPr>
                      <w:szCs w:val="21"/>
                    </w:rPr>
                  </w:pPr>
                  <w:r>
                    <w:rPr>
                      <w:szCs w:val="21"/>
                    </w:rPr>
                    <w:t>5</w:t>
                  </w:r>
                </w:p>
              </w:tc>
              <w:tc>
                <w:tcPr>
                  <w:tcW w:w="945" w:type="pct"/>
                  <w:vAlign w:val="center"/>
                </w:tcPr>
                <w:p>
                  <w:pPr>
                    <w:widowControl/>
                    <w:jc w:val="center"/>
                    <w:rPr>
                      <w:szCs w:val="21"/>
                    </w:rPr>
                  </w:pPr>
                  <w:r>
                    <w:rPr>
                      <w:rFonts w:hint="eastAsia"/>
                      <w:szCs w:val="21"/>
                    </w:rPr>
                    <w:t>焊接机</w:t>
                  </w:r>
                </w:p>
              </w:tc>
              <w:tc>
                <w:tcPr>
                  <w:tcW w:w="655" w:type="pct"/>
                  <w:vAlign w:val="center"/>
                </w:tcPr>
                <w:p>
                  <w:pPr>
                    <w:widowControl/>
                    <w:jc w:val="center"/>
                    <w:rPr>
                      <w:szCs w:val="21"/>
                    </w:rPr>
                  </w:pPr>
                  <w:r>
                    <w:rPr>
                      <w:rFonts w:hint="eastAsia"/>
                      <w:szCs w:val="21"/>
                    </w:rPr>
                    <w:t>1</w:t>
                  </w:r>
                </w:p>
              </w:tc>
              <w:tc>
                <w:tcPr>
                  <w:tcW w:w="618" w:type="pct"/>
                  <w:vAlign w:val="center"/>
                </w:tcPr>
                <w:p>
                  <w:pPr>
                    <w:adjustRightInd w:val="0"/>
                    <w:snapToGrid w:val="0"/>
                    <w:jc w:val="center"/>
                    <w:rPr>
                      <w:szCs w:val="21"/>
                    </w:rPr>
                  </w:pPr>
                  <w:r>
                    <w:rPr>
                      <w:rFonts w:hint="eastAsia"/>
                      <w:szCs w:val="21"/>
                    </w:rPr>
                    <w:t>80</w:t>
                  </w:r>
                </w:p>
              </w:tc>
              <w:tc>
                <w:tcPr>
                  <w:tcW w:w="738" w:type="pct"/>
                  <w:vAlign w:val="center"/>
                </w:tcPr>
                <w:p>
                  <w:pPr>
                    <w:jc w:val="center"/>
                    <w:rPr>
                      <w:szCs w:val="21"/>
                    </w:rPr>
                  </w:pPr>
                  <w:r>
                    <w:rPr>
                      <w:rFonts w:hint="eastAsia"/>
                      <w:szCs w:val="21"/>
                    </w:rPr>
                    <w:t>E，5</w:t>
                  </w:r>
                </w:p>
              </w:tc>
              <w:tc>
                <w:tcPr>
                  <w:tcW w:w="473" w:type="pct"/>
                  <w:vMerge w:val="continue"/>
                  <w:vAlign w:val="center"/>
                </w:tcPr>
                <w:p>
                  <w:pPr>
                    <w:snapToGrid w:val="0"/>
                    <w:jc w:val="center"/>
                  </w:pPr>
                </w:p>
              </w:tc>
              <w:tc>
                <w:tcPr>
                  <w:tcW w:w="615" w:type="pct"/>
                  <w:vAlign w:val="center"/>
                </w:tcPr>
                <w:p>
                  <w:pPr>
                    <w:snapToGrid w:val="0"/>
                    <w:jc w:val="center"/>
                  </w:pPr>
                  <w:r>
                    <w:rPr>
                      <w:rFonts w:hint="eastAsia"/>
                      <w:szCs w:val="22"/>
                    </w:rPr>
                    <w:t>25</w:t>
                  </w:r>
                </w:p>
              </w:tc>
              <w:tc>
                <w:tcPr>
                  <w:tcW w:w="656" w:type="pct"/>
                  <w:vAlign w:val="center"/>
                </w:tcPr>
                <w:p>
                  <w:pPr>
                    <w:snapToGrid w:val="0"/>
                    <w:jc w:val="center"/>
                    <w:rPr>
                      <w:szCs w:val="21"/>
                    </w:rPr>
                  </w:pPr>
                  <w:r>
                    <w:rPr>
                      <w:rFonts w:hint="eastAsia"/>
                      <w:szCs w:val="21"/>
                    </w:rPr>
                    <w:t>300h</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99" w:type="pct"/>
                  <w:vAlign w:val="center"/>
                </w:tcPr>
                <w:p>
                  <w:pPr>
                    <w:snapToGrid w:val="0"/>
                    <w:jc w:val="center"/>
                    <w:rPr>
                      <w:szCs w:val="21"/>
                    </w:rPr>
                  </w:pPr>
                  <w:r>
                    <w:rPr>
                      <w:rFonts w:hint="eastAsia"/>
                      <w:szCs w:val="21"/>
                    </w:rPr>
                    <w:t>6</w:t>
                  </w:r>
                </w:p>
              </w:tc>
              <w:tc>
                <w:tcPr>
                  <w:tcW w:w="945" w:type="pct"/>
                  <w:vAlign w:val="center"/>
                </w:tcPr>
                <w:p>
                  <w:pPr>
                    <w:widowControl/>
                    <w:jc w:val="center"/>
                    <w:rPr>
                      <w:szCs w:val="21"/>
                    </w:rPr>
                  </w:pPr>
                  <w:r>
                    <w:rPr>
                      <w:rFonts w:hint="eastAsia"/>
                      <w:szCs w:val="21"/>
                    </w:rPr>
                    <w:t>电烤箱</w:t>
                  </w:r>
                </w:p>
              </w:tc>
              <w:tc>
                <w:tcPr>
                  <w:tcW w:w="655" w:type="pct"/>
                  <w:vAlign w:val="center"/>
                </w:tcPr>
                <w:p>
                  <w:pPr>
                    <w:widowControl/>
                    <w:jc w:val="center"/>
                    <w:rPr>
                      <w:szCs w:val="21"/>
                    </w:rPr>
                  </w:pPr>
                  <w:r>
                    <w:rPr>
                      <w:rFonts w:hint="eastAsia"/>
                      <w:szCs w:val="21"/>
                    </w:rPr>
                    <w:t>1</w:t>
                  </w:r>
                </w:p>
              </w:tc>
              <w:tc>
                <w:tcPr>
                  <w:tcW w:w="618" w:type="pct"/>
                  <w:vAlign w:val="center"/>
                </w:tcPr>
                <w:p>
                  <w:pPr>
                    <w:adjustRightInd w:val="0"/>
                    <w:snapToGrid w:val="0"/>
                    <w:jc w:val="center"/>
                    <w:rPr>
                      <w:szCs w:val="21"/>
                    </w:rPr>
                  </w:pPr>
                  <w:r>
                    <w:rPr>
                      <w:rFonts w:hint="eastAsia"/>
                      <w:szCs w:val="21"/>
                    </w:rPr>
                    <w:t>75</w:t>
                  </w:r>
                </w:p>
              </w:tc>
              <w:tc>
                <w:tcPr>
                  <w:tcW w:w="738" w:type="pct"/>
                  <w:vAlign w:val="center"/>
                </w:tcPr>
                <w:p>
                  <w:pPr>
                    <w:jc w:val="center"/>
                    <w:rPr>
                      <w:szCs w:val="21"/>
                    </w:rPr>
                  </w:pPr>
                  <w:r>
                    <w:rPr>
                      <w:rFonts w:hint="eastAsia"/>
                      <w:szCs w:val="21"/>
                    </w:rPr>
                    <w:t>N，4</w:t>
                  </w:r>
                </w:p>
              </w:tc>
              <w:tc>
                <w:tcPr>
                  <w:tcW w:w="473" w:type="pct"/>
                  <w:vMerge w:val="continue"/>
                  <w:vAlign w:val="center"/>
                </w:tcPr>
                <w:p>
                  <w:pPr>
                    <w:snapToGrid w:val="0"/>
                    <w:jc w:val="center"/>
                  </w:pPr>
                </w:p>
              </w:tc>
              <w:tc>
                <w:tcPr>
                  <w:tcW w:w="615" w:type="pct"/>
                  <w:vAlign w:val="center"/>
                </w:tcPr>
                <w:p>
                  <w:pPr>
                    <w:snapToGrid w:val="0"/>
                    <w:jc w:val="center"/>
                    <w:rPr>
                      <w:szCs w:val="22"/>
                    </w:rPr>
                  </w:pPr>
                  <w:r>
                    <w:rPr>
                      <w:rFonts w:hint="eastAsia"/>
                      <w:szCs w:val="22"/>
                    </w:rPr>
                    <w:t>25</w:t>
                  </w:r>
                </w:p>
              </w:tc>
              <w:tc>
                <w:tcPr>
                  <w:tcW w:w="656" w:type="pct"/>
                  <w:vAlign w:val="center"/>
                </w:tcPr>
                <w:p>
                  <w:pPr>
                    <w:snapToGrid w:val="0"/>
                    <w:jc w:val="center"/>
                    <w:rPr>
                      <w:szCs w:val="21"/>
                    </w:rPr>
                  </w:pPr>
                  <w:r>
                    <w:rPr>
                      <w:rFonts w:hint="eastAsia"/>
                      <w:szCs w:val="21"/>
                    </w:rPr>
                    <w:t>2700h</w:t>
                  </w:r>
                </w:p>
              </w:tc>
            </w:tr>
          </w:tbl>
          <w:p>
            <w:pPr>
              <w:pStyle w:val="5"/>
              <w:adjustRightInd w:val="0"/>
              <w:spacing w:line="360" w:lineRule="auto"/>
              <w:ind w:firstLine="508" w:firstLineChars="211"/>
              <w:rPr>
                <w:rFonts w:ascii="Times New Roman" w:hAnsi="Times New Roman"/>
                <w:b/>
                <w:sz w:val="24"/>
                <w:szCs w:val="24"/>
              </w:rPr>
            </w:pPr>
            <w:r>
              <w:rPr>
                <w:rFonts w:hint="eastAsia" w:ascii="Times New Roman" w:hAnsi="Times New Roman"/>
                <w:b/>
                <w:sz w:val="24"/>
                <w:szCs w:val="24"/>
              </w:rPr>
              <w:t>（2）</w:t>
            </w:r>
            <w:r>
              <w:rPr>
                <w:rFonts w:ascii="Times New Roman" w:hAnsi="Times New Roman"/>
                <w:b/>
                <w:sz w:val="24"/>
                <w:szCs w:val="24"/>
              </w:rPr>
              <w:t>防治措施</w:t>
            </w:r>
          </w:p>
          <w:p>
            <w:pPr>
              <w:pStyle w:val="5"/>
              <w:adjustRightInd w:val="0"/>
              <w:spacing w:line="360" w:lineRule="auto"/>
              <w:ind w:firstLine="506" w:firstLineChars="211"/>
              <w:rPr>
                <w:rFonts w:ascii="Times New Roman" w:hAnsi="Times New Roman"/>
                <w:sz w:val="24"/>
                <w:szCs w:val="24"/>
              </w:rPr>
            </w:pPr>
            <w:r>
              <w:rPr>
                <w:rFonts w:ascii="Times New Roman" w:hAnsi="Times New Roman"/>
                <w:sz w:val="24"/>
                <w:szCs w:val="24"/>
              </w:rPr>
              <w:t>本项目对各噪声源拟采取减振、厂房隔声的措施，并利用车间的厂房对噪声进行隔声。采取的具体噪声措施如下：</w:t>
            </w:r>
          </w:p>
          <w:p>
            <w:pPr>
              <w:pStyle w:val="5"/>
              <w:adjustRightInd w:val="0"/>
              <w:spacing w:line="360" w:lineRule="auto"/>
              <w:ind w:firstLine="506" w:firstLineChars="211"/>
              <w:rPr>
                <w:rFonts w:ascii="Times New Roman" w:hAnsi="Times New Roman"/>
                <w:sz w:val="24"/>
                <w:szCs w:val="24"/>
              </w:rPr>
            </w:pPr>
            <w:r>
              <w:rPr>
                <w:rFonts w:hint="eastAsia" w:ascii="宋体" w:hAnsi="宋体" w:cs="宋体"/>
                <w:sz w:val="24"/>
                <w:szCs w:val="24"/>
              </w:rPr>
              <w:t>①</w:t>
            </w:r>
            <w:r>
              <w:rPr>
                <w:rFonts w:ascii="Times New Roman" w:hAnsi="Times New Roman"/>
                <w:sz w:val="24"/>
                <w:szCs w:val="24"/>
              </w:rPr>
              <w:t>充分利用厂区建筑物隔声、降噪，有利于减少生产噪声对厂外声环境的影响。</w:t>
            </w:r>
          </w:p>
          <w:p>
            <w:pPr>
              <w:pStyle w:val="5"/>
              <w:adjustRightInd w:val="0"/>
              <w:spacing w:line="360" w:lineRule="auto"/>
              <w:ind w:firstLine="506" w:firstLineChars="211"/>
              <w:rPr>
                <w:rFonts w:ascii="Times New Roman" w:hAnsi="Times New Roman"/>
                <w:sz w:val="24"/>
                <w:szCs w:val="24"/>
              </w:rPr>
            </w:pPr>
            <w:r>
              <w:rPr>
                <w:rFonts w:hint="eastAsia" w:ascii="宋体" w:hAnsi="宋体" w:cs="宋体"/>
                <w:sz w:val="24"/>
                <w:szCs w:val="24"/>
              </w:rPr>
              <w:t>②</w:t>
            </w:r>
            <w:r>
              <w:rPr>
                <w:rFonts w:ascii="Times New Roman" w:hAnsi="Times New Roman"/>
                <w:sz w:val="24"/>
                <w:szCs w:val="24"/>
              </w:rPr>
              <w:t>合理布局，闹静分开，使高噪声设备尽量远离敏感点。</w:t>
            </w:r>
          </w:p>
          <w:p>
            <w:pPr>
              <w:pStyle w:val="5"/>
              <w:adjustRightInd w:val="0"/>
              <w:spacing w:line="360" w:lineRule="auto"/>
              <w:ind w:firstLine="506" w:firstLineChars="211"/>
              <w:rPr>
                <w:rFonts w:ascii="Times New Roman" w:hAnsi="Times New Roman"/>
                <w:sz w:val="24"/>
                <w:szCs w:val="24"/>
              </w:rPr>
            </w:pPr>
            <w:r>
              <w:rPr>
                <w:rFonts w:ascii="Times New Roman" w:hAnsi="Times New Roman"/>
                <w:sz w:val="24"/>
                <w:szCs w:val="24"/>
              </w:rPr>
              <w:fldChar w:fldCharType="begin"/>
            </w:r>
            <w:r>
              <w:rPr>
                <w:rFonts w:ascii="Times New Roman" w:hAnsi="Times New Roman"/>
                <w:sz w:val="24"/>
                <w:szCs w:val="24"/>
              </w:rPr>
              <w:instrText xml:space="preserve"> = 3 \* GB3 \* MERGEFORMAT </w:instrText>
            </w:r>
            <w:r>
              <w:rPr>
                <w:rFonts w:ascii="Times New Roman" w:hAnsi="Times New Roman"/>
                <w:sz w:val="24"/>
                <w:szCs w:val="24"/>
              </w:rPr>
              <w:fldChar w:fldCharType="separate"/>
            </w:r>
            <w:r>
              <w:rPr>
                <w:rFonts w:hint="eastAsia" w:ascii="宋体" w:hAnsi="宋体" w:cs="宋体"/>
                <w:sz w:val="24"/>
                <w:szCs w:val="24"/>
              </w:rPr>
              <w:t>③</w:t>
            </w:r>
            <w:r>
              <w:rPr>
                <w:rFonts w:ascii="Times New Roman" w:hAnsi="Times New Roman"/>
                <w:sz w:val="24"/>
                <w:szCs w:val="24"/>
              </w:rPr>
              <w:fldChar w:fldCharType="end"/>
            </w:r>
            <w:r>
              <w:rPr>
                <w:rFonts w:ascii="Times New Roman" w:hAnsi="Times New Roman"/>
                <w:sz w:val="24"/>
                <w:szCs w:val="24"/>
              </w:rPr>
              <w:t>项目设备应加强日常的维护，确保设备的正常运行，避免产生异常噪声。</w:t>
            </w:r>
          </w:p>
          <w:p>
            <w:pPr>
              <w:adjustRightInd w:val="0"/>
              <w:snapToGrid w:val="0"/>
              <w:spacing w:line="360" w:lineRule="auto"/>
              <w:ind w:firstLine="482" w:firstLineChars="200"/>
              <w:rPr>
                <w:b/>
                <w:sz w:val="24"/>
              </w:rPr>
            </w:pPr>
            <w:r>
              <w:rPr>
                <w:rFonts w:hint="eastAsia"/>
                <w:b/>
                <w:sz w:val="24"/>
              </w:rPr>
              <w:t>（3）达标情况分析</w:t>
            </w:r>
          </w:p>
          <w:p>
            <w:pPr>
              <w:adjustRightInd w:val="0"/>
              <w:spacing w:line="360" w:lineRule="auto"/>
              <w:ind w:firstLine="480" w:firstLineChars="200"/>
              <w:rPr>
                <w:sz w:val="24"/>
              </w:rPr>
            </w:pPr>
            <w:r>
              <w:rPr>
                <w:sz w:val="24"/>
              </w:rPr>
              <w:t>经合理布局、减振、厂房隔声、距离衰减后，项目各厂界噪声预测情况见下表：</w:t>
            </w:r>
          </w:p>
          <w:p>
            <w:pPr>
              <w:snapToGrid w:val="0"/>
              <w:jc w:val="center"/>
              <w:rPr>
                <w:b/>
                <w:bCs/>
                <w:sz w:val="24"/>
              </w:rPr>
            </w:pPr>
            <w:r>
              <w:rPr>
                <w:b/>
                <w:bCs/>
                <w:sz w:val="24"/>
              </w:rPr>
              <w:t>表4-</w:t>
            </w:r>
            <w:r>
              <w:rPr>
                <w:rFonts w:hint="eastAsia"/>
                <w:b/>
                <w:bCs/>
                <w:sz w:val="24"/>
              </w:rPr>
              <w:t>14</w:t>
            </w:r>
            <w:r>
              <w:rPr>
                <w:b/>
                <w:bCs/>
                <w:sz w:val="24"/>
              </w:rPr>
              <w:t xml:space="preserve"> 本项目各厂界噪声预测结果</w:t>
            </w:r>
            <w:r>
              <w:rPr>
                <w:b/>
                <w:sz w:val="24"/>
              </w:rPr>
              <w:t xml:space="preserve">  dB(A)</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26"/>
              <w:gridCol w:w="500"/>
              <w:gridCol w:w="973"/>
              <w:gridCol w:w="693"/>
              <w:gridCol w:w="843"/>
              <w:gridCol w:w="1385"/>
              <w:gridCol w:w="1385"/>
              <w:gridCol w:w="138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9" w:hRule="atLeast"/>
                <w:jc w:val="center"/>
              </w:trPr>
              <w:tc>
                <w:tcPr>
                  <w:tcW w:w="517" w:type="pct"/>
                  <w:vMerge w:val="restart"/>
                  <w:tcMar>
                    <w:left w:w="0" w:type="dxa"/>
                    <w:right w:w="0" w:type="dxa"/>
                  </w:tcMar>
                  <w:vAlign w:val="center"/>
                </w:tcPr>
                <w:p>
                  <w:pPr>
                    <w:jc w:val="center"/>
                    <w:rPr>
                      <w:b/>
                      <w:szCs w:val="21"/>
                    </w:rPr>
                  </w:pPr>
                  <w:r>
                    <w:rPr>
                      <w:b/>
                      <w:szCs w:val="21"/>
                    </w:rPr>
                    <w:t>目标</w:t>
                  </w:r>
                </w:p>
              </w:tc>
              <w:tc>
                <w:tcPr>
                  <w:tcW w:w="313" w:type="pct"/>
                  <w:vMerge w:val="restart"/>
                  <w:tcMar>
                    <w:left w:w="0" w:type="dxa"/>
                    <w:right w:w="0" w:type="dxa"/>
                  </w:tcMar>
                  <w:vAlign w:val="center"/>
                </w:tcPr>
                <w:p>
                  <w:pPr>
                    <w:jc w:val="center"/>
                    <w:rPr>
                      <w:b/>
                      <w:szCs w:val="21"/>
                    </w:rPr>
                  </w:pPr>
                  <w:r>
                    <w:rPr>
                      <w:b/>
                      <w:szCs w:val="21"/>
                    </w:rPr>
                    <w:t>混合噪声源强</w:t>
                  </w:r>
                </w:p>
              </w:tc>
              <w:tc>
                <w:tcPr>
                  <w:tcW w:w="609" w:type="pct"/>
                  <w:vMerge w:val="restart"/>
                  <w:tcMar>
                    <w:left w:w="0" w:type="dxa"/>
                    <w:right w:w="0" w:type="dxa"/>
                  </w:tcMar>
                  <w:vAlign w:val="center"/>
                </w:tcPr>
                <w:p>
                  <w:pPr>
                    <w:jc w:val="center"/>
                    <w:rPr>
                      <w:b/>
                      <w:szCs w:val="21"/>
                    </w:rPr>
                  </w:pPr>
                  <w:r>
                    <w:rPr>
                      <w:b/>
                      <w:szCs w:val="21"/>
                    </w:rPr>
                    <w:t>声源到评价点距离（m）</w:t>
                  </w:r>
                </w:p>
              </w:tc>
              <w:tc>
                <w:tcPr>
                  <w:tcW w:w="434" w:type="pct"/>
                  <w:vMerge w:val="restart"/>
                  <w:tcMar>
                    <w:left w:w="0" w:type="dxa"/>
                    <w:right w:w="0" w:type="dxa"/>
                  </w:tcMar>
                  <w:vAlign w:val="center"/>
                </w:tcPr>
                <w:p>
                  <w:pPr>
                    <w:jc w:val="center"/>
                    <w:rPr>
                      <w:b/>
                      <w:szCs w:val="21"/>
                    </w:rPr>
                  </w:pPr>
                  <w:r>
                    <w:rPr>
                      <w:b/>
                      <w:szCs w:val="21"/>
                    </w:rPr>
                    <w:t>几何发散衰减</w:t>
                  </w:r>
                </w:p>
              </w:tc>
              <w:tc>
                <w:tcPr>
                  <w:tcW w:w="528" w:type="pct"/>
                  <w:vMerge w:val="restart"/>
                  <w:tcMar>
                    <w:left w:w="0" w:type="dxa"/>
                    <w:right w:w="0" w:type="dxa"/>
                  </w:tcMar>
                  <w:vAlign w:val="center"/>
                </w:tcPr>
                <w:p>
                  <w:pPr>
                    <w:jc w:val="center"/>
                    <w:rPr>
                      <w:b/>
                      <w:szCs w:val="21"/>
                    </w:rPr>
                  </w:pPr>
                  <w:r>
                    <w:rPr>
                      <w:b/>
                      <w:szCs w:val="21"/>
                    </w:rPr>
                    <w:t>车间噪声贡献值</w:t>
                  </w:r>
                </w:p>
              </w:tc>
              <w:tc>
                <w:tcPr>
                  <w:tcW w:w="867" w:type="pct"/>
                  <w:tcMar>
                    <w:left w:w="0" w:type="dxa"/>
                    <w:right w:w="0" w:type="dxa"/>
                  </w:tcMar>
                  <w:vAlign w:val="center"/>
                </w:tcPr>
                <w:p>
                  <w:pPr>
                    <w:jc w:val="center"/>
                    <w:rPr>
                      <w:b/>
                      <w:szCs w:val="21"/>
                    </w:rPr>
                  </w:pPr>
                  <w:r>
                    <w:rPr>
                      <w:b/>
                      <w:szCs w:val="21"/>
                    </w:rPr>
                    <w:t>本底值</w:t>
                  </w:r>
                </w:p>
              </w:tc>
              <w:tc>
                <w:tcPr>
                  <w:tcW w:w="867" w:type="pct"/>
                  <w:tcMar>
                    <w:left w:w="0" w:type="dxa"/>
                    <w:right w:w="0" w:type="dxa"/>
                  </w:tcMar>
                  <w:vAlign w:val="center"/>
                </w:tcPr>
                <w:p>
                  <w:pPr>
                    <w:jc w:val="center"/>
                    <w:rPr>
                      <w:b/>
                      <w:szCs w:val="21"/>
                    </w:rPr>
                  </w:pPr>
                  <w:r>
                    <w:rPr>
                      <w:b/>
                      <w:szCs w:val="21"/>
                    </w:rPr>
                    <w:t>预测值</w:t>
                  </w:r>
                </w:p>
              </w:tc>
              <w:tc>
                <w:tcPr>
                  <w:tcW w:w="865" w:type="pct"/>
                  <w:tcMar>
                    <w:left w:w="0" w:type="dxa"/>
                    <w:right w:w="0" w:type="dxa"/>
                  </w:tcMar>
                  <w:vAlign w:val="center"/>
                </w:tcPr>
                <w:p>
                  <w:pPr>
                    <w:jc w:val="center"/>
                    <w:rPr>
                      <w:b/>
                      <w:szCs w:val="21"/>
                    </w:rPr>
                  </w:pPr>
                  <w:r>
                    <w:rPr>
                      <w:b/>
                      <w:szCs w:val="21"/>
                    </w:rPr>
                    <w:t>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17" w:hRule="atLeast"/>
                <w:jc w:val="center"/>
              </w:trPr>
              <w:tc>
                <w:tcPr>
                  <w:tcW w:w="517" w:type="pct"/>
                  <w:vMerge w:val="continue"/>
                  <w:tcMar>
                    <w:left w:w="0" w:type="dxa"/>
                    <w:right w:w="0" w:type="dxa"/>
                  </w:tcMar>
                  <w:vAlign w:val="center"/>
                </w:tcPr>
                <w:p>
                  <w:pPr>
                    <w:jc w:val="center"/>
                    <w:rPr>
                      <w:b/>
                      <w:szCs w:val="21"/>
                      <w:highlight w:val="yellow"/>
                    </w:rPr>
                  </w:pPr>
                </w:p>
              </w:tc>
              <w:tc>
                <w:tcPr>
                  <w:tcW w:w="313" w:type="pct"/>
                  <w:vMerge w:val="continue"/>
                  <w:tcMar>
                    <w:left w:w="0" w:type="dxa"/>
                    <w:right w:w="0" w:type="dxa"/>
                  </w:tcMar>
                  <w:vAlign w:val="center"/>
                </w:tcPr>
                <w:p>
                  <w:pPr>
                    <w:jc w:val="center"/>
                    <w:rPr>
                      <w:b/>
                      <w:szCs w:val="21"/>
                      <w:highlight w:val="yellow"/>
                    </w:rPr>
                  </w:pPr>
                </w:p>
              </w:tc>
              <w:tc>
                <w:tcPr>
                  <w:tcW w:w="609" w:type="pct"/>
                  <w:vMerge w:val="continue"/>
                  <w:tcMar>
                    <w:left w:w="0" w:type="dxa"/>
                    <w:right w:w="0" w:type="dxa"/>
                  </w:tcMar>
                  <w:vAlign w:val="center"/>
                </w:tcPr>
                <w:p>
                  <w:pPr>
                    <w:jc w:val="center"/>
                    <w:rPr>
                      <w:b/>
                      <w:szCs w:val="21"/>
                      <w:highlight w:val="yellow"/>
                    </w:rPr>
                  </w:pPr>
                </w:p>
              </w:tc>
              <w:tc>
                <w:tcPr>
                  <w:tcW w:w="434" w:type="pct"/>
                  <w:vMerge w:val="continue"/>
                  <w:tcMar>
                    <w:left w:w="0" w:type="dxa"/>
                    <w:right w:w="0" w:type="dxa"/>
                  </w:tcMar>
                  <w:vAlign w:val="center"/>
                </w:tcPr>
                <w:p>
                  <w:pPr>
                    <w:jc w:val="center"/>
                    <w:rPr>
                      <w:b/>
                      <w:szCs w:val="21"/>
                      <w:highlight w:val="yellow"/>
                    </w:rPr>
                  </w:pPr>
                </w:p>
              </w:tc>
              <w:tc>
                <w:tcPr>
                  <w:tcW w:w="528" w:type="pct"/>
                  <w:vMerge w:val="continue"/>
                  <w:tcMar>
                    <w:left w:w="0" w:type="dxa"/>
                    <w:right w:w="0" w:type="dxa"/>
                  </w:tcMar>
                  <w:vAlign w:val="center"/>
                </w:tcPr>
                <w:p>
                  <w:pPr>
                    <w:jc w:val="center"/>
                    <w:rPr>
                      <w:b/>
                      <w:szCs w:val="21"/>
                      <w:highlight w:val="yellow"/>
                    </w:rPr>
                  </w:pPr>
                </w:p>
              </w:tc>
              <w:tc>
                <w:tcPr>
                  <w:tcW w:w="867" w:type="pct"/>
                  <w:tcMar>
                    <w:left w:w="0" w:type="dxa"/>
                    <w:right w:w="0" w:type="dxa"/>
                  </w:tcMar>
                  <w:vAlign w:val="center"/>
                </w:tcPr>
                <w:p>
                  <w:pPr>
                    <w:jc w:val="center"/>
                    <w:rPr>
                      <w:b/>
                      <w:szCs w:val="21"/>
                    </w:rPr>
                  </w:pPr>
                  <w:r>
                    <w:rPr>
                      <w:b/>
                      <w:szCs w:val="21"/>
                    </w:rPr>
                    <w:t>昼间</w:t>
                  </w:r>
                </w:p>
              </w:tc>
              <w:tc>
                <w:tcPr>
                  <w:tcW w:w="867" w:type="pct"/>
                  <w:tcMar>
                    <w:left w:w="0" w:type="dxa"/>
                    <w:right w:w="0" w:type="dxa"/>
                  </w:tcMar>
                  <w:vAlign w:val="center"/>
                </w:tcPr>
                <w:p>
                  <w:pPr>
                    <w:jc w:val="center"/>
                    <w:rPr>
                      <w:b/>
                      <w:szCs w:val="21"/>
                    </w:rPr>
                  </w:pPr>
                  <w:r>
                    <w:rPr>
                      <w:b/>
                      <w:szCs w:val="21"/>
                    </w:rPr>
                    <w:t>昼间</w:t>
                  </w:r>
                </w:p>
              </w:tc>
              <w:tc>
                <w:tcPr>
                  <w:tcW w:w="865" w:type="pct"/>
                  <w:tcMar>
                    <w:left w:w="0" w:type="dxa"/>
                    <w:right w:w="0" w:type="dxa"/>
                  </w:tcMar>
                  <w:vAlign w:val="center"/>
                </w:tcPr>
                <w:p>
                  <w:pPr>
                    <w:jc w:val="center"/>
                    <w:rPr>
                      <w:b/>
                      <w:szCs w:val="21"/>
                    </w:rPr>
                  </w:pPr>
                  <w:r>
                    <w:rPr>
                      <w:b/>
                      <w:szCs w:val="21"/>
                    </w:rPr>
                    <w:t>昼间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17" w:type="pct"/>
                  <w:tcMar>
                    <w:left w:w="0" w:type="dxa"/>
                    <w:right w:w="0" w:type="dxa"/>
                  </w:tcMar>
                  <w:vAlign w:val="center"/>
                </w:tcPr>
                <w:p>
                  <w:pPr>
                    <w:spacing w:line="300" w:lineRule="exact"/>
                    <w:jc w:val="center"/>
                    <w:rPr>
                      <w:bCs/>
                      <w:szCs w:val="21"/>
                    </w:rPr>
                  </w:pPr>
                  <w:r>
                    <w:rPr>
                      <w:bCs/>
                      <w:szCs w:val="21"/>
                    </w:rPr>
                    <w:t>东厂界</w:t>
                  </w:r>
                </w:p>
              </w:tc>
              <w:tc>
                <w:tcPr>
                  <w:tcW w:w="313" w:type="pct"/>
                  <w:vMerge w:val="restart"/>
                  <w:tcMar>
                    <w:left w:w="0" w:type="dxa"/>
                    <w:right w:w="0" w:type="dxa"/>
                  </w:tcMar>
                  <w:vAlign w:val="center"/>
                </w:tcPr>
                <w:p>
                  <w:pPr>
                    <w:spacing w:line="300" w:lineRule="exact"/>
                    <w:jc w:val="center"/>
                    <w:rPr>
                      <w:bCs/>
                      <w:szCs w:val="21"/>
                    </w:rPr>
                  </w:pPr>
                  <w:r>
                    <w:rPr>
                      <w:rFonts w:hint="eastAsia"/>
                      <w:bCs/>
                      <w:szCs w:val="21"/>
                    </w:rPr>
                    <w:t>95.7</w:t>
                  </w:r>
                </w:p>
              </w:tc>
              <w:tc>
                <w:tcPr>
                  <w:tcW w:w="609"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8</w:t>
                  </w:r>
                </w:p>
              </w:tc>
              <w:tc>
                <w:tcPr>
                  <w:tcW w:w="434" w:type="pct"/>
                  <w:vAlign w:val="center"/>
                </w:tcPr>
                <w:p>
                  <w:pPr>
                    <w:pStyle w:val="16"/>
                    <w:tabs>
                      <w:tab w:val="clear" w:pos="4153"/>
                      <w:tab w:val="clear" w:pos="8306"/>
                    </w:tabs>
                    <w:snapToGrid/>
                    <w:spacing w:line="300" w:lineRule="exact"/>
                    <w:rPr>
                      <w:bCs/>
                      <w:sz w:val="21"/>
                      <w:szCs w:val="21"/>
                    </w:rPr>
                  </w:pPr>
                  <w:r>
                    <w:rPr>
                      <w:rFonts w:hint="eastAsia"/>
                      <w:bCs/>
                      <w:sz w:val="21"/>
                      <w:szCs w:val="21"/>
                    </w:rPr>
                    <w:t>18.06</w:t>
                  </w:r>
                </w:p>
              </w:tc>
              <w:tc>
                <w:tcPr>
                  <w:tcW w:w="528"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52.64</w:t>
                  </w:r>
                </w:p>
              </w:tc>
              <w:tc>
                <w:tcPr>
                  <w:tcW w:w="867"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56</w:t>
                  </w:r>
                </w:p>
              </w:tc>
              <w:tc>
                <w:tcPr>
                  <w:tcW w:w="867" w:type="pct"/>
                  <w:tcMar>
                    <w:left w:w="0" w:type="dxa"/>
                    <w:right w:w="0" w:type="dxa"/>
                  </w:tcMar>
                  <w:vAlign w:val="center"/>
                </w:tcPr>
                <w:p>
                  <w:pPr>
                    <w:pStyle w:val="16"/>
                    <w:tabs>
                      <w:tab w:val="clear" w:pos="4153"/>
                      <w:tab w:val="clear" w:pos="8306"/>
                    </w:tabs>
                    <w:snapToGrid/>
                    <w:spacing w:line="300" w:lineRule="exact"/>
                    <w:rPr>
                      <w:bCs/>
                      <w:sz w:val="21"/>
                      <w:szCs w:val="21"/>
                    </w:rPr>
                  </w:pPr>
                  <w:r>
                    <w:rPr>
                      <w:bCs/>
                      <w:sz w:val="21"/>
                      <w:szCs w:val="21"/>
                    </w:rPr>
                    <w:t>57.</w:t>
                  </w:r>
                  <w:r>
                    <w:rPr>
                      <w:rFonts w:hint="eastAsia"/>
                      <w:bCs/>
                      <w:sz w:val="21"/>
                      <w:szCs w:val="21"/>
                    </w:rPr>
                    <w:t>65</w:t>
                  </w:r>
                </w:p>
              </w:tc>
              <w:tc>
                <w:tcPr>
                  <w:tcW w:w="865" w:type="pct"/>
                  <w:tcMar>
                    <w:left w:w="0" w:type="dxa"/>
                    <w:right w:w="0" w:type="dxa"/>
                  </w:tcMar>
                  <w:vAlign w:val="center"/>
                </w:tcPr>
                <w:p>
                  <w:pPr>
                    <w:pStyle w:val="16"/>
                    <w:tabs>
                      <w:tab w:val="clear" w:pos="4153"/>
                      <w:tab w:val="clear" w:pos="8306"/>
                    </w:tabs>
                    <w:snapToGrid/>
                    <w:spacing w:line="300" w:lineRule="exact"/>
                    <w:rPr>
                      <w:bCs/>
                      <w:sz w:val="21"/>
                      <w:szCs w:val="21"/>
                    </w:rPr>
                  </w:pPr>
                  <w:r>
                    <w:rPr>
                      <w:bCs/>
                      <w:sz w:val="21"/>
                      <w:szCs w:val="21"/>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17" w:type="pct"/>
                  <w:tcMar>
                    <w:left w:w="0" w:type="dxa"/>
                    <w:right w:w="0" w:type="dxa"/>
                  </w:tcMar>
                  <w:vAlign w:val="center"/>
                </w:tcPr>
                <w:p>
                  <w:pPr>
                    <w:spacing w:line="300" w:lineRule="exact"/>
                    <w:jc w:val="center"/>
                    <w:rPr>
                      <w:bCs/>
                      <w:szCs w:val="21"/>
                    </w:rPr>
                  </w:pPr>
                  <w:r>
                    <w:rPr>
                      <w:bCs/>
                      <w:szCs w:val="21"/>
                    </w:rPr>
                    <w:t>南厂界</w:t>
                  </w:r>
                </w:p>
              </w:tc>
              <w:tc>
                <w:tcPr>
                  <w:tcW w:w="313" w:type="pct"/>
                  <w:vMerge w:val="continue"/>
                  <w:tcMar>
                    <w:left w:w="0" w:type="dxa"/>
                    <w:right w:w="0" w:type="dxa"/>
                  </w:tcMar>
                  <w:vAlign w:val="center"/>
                </w:tcPr>
                <w:p>
                  <w:pPr>
                    <w:spacing w:line="300" w:lineRule="exact"/>
                    <w:jc w:val="center"/>
                    <w:rPr>
                      <w:bCs/>
                      <w:szCs w:val="21"/>
                    </w:rPr>
                  </w:pPr>
                </w:p>
              </w:tc>
              <w:tc>
                <w:tcPr>
                  <w:tcW w:w="609"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7</w:t>
                  </w:r>
                </w:p>
              </w:tc>
              <w:tc>
                <w:tcPr>
                  <w:tcW w:w="434" w:type="pct"/>
                  <w:tcMar>
                    <w:left w:w="28" w:type="dxa"/>
                    <w:right w:w="28"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16.90</w:t>
                  </w:r>
                </w:p>
              </w:tc>
              <w:tc>
                <w:tcPr>
                  <w:tcW w:w="528"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53.80</w:t>
                  </w:r>
                </w:p>
              </w:tc>
              <w:tc>
                <w:tcPr>
                  <w:tcW w:w="867"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56</w:t>
                  </w:r>
                </w:p>
              </w:tc>
              <w:tc>
                <w:tcPr>
                  <w:tcW w:w="867" w:type="pct"/>
                  <w:tcMar>
                    <w:left w:w="0" w:type="dxa"/>
                    <w:right w:w="0" w:type="dxa"/>
                  </w:tcMar>
                  <w:vAlign w:val="center"/>
                </w:tcPr>
                <w:p>
                  <w:pPr>
                    <w:pStyle w:val="16"/>
                    <w:tabs>
                      <w:tab w:val="clear" w:pos="4153"/>
                      <w:tab w:val="clear" w:pos="8306"/>
                    </w:tabs>
                    <w:snapToGrid/>
                    <w:spacing w:line="300" w:lineRule="exact"/>
                    <w:rPr>
                      <w:bCs/>
                      <w:sz w:val="21"/>
                      <w:szCs w:val="21"/>
                    </w:rPr>
                  </w:pPr>
                  <w:r>
                    <w:rPr>
                      <w:bCs/>
                      <w:sz w:val="21"/>
                      <w:szCs w:val="21"/>
                    </w:rPr>
                    <w:t>5</w:t>
                  </w:r>
                  <w:r>
                    <w:rPr>
                      <w:rFonts w:hint="eastAsia"/>
                      <w:bCs/>
                      <w:sz w:val="21"/>
                      <w:szCs w:val="21"/>
                    </w:rPr>
                    <w:t>8.05</w:t>
                  </w:r>
                </w:p>
              </w:tc>
              <w:tc>
                <w:tcPr>
                  <w:tcW w:w="865" w:type="pct"/>
                  <w:tcMar>
                    <w:left w:w="0" w:type="dxa"/>
                    <w:right w:w="0" w:type="dxa"/>
                  </w:tcMar>
                  <w:vAlign w:val="center"/>
                </w:tcPr>
                <w:p>
                  <w:pPr>
                    <w:pStyle w:val="16"/>
                    <w:tabs>
                      <w:tab w:val="clear" w:pos="4153"/>
                      <w:tab w:val="clear" w:pos="8306"/>
                    </w:tabs>
                    <w:snapToGrid/>
                    <w:spacing w:line="300" w:lineRule="exact"/>
                    <w:rPr>
                      <w:bCs/>
                      <w:sz w:val="21"/>
                      <w:szCs w:val="21"/>
                    </w:rPr>
                  </w:pPr>
                  <w:r>
                    <w:rPr>
                      <w:bCs/>
                      <w:sz w:val="21"/>
                      <w:szCs w:val="21"/>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17" w:type="pct"/>
                  <w:tcMar>
                    <w:left w:w="0" w:type="dxa"/>
                    <w:right w:w="0" w:type="dxa"/>
                  </w:tcMar>
                  <w:vAlign w:val="center"/>
                </w:tcPr>
                <w:p>
                  <w:pPr>
                    <w:spacing w:line="300" w:lineRule="exact"/>
                    <w:jc w:val="center"/>
                    <w:rPr>
                      <w:bCs/>
                      <w:szCs w:val="21"/>
                    </w:rPr>
                  </w:pPr>
                  <w:r>
                    <w:rPr>
                      <w:bCs/>
                      <w:szCs w:val="21"/>
                    </w:rPr>
                    <w:t>西厂界</w:t>
                  </w:r>
                </w:p>
              </w:tc>
              <w:tc>
                <w:tcPr>
                  <w:tcW w:w="313" w:type="pct"/>
                  <w:vMerge w:val="continue"/>
                  <w:tcMar>
                    <w:left w:w="0" w:type="dxa"/>
                    <w:right w:w="0" w:type="dxa"/>
                  </w:tcMar>
                  <w:vAlign w:val="center"/>
                </w:tcPr>
                <w:p>
                  <w:pPr>
                    <w:spacing w:line="300" w:lineRule="exact"/>
                    <w:jc w:val="center"/>
                    <w:rPr>
                      <w:bCs/>
                      <w:spacing w:val="10"/>
                      <w:szCs w:val="21"/>
                    </w:rPr>
                  </w:pPr>
                </w:p>
              </w:tc>
              <w:tc>
                <w:tcPr>
                  <w:tcW w:w="609"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8</w:t>
                  </w:r>
                </w:p>
              </w:tc>
              <w:tc>
                <w:tcPr>
                  <w:tcW w:w="434" w:type="pct"/>
                  <w:tcMar>
                    <w:left w:w="28" w:type="dxa"/>
                    <w:right w:w="28"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18.06</w:t>
                  </w:r>
                </w:p>
              </w:tc>
              <w:tc>
                <w:tcPr>
                  <w:tcW w:w="528"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52.64</w:t>
                  </w:r>
                </w:p>
              </w:tc>
              <w:tc>
                <w:tcPr>
                  <w:tcW w:w="867"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55</w:t>
                  </w:r>
                </w:p>
              </w:tc>
              <w:tc>
                <w:tcPr>
                  <w:tcW w:w="867" w:type="pct"/>
                  <w:tcMar>
                    <w:left w:w="0" w:type="dxa"/>
                    <w:right w:w="0" w:type="dxa"/>
                  </w:tcMar>
                  <w:vAlign w:val="center"/>
                </w:tcPr>
                <w:p>
                  <w:pPr>
                    <w:pStyle w:val="16"/>
                    <w:tabs>
                      <w:tab w:val="clear" w:pos="4153"/>
                      <w:tab w:val="clear" w:pos="8306"/>
                    </w:tabs>
                    <w:snapToGrid/>
                    <w:spacing w:line="300" w:lineRule="exact"/>
                    <w:rPr>
                      <w:bCs/>
                      <w:sz w:val="21"/>
                      <w:szCs w:val="21"/>
                    </w:rPr>
                  </w:pPr>
                  <w:r>
                    <w:rPr>
                      <w:bCs/>
                      <w:sz w:val="21"/>
                      <w:szCs w:val="21"/>
                    </w:rPr>
                    <w:t>5</w:t>
                  </w:r>
                  <w:r>
                    <w:rPr>
                      <w:rFonts w:hint="eastAsia"/>
                      <w:bCs/>
                      <w:sz w:val="21"/>
                      <w:szCs w:val="21"/>
                    </w:rPr>
                    <w:t>6.99</w:t>
                  </w:r>
                </w:p>
              </w:tc>
              <w:tc>
                <w:tcPr>
                  <w:tcW w:w="865" w:type="pct"/>
                  <w:tcMar>
                    <w:left w:w="0" w:type="dxa"/>
                    <w:right w:w="0" w:type="dxa"/>
                  </w:tcMar>
                  <w:vAlign w:val="center"/>
                </w:tcPr>
                <w:p>
                  <w:pPr>
                    <w:pStyle w:val="16"/>
                    <w:tabs>
                      <w:tab w:val="clear" w:pos="4153"/>
                      <w:tab w:val="clear" w:pos="8306"/>
                    </w:tabs>
                    <w:snapToGrid/>
                    <w:spacing w:line="300" w:lineRule="exact"/>
                    <w:rPr>
                      <w:bCs/>
                      <w:sz w:val="21"/>
                      <w:szCs w:val="21"/>
                    </w:rPr>
                  </w:pPr>
                  <w:r>
                    <w:rPr>
                      <w:bCs/>
                      <w:sz w:val="21"/>
                      <w:szCs w:val="21"/>
                    </w:rPr>
                    <w:t>60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12" w:hRule="atLeast"/>
                <w:jc w:val="center"/>
              </w:trPr>
              <w:tc>
                <w:tcPr>
                  <w:tcW w:w="517" w:type="pct"/>
                  <w:tcMar>
                    <w:left w:w="0" w:type="dxa"/>
                    <w:right w:w="0" w:type="dxa"/>
                  </w:tcMar>
                  <w:vAlign w:val="center"/>
                </w:tcPr>
                <w:p>
                  <w:pPr>
                    <w:spacing w:line="300" w:lineRule="exact"/>
                    <w:jc w:val="center"/>
                    <w:rPr>
                      <w:bCs/>
                      <w:szCs w:val="21"/>
                    </w:rPr>
                  </w:pPr>
                  <w:r>
                    <w:rPr>
                      <w:bCs/>
                      <w:szCs w:val="21"/>
                    </w:rPr>
                    <w:t>北厂界</w:t>
                  </w:r>
                </w:p>
              </w:tc>
              <w:tc>
                <w:tcPr>
                  <w:tcW w:w="313" w:type="pct"/>
                  <w:vMerge w:val="continue"/>
                  <w:tcMar>
                    <w:left w:w="0" w:type="dxa"/>
                    <w:right w:w="0" w:type="dxa"/>
                  </w:tcMar>
                  <w:vAlign w:val="center"/>
                </w:tcPr>
                <w:p>
                  <w:pPr>
                    <w:spacing w:line="300" w:lineRule="exact"/>
                    <w:jc w:val="center"/>
                    <w:rPr>
                      <w:bCs/>
                      <w:spacing w:val="10"/>
                      <w:szCs w:val="21"/>
                    </w:rPr>
                  </w:pPr>
                </w:p>
              </w:tc>
              <w:tc>
                <w:tcPr>
                  <w:tcW w:w="609"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7</w:t>
                  </w:r>
                </w:p>
              </w:tc>
              <w:tc>
                <w:tcPr>
                  <w:tcW w:w="434" w:type="pct"/>
                  <w:tcMar>
                    <w:left w:w="28" w:type="dxa"/>
                    <w:right w:w="28"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16.90</w:t>
                  </w:r>
                </w:p>
              </w:tc>
              <w:tc>
                <w:tcPr>
                  <w:tcW w:w="528"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53.80</w:t>
                  </w:r>
                </w:p>
              </w:tc>
              <w:tc>
                <w:tcPr>
                  <w:tcW w:w="867" w:type="pct"/>
                  <w:tcMar>
                    <w:left w:w="0" w:type="dxa"/>
                    <w:right w:w="0" w:type="dxa"/>
                  </w:tcMar>
                  <w:vAlign w:val="center"/>
                </w:tcPr>
                <w:p>
                  <w:pPr>
                    <w:pStyle w:val="16"/>
                    <w:tabs>
                      <w:tab w:val="clear" w:pos="4153"/>
                      <w:tab w:val="clear" w:pos="8306"/>
                    </w:tabs>
                    <w:snapToGrid/>
                    <w:spacing w:line="300" w:lineRule="exact"/>
                    <w:rPr>
                      <w:bCs/>
                      <w:sz w:val="21"/>
                      <w:szCs w:val="21"/>
                    </w:rPr>
                  </w:pPr>
                  <w:r>
                    <w:rPr>
                      <w:rFonts w:hint="eastAsia"/>
                      <w:bCs/>
                      <w:sz w:val="21"/>
                      <w:szCs w:val="21"/>
                    </w:rPr>
                    <w:t>57</w:t>
                  </w:r>
                </w:p>
              </w:tc>
              <w:tc>
                <w:tcPr>
                  <w:tcW w:w="867" w:type="pct"/>
                  <w:tcMar>
                    <w:left w:w="0" w:type="dxa"/>
                    <w:right w:w="0" w:type="dxa"/>
                  </w:tcMar>
                  <w:vAlign w:val="center"/>
                </w:tcPr>
                <w:p>
                  <w:pPr>
                    <w:pStyle w:val="16"/>
                    <w:tabs>
                      <w:tab w:val="clear" w:pos="4153"/>
                      <w:tab w:val="clear" w:pos="8306"/>
                    </w:tabs>
                    <w:snapToGrid/>
                    <w:spacing w:line="300" w:lineRule="exact"/>
                    <w:rPr>
                      <w:bCs/>
                      <w:sz w:val="21"/>
                      <w:szCs w:val="21"/>
                    </w:rPr>
                  </w:pPr>
                  <w:r>
                    <w:rPr>
                      <w:bCs/>
                      <w:sz w:val="21"/>
                      <w:szCs w:val="21"/>
                    </w:rPr>
                    <w:t>5</w:t>
                  </w:r>
                  <w:r>
                    <w:rPr>
                      <w:rFonts w:hint="eastAsia"/>
                      <w:bCs/>
                      <w:sz w:val="21"/>
                      <w:szCs w:val="21"/>
                    </w:rPr>
                    <w:t>8.70</w:t>
                  </w:r>
                  <w:r>
                    <w:rPr>
                      <w:bCs/>
                      <w:sz w:val="21"/>
                      <w:szCs w:val="21"/>
                    </w:rPr>
                    <w:t xml:space="preserve"> </w:t>
                  </w:r>
                </w:p>
              </w:tc>
              <w:tc>
                <w:tcPr>
                  <w:tcW w:w="865" w:type="pct"/>
                  <w:tcMar>
                    <w:left w:w="0" w:type="dxa"/>
                    <w:right w:w="0" w:type="dxa"/>
                  </w:tcMar>
                  <w:vAlign w:val="center"/>
                </w:tcPr>
                <w:p>
                  <w:pPr>
                    <w:pStyle w:val="16"/>
                    <w:tabs>
                      <w:tab w:val="clear" w:pos="4153"/>
                      <w:tab w:val="clear" w:pos="8306"/>
                    </w:tabs>
                    <w:snapToGrid/>
                    <w:spacing w:line="300" w:lineRule="exact"/>
                    <w:rPr>
                      <w:bCs/>
                      <w:sz w:val="21"/>
                      <w:szCs w:val="21"/>
                    </w:rPr>
                  </w:pPr>
                  <w:r>
                    <w:rPr>
                      <w:bCs/>
                      <w:sz w:val="21"/>
                      <w:szCs w:val="21"/>
                    </w:rPr>
                    <w:t>60</w:t>
                  </w:r>
                </w:p>
              </w:tc>
            </w:tr>
          </w:tbl>
          <w:p>
            <w:pPr>
              <w:adjustRightInd w:val="0"/>
              <w:snapToGrid w:val="0"/>
              <w:spacing w:line="360" w:lineRule="auto"/>
              <w:ind w:firstLine="480" w:firstLineChars="200"/>
              <w:rPr>
                <w:sz w:val="24"/>
              </w:rPr>
            </w:pPr>
            <w:r>
              <w:rPr>
                <w:sz w:val="24"/>
              </w:rPr>
              <w:t>根据上述</w:t>
            </w:r>
            <w:r>
              <w:rPr>
                <w:rFonts w:hint="eastAsia"/>
                <w:sz w:val="24"/>
              </w:rPr>
              <w:t>预测可知</w:t>
            </w:r>
            <w:r>
              <w:rPr>
                <w:sz w:val="24"/>
              </w:rPr>
              <w:t>，本项目厂界噪声满足《</w:t>
            </w:r>
            <w:r>
              <w:rPr>
                <w:bCs/>
                <w:sz w:val="24"/>
              </w:rPr>
              <w:t>工业企业厂界环境噪声排放标准》(GB12348-2008)</w:t>
            </w:r>
            <w:r>
              <w:rPr>
                <w:sz w:val="24"/>
              </w:rPr>
              <w:t>的</w:t>
            </w:r>
            <w:r>
              <w:rPr>
                <w:rFonts w:hint="eastAsia"/>
                <w:sz w:val="24"/>
              </w:rPr>
              <w:t>2</w:t>
            </w:r>
            <w:r>
              <w:rPr>
                <w:sz w:val="24"/>
              </w:rPr>
              <w:t>类区域标准，项目正常生产过程中产生的噪声对周边环境影响</w:t>
            </w:r>
            <w:r>
              <w:rPr>
                <w:rFonts w:hint="eastAsia"/>
                <w:sz w:val="24"/>
              </w:rPr>
              <w:t>较</w:t>
            </w:r>
            <w:r>
              <w:rPr>
                <w:sz w:val="24"/>
              </w:rPr>
              <w:t>小，</w:t>
            </w:r>
            <w:r>
              <w:rPr>
                <w:rFonts w:hint="eastAsia"/>
                <w:sz w:val="24"/>
              </w:rPr>
              <w:t>并且距离居民点（本项目最近敏感点为厂界东北侧90m）较远，</w:t>
            </w:r>
            <w:r>
              <w:rPr>
                <w:sz w:val="24"/>
              </w:rPr>
              <w:t>不会造成噪声扰民现象。</w:t>
            </w:r>
          </w:p>
          <w:p>
            <w:pPr>
              <w:adjustRightInd w:val="0"/>
              <w:snapToGrid w:val="0"/>
              <w:spacing w:line="360" w:lineRule="auto"/>
              <w:ind w:firstLine="482" w:firstLineChars="200"/>
              <w:rPr>
                <w:b/>
                <w:sz w:val="24"/>
              </w:rPr>
            </w:pPr>
            <w:r>
              <w:rPr>
                <w:rFonts w:hint="eastAsia"/>
                <w:b/>
                <w:sz w:val="24"/>
              </w:rPr>
              <w:t>（4）噪声监测计划</w:t>
            </w:r>
          </w:p>
          <w:p>
            <w:pPr>
              <w:pStyle w:val="5"/>
              <w:spacing w:line="360" w:lineRule="auto"/>
              <w:ind w:firstLine="480" w:firstLineChars="200"/>
              <w:rPr>
                <w:sz w:val="24"/>
              </w:rPr>
            </w:pPr>
            <w:r>
              <w:rPr>
                <w:sz w:val="24"/>
              </w:rPr>
              <w:t>根据《排污单位自行监测技术指</w:t>
            </w:r>
            <w:r>
              <w:rPr>
                <w:rFonts w:ascii="Times New Roman"/>
                <w:sz w:val="24"/>
              </w:rPr>
              <w:t>南总则》（</w:t>
            </w:r>
            <w:r>
              <w:rPr>
                <w:rFonts w:ascii="Times New Roman" w:hAnsi="Times New Roman"/>
                <w:sz w:val="24"/>
              </w:rPr>
              <w:t>HJ819-2017</w:t>
            </w:r>
            <w:r>
              <w:rPr>
                <w:sz w:val="24"/>
              </w:rPr>
              <w:t>），排污单位应按照规定对污染物排放情况进行监测，噪声监测情况具体见下表。</w:t>
            </w:r>
          </w:p>
          <w:p>
            <w:pPr>
              <w:snapToGrid w:val="0"/>
              <w:jc w:val="center"/>
              <w:rPr>
                <w:b/>
                <w:sz w:val="24"/>
              </w:rPr>
            </w:pPr>
            <w:r>
              <w:rPr>
                <w:b/>
                <w:sz w:val="24"/>
              </w:rPr>
              <w:t>表4-1</w:t>
            </w:r>
            <w:r>
              <w:rPr>
                <w:rFonts w:hint="eastAsia"/>
                <w:b/>
                <w:sz w:val="24"/>
              </w:rPr>
              <w:t>5</w:t>
            </w:r>
            <w:r>
              <w:rPr>
                <w:b/>
                <w:sz w:val="24"/>
              </w:rPr>
              <w:t xml:space="preserve"> 噪声自行监测方案</w:t>
            </w:r>
          </w:p>
          <w:tbl>
            <w:tblPr>
              <w:tblStyle w:val="22"/>
              <w:tblW w:w="8130"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57" w:type="dxa"/>
                <w:bottom w:w="0" w:type="dxa"/>
                <w:right w:w="57" w:type="dxa"/>
              </w:tblCellMar>
            </w:tblPr>
            <w:tblGrid>
              <w:gridCol w:w="1194"/>
              <w:gridCol w:w="1275"/>
              <w:gridCol w:w="2130"/>
              <w:gridCol w:w="353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340" w:hRule="atLeast"/>
                <w:jc w:val="center"/>
              </w:trPr>
              <w:tc>
                <w:tcPr>
                  <w:tcW w:w="1194" w:type="dxa"/>
                  <w:vAlign w:val="center"/>
                </w:tcPr>
                <w:p>
                  <w:pPr>
                    <w:snapToGrid w:val="0"/>
                    <w:spacing w:line="280" w:lineRule="exact"/>
                    <w:jc w:val="center"/>
                    <w:rPr>
                      <w:b/>
                      <w:szCs w:val="21"/>
                    </w:rPr>
                  </w:pPr>
                  <w:r>
                    <w:rPr>
                      <w:b/>
                      <w:szCs w:val="21"/>
                    </w:rPr>
                    <w:t>监测点位</w:t>
                  </w:r>
                </w:p>
              </w:tc>
              <w:tc>
                <w:tcPr>
                  <w:tcW w:w="1275" w:type="dxa"/>
                  <w:vAlign w:val="center"/>
                </w:tcPr>
                <w:p>
                  <w:pPr>
                    <w:snapToGrid w:val="0"/>
                    <w:spacing w:line="280" w:lineRule="exact"/>
                    <w:jc w:val="center"/>
                    <w:rPr>
                      <w:b/>
                      <w:szCs w:val="21"/>
                    </w:rPr>
                  </w:pPr>
                  <w:r>
                    <w:rPr>
                      <w:b/>
                      <w:szCs w:val="21"/>
                    </w:rPr>
                    <w:t>监测因子</w:t>
                  </w:r>
                </w:p>
              </w:tc>
              <w:tc>
                <w:tcPr>
                  <w:tcW w:w="2130" w:type="dxa"/>
                  <w:vAlign w:val="center"/>
                </w:tcPr>
                <w:p>
                  <w:pPr>
                    <w:snapToGrid w:val="0"/>
                    <w:spacing w:line="280" w:lineRule="exact"/>
                    <w:jc w:val="center"/>
                    <w:rPr>
                      <w:b/>
                      <w:szCs w:val="21"/>
                    </w:rPr>
                  </w:pPr>
                  <w:r>
                    <w:rPr>
                      <w:b/>
                      <w:szCs w:val="21"/>
                    </w:rPr>
                    <w:t>监测频次</w:t>
                  </w:r>
                </w:p>
              </w:tc>
              <w:tc>
                <w:tcPr>
                  <w:tcW w:w="3531" w:type="dxa"/>
                  <w:vAlign w:val="center"/>
                </w:tcPr>
                <w:p>
                  <w:pPr>
                    <w:snapToGrid w:val="0"/>
                    <w:spacing w:line="280" w:lineRule="exact"/>
                    <w:jc w:val="center"/>
                    <w:rPr>
                      <w:b/>
                      <w:szCs w:val="21"/>
                    </w:rPr>
                  </w:pPr>
                  <w:r>
                    <w:rPr>
                      <w:b/>
                      <w:szCs w:val="21"/>
                    </w:rPr>
                    <w:t>执行排放标准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57" w:type="dxa"/>
                  <w:bottom w:w="0" w:type="dxa"/>
                  <w:right w:w="57" w:type="dxa"/>
                </w:tblCellMar>
              </w:tblPrEx>
              <w:trPr>
                <w:trHeight w:val="598" w:hRule="atLeast"/>
                <w:jc w:val="center"/>
              </w:trPr>
              <w:tc>
                <w:tcPr>
                  <w:tcW w:w="1194" w:type="dxa"/>
                  <w:vAlign w:val="center"/>
                </w:tcPr>
                <w:p>
                  <w:pPr>
                    <w:snapToGrid w:val="0"/>
                    <w:spacing w:line="280" w:lineRule="exact"/>
                    <w:jc w:val="center"/>
                    <w:rPr>
                      <w:szCs w:val="21"/>
                    </w:rPr>
                  </w:pPr>
                  <w:r>
                    <w:rPr>
                      <w:szCs w:val="21"/>
                    </w:rPr>
                    <w:t>厂界四周</w:t>
                  </w:r>
                </w:p>
              </w:tc>
              <w:tc>
                <w:tcPr>
                  <w:tcW w:w="1275" w:type="dxa"/>
                  <w:vAlign w:val="center"/>
                </w:tcPr>
                <w:p>
                  <w:pPr>
                    <w:snapToGrid w:val="0"/>
                    <w:spacing w:line="280" w:lineRule="exact"/>
                    <w:jc w:val="center"/>
                    <w:rPr>
                      <w:szCs w:val="21"/>
                    </w:rPr>
                  </w:pPr>
                  <w:r>
                    <w:rPr>
                      <w:bCs/>
                      <w:szCs w:val="21"/>
                    </w:rPr>
                    <w:t>等效连续A声级</w:t>
                  </w:r>
                </w:p>
              </w:tc>
              <w:tc>
                <w:tcPr>
                  <w:tcW w:w="2130" w:type="dxa"/>
                  <w:vAlign w:val="center"/>
                </w:tcPr>
                <w:p>
                  <w:pPr>
                    <w:snapToGrid w:val="0"/>
                    <w:spacing w:line="280" w:lineRule="exact"/>
                    <w:jc w:val="center"/>
                    <w:rPr>
                      <w:szCs w:val="21"/>
                    </w:rPr>
                  </w:pPr>
                  <w:r>
                    <w:rPr>
                      <w:szCs w:val="21"/>
                    </w:rPr>
                    <w:t>按照环境管理要求，每季度监测1次</w:t>
                  </w:r>
                </w:p>
              </w:tc>
              <w:tc>
                <w:tcPr>
                  <w:tcW w:w="3531" w:type="dxa"/>
                  <w:vAlign w:val="center"/>
                </w:tcPr>
                <w:p>
                  <w:pPr>
                    <w:snapToGrid w:val="0"/>
                    <w:spacing w:line="280" w:lineRule="exact"/>
                    <w:jc w:val="center"/>
                    <w:rPr>
                      <w:szCs w:val="21"/>
                    </w:rPr>
                  </w:pPr>
                  <w:r>
                    <w:rPr>
                      <w:szCs w:val="21"/>
                    </w:rPr>
                    <w:t>《工业企业厂界环境噪声排放标准》（GB12348-2008）中2类标准</w:t>
                  </w:r>
                </w:p>
              </w:tc>
            </w:tr>
          </w:tbl>
          <w:p>
            <w:pPr>
              <w:adjustRightInd w:val="0"/>
              <w:snapToGrid w:val="0"/>
              <w:spacing w:line="360" w:lineRule="auto"/>
              <w:rPr>
                <w:b/>
                <w:bCs/>
                <w:sz w:val="24"/>
              </w:rPr>
            </w:pPr>
            <w:r>
              <w:rPr>
                <w:rFonts w:hint="eastAsia"/>
                <w:b/>
                <w:sz w:val="24"/>
              </w:rPr>
              <w:t>4</w:t>
            </w:r>
            <w:r>
              <w:rPr>
                <w:b/>
                <w:sz w:val="24"/>
              </w:rPr>
              <w:t>、固体废物</w:t>
            </w:r>
          </w:p>
          <w:p>
            <w:pPr>
              <w:adjustRightInd w:val="0"/>
              <w:snapToGrid w:val="0"/>
              <w:spacing w:line="360" w:lineRule="auto"/>
              <w:ind w:firstLine="482" w:firstLineChars="200"/>
              <w:rPr>
                <w:b/>
                <w:bCs/>
                <w:sz w:val="24"/>
              </w:rPr>
            </w:pPr>
            <w:r>
              <w:rPr>
                <w:b/>
                <w:bCs/>
                <w:sz w:val="24"/>
              </w:rPr>
              <w:t>（</w:t>
            </w:r>
            <w:r>
              <w:rPr>
                <w:rFonts w:hint="eastAsia"/>
                <w:b/>
                <w:bCs/>
                <w:sz w:val="24"/>
              </w:rPr>
              <w:t>1</w:t>
            </w:r>
            <w:r>
              <w:rPr>
                <w:b/>
                <w:bCs/>
                <w:sz w:val="24"/>
              </w:rPr>
              <w:t>）项目固体废物产生情况</w:t>
            </w:r>
          </w:p>
          <w:p>
            <w:pPr>
              <w:pStyle w:val="5"/>
              <w:adjustRightInd w:val="0"/>
              <w:snapToGrid w:val="0"/>
              <w:spacing w:line="360" w:lineRule="auto"/>
              <w:ind w:firstLine="480" w:firstLineChars="200"/>
              <w:rPr>
                <w:rFonts w:ascii="Times New Roman" w:hAnsi="Times New Roman"/>
                <w:sz w:val="24"/>
                <w:szCs w:val="24"/>
              </w:rPr>
            </w:pPr>
            <w:r>
              <w:rPr>
                <w:rFonts w:ascii="Times New Roman" w:hAnsi="Times New Roman"/>
                <w:sz w:val="24"/>
                <w:szCs w:val="24"/>
              </w:rPr>
              <w:t>1）一般固废</w:t>
            </w:r>
          </w:p>
          <w:p>
            <w:pPr>
              <w:spacing w:line="360" w:lineRule="auto"/>
              <w:ind w:firstLine="480" w:firstLineChars="200"/>
              <w:rPr>
                <w:sz w:val="24"/>
              </w:rPr>
            </w:pPr>
            <w:r>
              <w:rPr>
                <w:rFonts w:hint="eastAsia"/>
                <w:sz w:val="24"/>
              </w:rPr>
              <w:t>边角料</w:t>
            </w:r>
            <w:r>
              <w:rPr>
                <w:sz w:val="24"/>
              </w:rPr>
              <w:t>：项目</w:t>
            </w:r>
            <w:r>
              <w:rPr>
                <w:rFonts w:hint="eastAsia"/>
                <w:sz w:val="24"/>
              </w:rPr>
              <w:t>车加工过程中会产生边角料</w:t>
            </w:r>
            <w:r>
              <w:rPr>
                <w:sz w:val="24"/>
              </w:rPr>
              <w:t>，</w:t>
            </w:r>
            <w:r>
              <w:rPr>
                <w:rFonts w:hint="eastAsia"/>
                <w:sz w:val="24"/>
              </w:rPr>
              <w:t>根据企业提供资料，边角料</w:t>
            </w:r>
            <w:r>
              <w:rPr>
                <w:sz w:val="24"/>
              </w:rPr>
              <w:t>产生量约为</w:t>
            </w:r>
            <w:r>
              <w:rPr>
                <w:rFonts w:hint="eastAsia"/>
                <w:sz w:val="24"/>
              </w:rPr>
              <w:t>7</w:t>
            </w:r>
            <w:r>
              <w:rPr>
                <w:sz w:val="24"/>
              </w:rPr>
              <w:t>t/a。</w:t>
            </w:r>
          </w:p>
          <w:p>
            <w:pPr>
              <w:spacing w:line="360" w:lineRule="auto"/>
              <w:ind w:firstLine="480" w:firstLineChars="200"/>
              <w:rPr>
                <w:sz w:val="24"/>
              </w:rPr>
            </w:pPr>
            <w:r>
              <w:rPr>
                <w:rFonts w:hint="eastAsia"/>
                <w:sz w:val="24"/>
              </w:rPr>
              <w:t>不合格品：项目产品检验工序产生不合格品，根据企业提供资料，不合格品产生量为1t/a。</w:t>
            </w:r>
          </w:p>
          <w:p>
            <w:pPr>
              <w:spacing w:line="360" w:lineRule="auto"/>
              <w:ind w:firstLine="480" w:firstLineChars="200"/>
              <w:rPr>
                <w:sz w:val="24"/>
              </w:rPr>
            </w:pPr>
            <w:r>
              <w:rPr>
                <w:sz w:val="24"/>
              </w:rPr>
              <w:t>废滤芯（含收集粉尘）：</w:t>
            </w:r>
            <w:r>
              <w:rPr>
                <w:rFonts w:hint="eastAsia" w:hAnsi="宋体"/>
                <w:sz w:val="24"/>
              </w:rPr>
              <w:t>焊接过程</w:t>
            </w:r>
            <w:r>
              <w:rPr>
                <w:rFonts w:hAnsi="宋体"/>
                <w:sz w:val="24"/>
              </w:rPr>
              <w:t>中产生的</w:t>
            </w:r>
            <w:r>
              <w:rPr>
                <w:rFonts w:hint="eastAsia" w:hAnsi="宋体"/>
                <w:sz w:val="24"/>
              </w:rPr>
              <w:t>焊接烟尘经移动式滤芯除尘器</w:t>
            </w:r>
            <w:r>
              <w:rPr>
                <w:rFonts w:hAnsi="宋体"/>
                <w:sz w:val="24"/>
              </w:rPr>
              <w:t>处理</w:t>
            </w:r>
            <w:r>
              <w:rPr>
                <w:rFonts w:hint="eastAsia" w:hAnsi="宋体"/>
                <w:sz w:val="24"/>
              </w:rPr>
              <w:t>，</w:t>
            </w:r>
            <w:r>
              <w:rPr>
                <w:rFonts w:hAnsi="宋体"/>
                <w:sz w:val="24"/>
              </w:rPr>
              <w:t>该过程会产生废滤芯及收集粉尘，滤芯每</w:t>
            </w:r>
            <w:r>
              <w:rPr>
                <w:rFonts w:hint="eastAsia"/>
                <w:sz w:val="24"/>
              </w:rPr>
              <w:t>年</w:t>
            </w:r>
            <w:r>
              <w:rPr>
                <w:rFonts w:hAnsi="宋体"/>
                <w:sz w:val="24"/>
              </w:rPr>
              <w:t>更换一次，则</w:t>
            </w:r>
            <w:r>
              <w:rPr>
                <w:sz w:val="24"/>
              </w:rPr>
              <w:t>废滤芯（含收集粉尘）</w:t>
            </w:r>
            <w:r>
              <w:rPr>
                <w:rFonts w:hAnsi="宋体"/>
                <w:sz w:val="24"/>
              </w:rPr>
              <w:t>产生量为</w:t>
            </w:r>
            <w:r>
              <w:rPr>
                <w:sz w:val="24"/>
              </w:rPr>
              <w:t>0.01t/a。</w:t>
            </w:r>
          </w:p>
          <w:p>
            <w:pPr>
              <w:spacing w:line="360" w:lineRule="auto"/>
              <w:ind w:firstLine="480" w:firstLineChars="200"/>
              <w:rPr>
                <w:sz w:val="24"/>
              </w:rPr>
            </w:pPr>
            <w:r>
              <w:rPr>
                <w:rFonts w:hint="eastAsia" w:ascii="宋体" w:hAnsi="宋体" w:cs="宋体"/>
                <w:bCs/>
                <w:sz w:val="24"/>
              </w:rPr>
              <w:t>餐</w:t>
            </w:r>
            <w:r>
              <w:rPr>
                <w:rFonts w:hAnsi="宋体"/>
                <w:bCs/>
                <w:sz w:val="24"/>
              </w:rPr>
              <w:t>厨垃圾：本项目食堂运行过程中会产生餐厨垃圾，产生量约为</w:t>
            </w:r>
            <w:r>
              <w:rPr>
                <w:rFonts w:hint="eastAsia"/>
                <w:bCs/>
                <w:sz w:val="24"/>
              </w:rPr>
              <w:t>10</w:t>
            </w:r>
            <w:r>
              <w:rPr>
                <w:bCs/>
                <w:sz w:val="24"/>
              </w:rPr>
              <w:t>kg/</w:t>
            </w:r>
            <w:r>
              <w:rPr>
                <w:rFonts w:hAnsi="宋体"/>
                <w:bCs/>
                <w:sz w:val="24"/>
              </w:rPr>
              <w:t>天，年运行</w:t>
            </w:r>
            <w:r>
              <w:rPr>
                <w:bCs/>
                <w:sz w:val="24"/>
              </w:rPr>
              <w:t>300</w:t>
            </w:r>
            <w:r>
              <w:rPr>
                <w:rFonts w:hAnsi="宋体"/>
                <w:bCs/>
                <w:sz w:val="24"/>
              </w:rPr>
              <w:t>天，则产生餐厨垃圾（含食堂隔油池废液）</w:t>
            </w:r>
            <w:r>
              <w:rPr>
                <w:rFonts w:hint="eastAsia"/>
                <w:bCs/>
                <w:sz w:val="24"/>
              </w:rPr>
              <w:t>3</w:t>
            </w:r>
            <w:r>
              <w:rPr>
                <w:bCs/>
                <w:sz w:val="24"/>
              </w:rPr>
              <w:t>t/a</w:t>
            </w:r>
            <w:r>
              <w:rPr>
                <w:rFonts w:hAnsi="宋体"/>
                <w:bCs/>
                <w:sz w:val="24"/>
              </w:rPr>
              <w:t>，作为一般固废，委托</w:t>
            </w:r>
            <w:r>
              <w:rPr>
                <w:rFonts w:hint="eastAsia" w:hAnsi="宋体"/>
                <w:bCs/>
                <w:sz w:val="24"/>
              </w:rPr>
              <w:t>专业单位</w:t>
            </w:r>
            <w:r>
              <w:rPr>
                <w:rFonts w:hAnsi="宋体"/>
                <w:bCs/>
                <w:sz w:val="24"/>
              </w:rPr>
              <w:t>集中处理。</w:t>
            </w:r>
          </w:p>
          <w:p>
            <w:pPr>
              <w:spacing w:line="360" w:lineRule="auto"/>
              <w:ind w:firstLine="480" w:firstLineChars="200"/>
              <w:rPr>
                <w:rFonts w:eastAsia="FangSong_GB2312"/>
                <w:sz w:val="24"/>
              </w:rPr>
            </w:pPr>
            <w:r>
              <w:rPr>
                <w:sz w:val="24"/>
              </w:rPr>
              <w:t>2</w:t>
            </w:r>
            <w:r>
              <w:rPr>
                <w:rFonts w:ascii="宋体" w:hAnsi="宋体"/>
                <w:sz w:val="24"/>
              </w:rPr>
              <w:t>）危险固废</w:t>
            </w:r>
          </w:p>
          <w:p>
            <w:pPr>
              <w:spacing w:line="360" w:lineRule="auto"/>
              <w:ind w:firstLine="480" w:firstLineChars="200"/>
              <w:rPr>
                <w:sz w:val="24"/>
              </w:rPr>
            </w:pPr>
            <w:r>
              <w:rPr>
                <w:rFonts w:hint="eastAsia"/>
                <w:bCs/>
                <w:sz w:val="24"/>
              </w:rPr>
              <w:t>废包装桶：</w:t>
            </w:r>
            <w:r>
              <w:rPr>
                <w:rFonts w:hint="eastAsia" w:ascii="宋体" w:hAnsi="宋体" w:cs="宋体"/>
                <w:sz w:val="24"/>
              </w:rPr>
              <w:t>企业</w:t>
            </w:r>
            <w:r>
              <w:rPr>
                <w:rFonts w:hint="eastAsia" w:hAnsi="宋体"/>
                <w:sz w:val="24"/>
              </w:rPr>
              <w:t>切削油、润滑油</w:t>
            </w:r>
            <w:r>
              <w:rPr>
                <w:rFonts w:hAnsi="宋体"/>
                <w:sz w:val="24"/>
              </w:rPr>
              <w:t>采用</w:t>
            </w:r>
            <w:r>
              <w:rPr>
                <w:sz w:val="24"/>
              </w:rPr>
              <w:t>1</w:t>
            </w:r>
            <w:r>
              <w:rPr>
                <w:rFonts w:hint="eastAsia"/>
                <w:sz w:val="24"/>
              </w:rPr>
              <w:t>7</w:t>
            </w:r>
            <w:r>
              <w:rPr>
                <w:sz w:val="24"/>
              </w:rPr>
              <w:t>0kg</w:t>
            </w:r>
            <w:r>
              <w:rPr>
                <w:rFonts w:hAnsi="宋体"/>
                <w:sz w:val="24"/>
              </w:rPr>
              <w:t>桶装</w:t>
            </w:r>
            <w:r>
              <w:rPr>
                <w:rFonts w:hint="eastAsia"/>
                <w:sz w:val="24"/>
              </w:rPr>
              <w:t>，光亮剂、清洗剂采用50kg桶装，</w:t>
            </w:r>
            <w:r>
              <w:rPr>
                <w:sz w:val="24"/>
              </w:rPr>
              <w:t>使用过程中会产生废包装桶，每年</w:t>
            </w:r>
            <w:r>
              <w:rPr>
                <w:rFonts w:hint="eastAsia"/>
                <w:sz w:val="24"/>
              </w:rPr>
              <w:t>产生废包装桶29个（6个废切削油桶，1个废润滑油桶，2个废光亮剂桶，20个废清洗剂桶）</w:t>
            </w:r>
            <w:r>
              <w:rPr>
                <w:rFonts w:hint="eastAsia" w:ascii="宋体" w:hAnsi="宋体" w:cs="宋体"/>
                <w:sz w:val="24"/>
              </w:rPr>
              <w:t>，则废包装桶产生量为</w:t>
            </w:r>
            <w:r>
              <w:rPr>
                <w:rFonts w:hint="eastAsia" w:cs="宋体"/>
                <w:sz w:val="24"/>
              </w:rPr>
              <w:t>0</w:t>
            </w:r>
            <w:r>
              <w:rPr>
                <w:rFonts w:hint="eastAsia" w:ascii="宋体" w:hAnsi="宋体" w:cs="宋体"/>
                <w:sz w:val="24"/>
              </w:rPr>
              <w:t>.</w:t>
            </w:r>
            <w:r>
              <w:rPr>
                <w:rFonts w:hint="eastAsia" w:cs="宋体"/>
                <w:sz w:val="24"/>
              </w:rPr>
              <w:t>25t</w:t>
            </w:r>
            <w:r>
              <w:rPr>
                <w:rFonts w:hint="eastAsia" w:ascii="宋体" w:hAnsi="宋体" w:cs="宋体"/>
                <w:sz w:val="24"/>
              </w:rPr>
              <w:t>/</w:t>
            </w:r>
            <w:r>
              <w:rPr>
                <w:rFonts w:hint="eastAsia" w:cs="宋体"/>
                <w:sz w:val="24"/>
              </w:rPr>
              <w:t>a</w:t>
            </w:r>
            <w:r>
              <w:rPr>
                <w:rFonts w:hint="eastAsia" w:ascii="宋体" w:hAnsi="宋体" w:cs="宋体"/>
                <w:sz w:val="24"/>
              </w:rPr>
              <w:t>。</w:t>
            </w:r>
            <w:r>
              <w:rPr>
                <w:rFonts w:hint="eastAsia" w:ascii="宋体" w:hAnsi="宋体" w:cs="宋体"/>
                <w:bCs/>
                <w:color w:val="000000"/>
                <w:sz w:val="24"/>
              </w:rPr>
              <w:t>经查《国家危险废物名录》（</w:t>
            </w:r>
            <w:r>
              <w:rPr>
                <w:rFonts w:hint="eastAsia" w:cs="宋体"/>
                <w:bCs/>
                <w:color w:val="000000"/>
                <w:sz w:val="24"/>
              </w:rPr>
              <w:t>2021</w:t>
            </w:r>
            <w:r>
              <w:rPr>
                <w:rFonts w:hint="eastAsia" w:ascii="宋体" w:hAnsi="宋体" w:cs="宋体"/>
                <w:bCs/>
                <w:color w:val="000000"/>
                <w:sz w:val="24"/>
              </w:rPr>
              <w:t>），为危险固废，废物类别</w:t>
            </w:r>
            <w:r>
              <w:rPr>
                <w:rFonts w:hint="eastAsia" w:cs="宋体"/>
                <w:bCs/>
                <w:color w:val="000000"/>
                <w:sz w:val="24"/>
              </w:rPr>
              <w:t>HW49</w:t>
            </w:r>
            <w:r>
              <w:rPr>
                <w:rFonts w:hint="eastAsia" w:ascii="宋体" w:hAnsi="宋体" w:cs="宋体"/>
                <w:bCs/>
                <w:color w:val="000000"/>
                <w:sz w:val="24"/>
              </w:rPr>
              <w:t>，废物代码</w:t>
            </w:r>
            <w:r>
              <w:rPr>
                <w:rFonts w:hint="eastAsia" w:cs="宋体"/>
                <w:bCs/>
                <w:color w:val="000000"/>
                <w:sz w:val="24"/>
              </w:rPr>
              <w:t>900</w:t>
            </w:r>
            <w:r>
              <w:rPr>
                <w:rFonts w:hint="eastAsia" w:ascii="宋体" w:hAnsi="宋体" w:cs="宋体"/>
                <w:bCs/>
                <w:color w:val="000000"/>
                <w:sz w:val="24"/>
              </w:rPr>
              <w:t>-</w:t>
            </w:r>
            <w:r>
              <w:rPr>
                <w:rFonts w:hint="eastAsia" w:cs="宋体"/>
                <w:bCs/>
                <w:color w:val="000000"/>
                <w:sz w:val="24"/>
              </w:rPr>
              <w:t>041</w:t>
            </w:r>
            <w:r>
              <w:rPr>
                <w:rFonts w:hint="eastAsia" w:ascii="宋体" w:hAnsi="宋体" w:cs="宋体"/>
                <w:bCs/>
                <w:color w:val="000000"/>
                <w:sz w:val="24"/>
              </w:rPr>
              <w:t>-</w:t>
            </w:r>
            <w:r>
              <w:rPr>
                <w:rFonts w:hint="eastAsia" w:cs="宋体"/>
                <w:bCs/>
                <w:color w:val="000000"/>
                <w:sz w:val="24"/>
              </w:rPr>
              <w:t>49</w:t>
            </w:r>
            <w:r>
              <w:rPr>
                <w:rFonts w:hint="eastAsia" w:ascii="宋体" w:hAnsi="宋体" w:cs="宋体"/>
                <w:bCs/>
                <w:color w:val="000000"/>
                <w:sz w:val="24"/>
              </w:rPr>
              <w:t>，</w:t>
            </w:r>
            <w:r>
              <w:rPr>
                <w:sz w:val="24"/>
              </w:rPr>
              <w:t>存放于厂内危险废物仓库，经收集后委托有资质单位处置</w:t>
            </w:r>
            <w:r>
              <w:rPr>
                <w:rFonts w:hint="eastAsia"/>
                <w:sz w:val="24"/>
              </w:rPr>
              <w:t>。</w:t>
            </w:r>
          </w:p>
          <w:p>
            <w:pPr>
              <w:spacing w:line="360" w:lineRule="auto"/>
              <w:ind w:firstLine="480" w:firstLineChars="200"/>
              <w:rPr>
                <w:sz w:val="24"/>
              </w:rPr>
            </w:pPr>
            <w:r>
              <w:rPr>
                <w:rFonts w:hint="eastAsia"/>
                <w:sz w:val="24"/>
              </w:rPr>
              <w:t>废切削油：项目车加工过程需使用切削油，该过程会产生废切削油，废切削油产生量为0.2t/a，经查《国家危险废物名录》（2021），为危险固废，废物类别HW08，废物代码900-249-08，存放于厂内危险废物仓库，经收集后委托有资质单位处置。</w:t>
            </w:r>
          </w:p>
          <w:p>
            <w:pPr>
              <w:spacing w:line="360" w:lineRule="auto"/>
              <w:ind w:firstLine="480" w:firstLineChars="200"/>
              <w:rPr>
                <w:sz w:val="24"/>
              </w:rPr>
            </w:pPr>
            <w:r>
              <w:rPr>
                <w:rFonts w:hint="eastAsia"/>
                <w:sz w:val="24"/>
              </w:rPr>
              <w:t>清洗废液：</w:t>
            </w:r>
            <w:r>
              <w:rPr>
                <w:rFonts w:hint="eastAsia" w:cs="宋体"/>
                <w:bCs/>
                <w:sz w:val="24"/>
              </w:rPr>
              <w:t>企业研磨清洗和水洗过程中会产生清洗废液，研磨清洗和水洗水循环使用，每2个月更换一次。研磨清洗用水量为1.35t/a，产生清洗废液0.9t/a；水洗用水为</w:t>
            </w:r>
            <w:r>
              <w:rPr>
                <w:rFonts w:hint="eastAsia"/>
                <w:color w:val="000000"/>
                <w:sz w:val="24"/>
              </w:rPr>
              <w:t>1.512t/a，产生清洗废液1.008t/a；则</w:t>
            </w:r>
            <w:r>
              <w:rPr>
                <w:rFonts w:hint="eastAsia" w:cs="宋体"/>
                <w:bCs/>
                <w:sz w:val="24"/>
              </w:rPr>
              <w:t>清洗废液总产生量约为1.908t/a，经查《国家危险废物名录》</w:t>
            </w:r>
            <w:r>
              <w:rPr>
                <w:rFonts w:hint="eastAsia" w:cs="宋体"/>
                <w:sz w:val="24"/>
              </w:rPr>
              <w:t>（2021），</w:t>
            </w:r>
            <w:r>
              <w:rPr>
                <w:bCs/>
                <w:sz w:val="24"/>
              </w:rPr>
              <w:t>为危险固废，废物类别HW</w:t>
            </w:r>
            <w:r>
              <w:rPr>
                <w:rFonts w:hint="eastAsia"/>
                <w:bCs/>
                <w:sz w:val="24"/>
              </w:rPr>
              <w:t>17</w:t>
            </w:r>
            <w:r>
              <w:rPr>
                <w:bCs/>
                <w:sz w:val="24"/>
              </w:rPr>
              <w:t>，废物代码</w:t>
            </w:r>
            <w:r>
              <w:rPr>
                <w:rFonts w:hint="eastAsia"/>
                <w:bCs/>
                <w:sz w:val="24"/>
              </w:rPr>
              <w:t>336-064-17</w:t>
            </w:r>
            <w:r>
              <w:rPr>
                <w:bCs/>
                <w:sz w:val="24"/>
              </w:rPr>
              <w:t>，</w:t>
            </w:r>
            <w:r>
              <w:rPr>
                <w:sz w:val="24"/>
              </w:rPr>
              <w:t>存放于厂内危险废物仓库，经收集后委托有资质单位处置</w:t>
            </w:r>
            <w:r>
              <w:rPr>
                <w:bCs/>
                <w:sz w:val="24"/>
              </w:rPr>
              <w:t>。</w:t>
            </w:r>
          </w:p>
          <w:p>
            <w:pPr>
              <w:spacing w:line="360" w:lineRule="auto"/>
              <w:ind w:firstLine="480" w:firstLineChars="200"/>
              <w:rPr>
                <w:sz w:val="24"/>
              </w:rPr>
            </w:pPr>
            <w:r>
              <w:rPr>
                <w:rFonts w:hint="eastAsia"/>
                <w:sz w:val="24"/>
              </w:rPr>
              <w:t>含油抹布手套：项目车加工过程中员工佩戴使用抹布手套，含油抹布手套的产生量约为0.05t/a，根据《国家危险废物名录》（2021）中“附录”中“危险废物豁免管理清单”，废物类别“HW49”、废物代码“900-041-49”，危险废物“废弃的含油抹布、劳保用品”“全部环节”豁免，豁免条件“混入生活垃圾”，豁免内容“全过程不按危险废物管理”。故全过程可不按危险废物管理，产生后混入生活垃圾，由环卫部门定期清运。</w:t>
            </w:r>
          </w:p>
          <w:p>
            <w:pPr>
              <w:spacing w:line="360" w:lineRule="auto"/>
              <w:ind w:left="480"/>
              <w:rPr>
                <w:rFonts w:ascii="宋体" w:hAnsi="宋体"/>
                <w:color w:val="000000"/>
                <w:sz w:val="24"/>
              </w:rPr>
            </w:pPr>
            <w:r>
              <w:rPr>
                <w:rFonts w:hint="eastAsia"/>
                <w:color w:val="000000"/>
                <w:sz w:val="24"/>
              </w:rPr>
              <w:t>3</w:t>
            </w:r>
            <w:r>
              <w:rPr>
                <w:rFonts w:hint="eastAsia" w:ascii="宋体" w:hAnsi="宋体"/>
                <w:color w:val="000000"/>
                <w:sz w:val="24"/>
              </w:rPr>
              <w:t>）生活垃圾</w:t>
            </w:r>
          </w:p>
          <w:p>
            <w:pPr>
              <w:spacing w:line="360" w:lineRule="auto"/>
              <w:ind w:firstLine="480" w:firstLineChars="200"/>
              <w:rPr>
                <w:color w:val="000000"/>
                <w:sz w:val="24"/>
              </w:rPr>
            </w:pPr>
            <w:r>
              <w:rPr>
                <w:rFonts w:hint="eastAsia"/>
                <w:color w:val="000000"/>
                <w:sz w:val="24"/>
              </w:rPr>
              <w:t>职</w:t>
            </w:r>
            <w:r>
              <w:rPr>
                <w:color w:val="000000"/>
                <w:sz w:val="24"/>
              </w:rPr>
              <w:t>工日常生活会产生生活垃圾，项目拟用</w:t>
            </w:r>
            <w:r>
              <w:rPr>
                <w:rFonts w:hint="eastAsia"/>
                <w:color w:val="000000"/>
                <w:sz w:val="24"/>
              </w:rPr>
              <w:t>职</w:t>
            </w:r>
            <w:r>
              <w:rPr>
                <w:color w:val="000000"/>
                <w:sz w:val="24"/>
              </w:rPr>
              <w:t>工20人，日产生量按1kg/人计，年工作300天，则生活垃圾产生量为6t/a。</w:t>
            </w:r>
          </w:p>
          <w:p>
            <w:pPr>
              <w:adjustRightInd w:val="0"/>
              <w:snapToGrid w:val="0"/>
              <w:spacing w:line="360" w:lineRule="auto"/>
              <w:ind w:firstLine="480" w:firstLineChars="200"/>
              <w:rPr>
                <w:bCs/>
                <w:sz w:val="24"/>
              </w:rPr>
            </w:pPr>
            <w:r>
              <w:rPr>
                <w:bCs/>
                <w:sz w:val="24"/>
              </w:rPr>
              <w:t>根据《国家危险废物名录》（2021年）以及危险废物鉴别标准，判定该固体废物是否属于危险废物，项目固体废物分析结果汇总见下表。</w:t>
            </w:r>
          </w:p>
          <w:p>
            <w:pPr>
              <w:pStyle w:val="51"/>
              <w:tabs>
                <w:tab w:val="left" w:pos="3240"/>
              </w:tabs>
              <w:snapToGrid w:val="0"/>
              <w:spacing w:line="240" w:lineRule="auto"/>
              <w:jc w:val="center"/>
              <w:rPr>
                <w:rFonts w:ascii="Times New Roman"/>
                <w:b/>
                <w:sz w:val="24"/>
              </w:rPr>
            </w:pPr>
            <w:r>
              <w:rPr>
                <w:rFonts w:ascii="Times New Roman"/>
                <w:b/>
                <w:sz w:val="24"/>
              </w:rPr>
              <w:t>表4-</w:t>
            </w:r>
            <w:r>
              <w:rPr>
                <w:rFonts w:hint="eastAsia" w:ascii="Times New Roman"/>
                <w:b/>
                <w:sz w:val="24"/>
              </w:rPr>
              <w:t>16</w:t>
            </w:r>
            <w:r>
              <w:rPr>
                <w:rFonts w:ascii="Times New Roman"/>
                <w:b/>
                <w:sz w:val="24"/>
              </w:rPr>
              <w:t xml:space="preserve"> 本项目固废产生情况</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04"/>
              <w:gridCol w:w="693"/>
              <w:gridCol w:w="455"/>
              <w:gridCol w:w="749"/>
              <w:gridCol w:w="567"/>
              <w:gridCol w:w="850"/>
              <w:gridCol w:w="1057"/>
              <w:gridCol w:w="657"/>
              <w:gridCol w:w="730"/>
              <w:gridCol w:w="1125"/>
              <w:gridCol w:w="7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99" w:hRule="atLeast"/>
                <w:jc w:val="center"/>
              </w:trPr>
              <w:tc>
                <w:tcPr>
                  <w:tcW w:w="253" w:type="pct"/>
                  <w:vAlign w:val="center"/>
                </w:tcPr>
                <w:p>
                  <w:pPr>
                    <w:snapToGrid w:val="0"/>
                    <w:jc w:val="center"/>
                    <w:rPr>
                      <w:b/>
                      <w:bCs/>
                      <w:szCs w:val="21"/>
                    </w:rPr>
                  </w:pPr>
                  <w:r>
                    <w:rPr>
                      <w:b/>
                      <w:bCs/>
                      <w:szCs w:val="21"/>
                    </w:rPr>
                    <w:t>序号</w:t>
                  </w:r>
                </w:p>
              </w:tc>
              <w:tc>
                <w:tcPr>
                  <w:tcW w:w="434" w:type="pct"/>
                  <w:vAlign w:val="center"/>
                </w:tcPr>
                <w:p>
                  <w:pPr>
                    <w:snapToGrid w:val="0"/>
                    <w:jc w:val="center"/>
                    <w:rPr>
                      <w:b/>
                      <w:bCs/>
                      <w:szCs w:val="21"/>
                    </w:rPr>
                  </w:pPr>
                  <w:r>
                    <w:rPr>
                      <w:b/>
                      <w:bCs/>
                      <w:szCs w:val="21"/>
                    </w:rPr>
                    <w:t>固废</w:t>
                  </w:r>
                </w:p>
                <w:p>
                  <w:pPr>
                    <w:snapToGrid w:val="0"/>
                    <w:jc w:val="center"/>
                    <w:rPr>
                      <w:b/>
                      <w:bCs/>
                      <w:szCs w:val="21"/>
                    </w:rPr>
                  </w:pPr>
                  <w:r>
                    <w:rPr>
                      <w:b/>
                      <w:bCs/>
                      <w:szCs w:val="21"/>
                    </w:rPr>
                    <w:t>名称</w:t>
                  </w:r>
                </w:p>
              </w:tc>
              <w:tc>
                <w:tcPr>
                  <w:tcW w:w="285" w:type="pct"/>
                  <w:vAlign w:val="center"/>
                </w:tcPr>
                <w:p>
                  <w:pPr>
                    <w:snapToGrid w:val="0"/>
                    <w:jc w:val="center"/>
                    <w:rPr>
                      <w:b/>
                      <w:bCs/>
                      <w:szCs w:val="21"/>
                    </w:rPr>
                  </w:pPr>
                  <w:r>
                    <w:rPr>
                      <w:b/>
                      <w:bCs/>
                      <w:szCs w:val="21"/>
                    </w:rPr>
                    <w:t>属性</w:t>
                  </w:r>
                </w:p>
              </w:tc>
              <w:tc>
                <w:tcPr>
                  <w:tcW w:w="469" w:type="pct"/>
                  <w:vAlign w:val="center"/>
                </w:tcPr>
                <w:p>
                  <w:pPr>
                    <w:snapToGrid w:val="0"/>
                    <w:jc w:val="center"/>
                    <w:rPr>
                      <w:b/>
                      <w:bCs/>
                      <w:szCs w:val="21"/>
                    </w:rPr>
                  </w:pPr>
                  <w:r>
                    <w:rPr>
                      <w:b/>
                      <w:bCs/>
                      <w:szCs w:val="21"/>
                    </w:rPr>
                    <w:t>产生工序</w:t>
                  </w:r>
                </w:p>
              </w:tc>
              <w:tc>
                <w:tcPr>
                  <w:tcW w:w="355" w:type="pct"/>
                  <w:vAlign w:val="center"/>
                </w:tcPr>
                <w:p>
                  <w:pPr>
                    <w:snapToGrid w:val="0"/>
                    <w:jc w:val="center"/>
                    <w:rPr>
                      <w:b/>
                      <w:bCs/>
                      <w:szCs w:val="21"/>
                    </w:rPr>
                  </w:pPr>
                  <w:r>
                    <w:rPr>
                      <w:b/>
                      <w:bCs/>
                      <w:szCs w:val="21"/>
                    </w:rPr>
                    <w:t>形态</w:t>
                  </w:r>
                </w:p>
              </w:tc>
              <w:tc>
                <w:tcPr>
                  <w:tcW w:w="532" w:type="pct"/>
                  <w:vAlign w:val="center"/>
                </w:tcPr>
                <w:p>
                  <w:pPr>
                    <w:snapToGrid w:val="0"/>
                    <w:jc w:val="center"/>
                    <w:rPr>
                      <w:b/>
                      <w:bCs/>
                      <w:szCs w:val="21"/>
                    </w:rPr>
                  </w:pPr>
                  <w:r>
                    <w:rPr>
                      <w:b/>
                      <w:bCs/>
                      <w:szCs w:val="21"/>
                    </w:rPr>
                    <w:t>主要</w:t>
                  </w:r>
                </w:p>
                <w:p>
                  <w:pPr>
                    <w:snapToGrid w:val="0"/>
                    <w:jc w:val="center"/>
                    <w:rPr>
                      <w:b/>
                      <w:bCs/>
                      <w:szCs w:val="21"/>
                    </w:rPr>
                  </w:pPr>
                  <w:r>
                    <w:rPr>
                      <w:b/>
                      <w:bCs/>
                      <w:szCs w:val="21"/>
                    </w:rPr>
                    <w:t>成分</w:t>
                  </w:r>
                </w:p>
              </w:tc>
              <w:tc>
                <w:tcPr>
                  <w:tcW w:w="662" w:type="pct"/>
                  <w:vAlign w:val="center"/>
                </w:tcPr>
                <w:p>
                  <w:pPr>
                    <w:snapToGrid w:val="0"/>
                    <w:jc w:val="center"/>
                    <w:rPr>
                      <w:b/>
                      <w:bCs/>
                      <w:szCs w:val="21"/>
                    </w:rPr>
                  </w:pPr>
                  <w:r>
                    <w:rPr>
                      <w:b/>
                      <w:bCs/>
                      <w:szCs w:val="21"/>
                    </w:rPr>
                    <w:t>危险特性鉴别方法</w:t>
                  </w:r>
                </w:p>
              </w:tc>
              <w:tc>
                <w:tcPr>
                  <w:tcW w:w="411" w:type="pct"/>
                  <w:vAlign w:val="center"/>
                </w:tcPr>
                <w:p>
                  <w:pPr>
                    <w:snapToGrid w:val="0"/>
                    <w:jc w:val="center"/>
                    <w:rPr>
                      <w:b/>
                      <w:bCs/>
                      <w:szCs w:val="21"/>
                    </w:rPr>
                  </w:pPr>
                  <w:r>
                    <w:rPr>
                      <w:b/>
                      <w:bCs/>
                      <w:szCs w:val="21"/>
                    </w:rPr>
                    <w:t>危险特性</w:t>
                  </w:r>
                </w:p>
              </w:tc>
              <w:tc>
                <w:tcPr>
                  <w:tcW w:w="457" w:type="pct"/>
                  <w:vAlign w:val="center"/>
                </w:tcPr>
                <w:p>
                  <w:pPr>
                    <w:snapToGrid w:val="0"/>
                    <w:jc w:val="center"/>
                    <w:rPr>
                      <w:b/>
                      <w:bCs/>
                      <w:szCs w:val="21"/>
                    </w:rPr>
                  </w:pPr>
                  <w:r>
                    <w:rPr>
                      <w:b/>
                      <w:bCs/>
                      <w:szCs w:val="21"/>
                    </w:rPr>
                    <w:t>废物类别</w:t>
                  </w:r>
                </w:p>
              </w:tc>
              <w:tc>
                <w:tcPr>
                  <w:tcW w:w="704" w:type="pct"/>
                  <w:vAlign w:val="center"/>
                </w:tcPr>
                <w:p>
                  <w:pPr>
                    <w:snapToGrid w:val="0"/>
                    <w:jc w:val="center"/>
                    <w:rPr>
                      <w:b/>
                      <w:bCs/>
                      <w:szCs w:val="21"/>
                    </w:rPr>
                  </w:pPr>
                  <w:r>
                    <w:rPr>
                      <w:b/>
                      <w:bCs/>
                      <w:szCs w:val="21"/>
                    </w:rPr>
                    <w:t>废物代码</w:t>
                  </w:r>
                </w:p>
              </w:tc>
              <w:tc>
                <w:tcPr>
                  <w:tcW w:w="438" w:type="pct"/>
                  <w:vAlign w:val="center"/>
                </w:tcPr>
                <w:p>
                  <w:pPr>
                    <w:snapToGrid w:val="0"/>
                    <w:jc w:val="center"/>
                    <w:rPr>
                      <w:b/>
                      <w:bCs/>
                      <w:szCs w:val="21"/>
                    </w:rPr>
                  </w:pPr>
                  <w:r>
                    <w:rPr>
                      <w:b/>
                      <w:bCs/>
                      <w:szCs w:val="21"/>
                    </w:rPr>
                    <w:t>估算产生量（吨/年）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53" w:type="pct"/>
                  <w:vAlign w:val="center"/>
                </w:tcPr>
                <w:p>
                  <w:pPr>
                    <w:snapToGrid w:val="0"/>
                    <w:jc w:val="center"/>
                    <w:rPr>
                      <w:szCs w:val="21"/>
                    </w:rPr>
                  </w:pPr>
                  <w:r>
                    <w:rPr>
                      <w:szCs w:val="21"/>
                    </w:rPr>
                    <w:t>1</w:t>
                  </w:r>
                </w:p>
              </w:tc>
              <w:tc>
                <w:tcPr>
                  <w:tcW w:w="434" w:type="pct"/>
                  <w:vAlign w:val="center"/>
                </w:tcPr>
                <w:p>
                  <w:pPr>
                    <w:snapToGrid w:val="0"/>
                    <w:jc w:val="center"/>
                    <w:rPr>
                      <w:szCs w:val="21"/>
                    </w:rPr>
                  </w:pPr>
                  <w:r>
                    <w:rPr>
                      <w:szCs w:val="21"/>
                    </w:rPr>
                    <w:t>边角料</w:t>
                  </w:r>
                </w:p>
              </w:tc>
              <w:tc>
                <w:tcPr>
                  <w:tcW w:w="285" w:type="pct"/>
                  <w:vMerge w:val="restart"/>
                  <w:vAlign w:val="center"/>
                </w:tcPr>
                <w:p>
                  <w:pPr>
                    <w:snapToGrid w:val="0"/>
                    <w:jc w:val="center"/>
                    <w:rPr>
                      <w:szCs w:val="21"/>
                    </w:rPr>
                  </w:pPr>
                  <w:r>
                    <w:rPr>
                      <w:szCs w:val="21"/>
                    </w:rPr>
                    <w:t>一般固废</w:t>
                  </w:r>
                </w:p>
              </w:tc>
              <w:tc>
                <w:tcPr>
                  <w:tcW w:w="469" w:type="pct"/>
                  <w:vAlign w:val="center"/>
                </w:tcPr>
                <w:p>
                  <w:pPr>
                    <w:snapToGrid w:val="0"/>
                    <w:jc w:val="center"/>
                    <w:rPr>
                      <w:szCs w:val="21"/>
                    </w:rPr>
                  </w:pPr>
                  <w:r>
                    <w:rPr>
                      <w:szCs w:val="21"/>
                    </w:rPr>
                    <w:t>车加工</w:t>
                  </w:r>
                </w:p>
              </w:tc>
              <w:tc>
                <w:tcPr>
                  <w:tcW w:w="355" w:type="pct"/>
                  <w:vAlign w:val="center"/>
                </w:tcPr>
                <w:p>
                  <w:pPr>
                    <w:snapToGrid w:val="0"/>
                    <w:jc w:val="center"/>
                    <w:rPr>
                      <w:szCs w:val="21"/>
                    </w:rPr>
                  </w:pPr>
                  <w:r>
                    <w:rPr>
                      <w:szCs w:val="21"/>
                    </w:rPr>
                    <w:t>固态</w:t>
                  </w:r>
                </w:p>
              </w:tc>
              <w:tc>
                <w:tcPr>
                  <w:tcW w:w="532" w:type="pct"/>
                  <w:vAlign w:val="center"/>
                </w:tcPr>
                <w:p>
                  <w:pPr>
                    <w:snapToGrid w:val="0"/>
                    <w:jc w:val="center"/>
                    <w:rPr>
                      <w:szCs w:val="21"/>
                    </w:rPr>
                  </w:pPr>
                  <w:r>
                    <w:rPr>
                      <w:szCs w:val="21"/>
                    </w:rPr>
                    <w:t>金属</w:t>
                  </w:r>
                </w:p>
              </w:tc>
              <w:tc>
                <w:tcPr>
                  <w:tcW w:w="662" w:type="pct"/>
                  <w:vMerge w:val="restart"/>
                  <w:vAlign w:val="center"/>
                </w:tcPr>
                <w:p>
                  <w:pPr>
                    <w:snapToGrid w:val="0"/>
                    <w:jc w:val="center"/>
                    <w:rPr>
                      <w:szCs w:val="21"/>
                    </w:rPr>
                  </w:pPr>
                  <w:r>
                    <w:rPr>
                      <w:szCs w:val="21"/>
                    </w:rPr>
                    <w:t>一般固体废物分类与代码(GBT39198-2020)</w:t>
                  </w:r>
                </w:p>
              </w:tc>
              <w:tc>
                <w:tcPr>
                  <w:tcW w:w="411" w:type="pct"/>
                  <w:vAlign w:val="center"/>
                </w:tcPr>
                <w:p>
                  <w:pPr>
                    <w:snapToGrid w:val="0"/>
                    <w:jc w:val="center"/>
                    <w:rPr>
                      <w:szCs w:val="21"/>
                    </w:rPr>
                  </w:pPr>
                  <w:r>
                    <w:rPr>
                      <w:szCs w:val="21"/>
                    </w:rPr>
                    <w:t>/</w:t>
                  </w:r>
                </w:p>
              </w:tc>
              <w:tc>
                <w:tcPr>
                  <w:tcW w:w="457" w:type="pct"/>
                  <w:vAlign w:val="center"/>
                </w:tcPr>
                <w:p>
                  <w:pPr>
                    <w:snapToGrid w:val="0"/>
                    <w:jc w:val="center"/>
                    <w:rPr>
                      <w:szCs w:val="21"/>
                    </w:rPr>
                  </w:pPr>
                  <w:r>
                    <w:rPr>
                      <w:szCs w:val="21"/>
                    </w:rPr>
                    <w:t>其他废物</w:t>
                  </w:r>
                </w:p>
              </w:tc>
              <w:tc>
                <w:tcPr>
                  <w:tcW w:w="704" w:type="pct"/>
                  <w:vAlign w:val="center"/>
                </w:tcPr>
                <w:p>
                  <w:pPr>
                    <w:snapToGrid w:val="0"/>
                    <w:jc w:val="center"/>
                    <w:rPr>
                      <w:szCs w:val="21"/>
                    </w:rPr>
                  </w:pPr>
                  <w:r>
                    <w:rPr>
                      <w:szCs w:val="21"/>
                    </w:rPr>
                    <w:t>99</w:t>
                  </w:r>
                </w:p>
              </w:tc>
              <w:tc>
                <w:tcPr>
                  <w:tcW w:w="438" w:type="pct"/>
                  <w:vAlign w:val="center"/>
                </w:tcPr>
                <w:p>
                  <w:pPr>
                    <w:snapToGrid w:val="0"/>
                    <w:jc w:val="center"/>
                    <w:rPr>
                      <w:szCs w:val="21"/>
                    </w:rPr>
                  </w:pPr>
                  <w:r>
                    <w:rPr>
                      <w:szCs w:val="21"/>
                    </w:rPr>
                    <w:t>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3" w:type="pct"/>
                  <w:vAlign w:val="center"/>
                </w:tcPr>
                <w:p>
                  <w:pPr>
                    <w:snapToGrid w:val="0"/>
                    <w:jc w:val="center"/>
                    <w:rPr>
                      <w:szCs w:val="21"/>
                    </w:rPr>
                  </w:pPr>
                  <w:r>
                    <w:rPr>
                      <w:rFonts w:hint="eastAsia"/>
                      <w:szCs w:val="21"/>
                    </w:rPr>
                    <w:t>2</w:t>
                  </w:r>
                </w:p>
              </w:tc>
              <w:tc>
                <w:tcPr>
                  <w:tcW w:w="434" w:type="pct"/>
                  <w:vAlign w:val="center"/>
                </w:tcPr>
                <w:p>
                  <w:pPr>
                    <w:snapToGrid w:val="0"/>
                    <w:jc w:val="center"/>
                    <w:rPr>
                      <w:szCs w:val="21"/>
                    </w:rPr>
                  </w:pPr>
                  <w:r>
                    <w:rPr>
                      <w:szCs w:val="21"/>
                    </w:rPr>
                    <w:t>不合格品</w:t>
                  </w:r>
                </w:p>
              </w:tc>
              <w:tc>
                <w:tcPr>
                  <w:tcW w:w="285" w:type="pct"/>
                  <w:vMerge w:val="continue"/>
                  <w:vAlign w:val="center"/>
                </w:tcPr>
                <w:p>
                  <w:pPr>
                    <w:snapToGrid w:val="0"/>
                    <w:jc w:val="center"/>
                    <w:rPr>
                      <w:szCs w:val="21"/>
                    </w:rPr>
                  </w:pPr>
                </w:p>
              </w:tc>
              <w:tc>
                <w:tcPr>
                  <w:tcW w:w="469" w:type="pct"/>
                  <w:vAlign w:val="center"/>
                </w:tcPr>
                <w:p>
                  <w:pPr>
                    <w:snapToGrid w:val="0"/>
                    <w:jc w:val="center"/>
                    <w:rPr>
                      <w:szCs w:val="21"/>
                    </w:rPr>
                  </w:pPr>
                  <w:r>
                    <w:rPr>
                      <w:szCs w:val="21"/>
                    </w:rPr>
                    <w:t>检验</w:t>
                  </w:r>
                </w:p>
              </w:tc>
              <w:tc>
                <w:tcPr>
                  <w:tcW w:w="355" w:type="pct"/>
                  <w:vAlign w:val="center"/>
                </w:tcPr>
                <w:p>
                  <w:pPr>
                    <w:snapToGrid w:val="0"/>
                    <w:jc w:val="center"/>
                    <w:rPr>
                      <w:szCs w:val="21"/>
                    </w:rPr>
                  </w:pPr>
                  <w:r>
                    <w:rPr>
                      <w:szCs w:val="21"/>
                    </w:rPr>
                    <w:t>固态</w:t>
                  </w:r>
                </w:p>
              </w:tc>
              <w:tc>
                <w:tcPr>
                  <w:tcW w:w="532" w:type="pct"/>
                  <w:vAlign w:val="center"/>
                </w:tcPr>
                <w:p>
                  <w:pPr>
                    <w:snapToGrid w:val="0"/>
                    <w:jc w:val="center"/>
                    <w:rPr>
                      <w:szCs w:val="21"/>
                    </w:rPr>
                  </w:pPr>
                  <w:r>
                    <w:rPr>
                      <w:szCs w:val="21"/>
                    </w:rPr>
                    <w:t>金属</w:t>
                  </w:r>
                </w:p>
              </w:tc>
              <w:tc>
                <w:tcPr>
                  <w:tcW w:w="662" w:type="pct"/>
                  <w:vMerge w:val="continue"/>
                  <w:vAlign w:val="center"/>
                </w:tcPr>
                <w:p>
                  <w:pPr>
                    <w:snapToGrid w:val="0"/>
                    <w:jc w:val="center"/>
                    <w:rPr>
                      <w:szCs w:val="21"/>
                    </w:rPr>
                  </w:pPr>
                </w:p>
              </w:tc>
              <w:tc>
                <w:tcPr>
                  <w:tcW w:w="411" w:type="pct"/>
                  <w:vAlign w:val="center"/>
                </w:tcPr>
                <w:p>
                  <w:pPr>
                    <w:snapToGrid w:val="0"/>
                    <w:jc w:val="center"/>
                    <w:rPr>
                      <w:szCs w:val="21"/>
                    </w:rPr>
                  </w:pPr>
                  <w:r>
                    <w:rPr>
                      <w:szCs w:val="21"/>
                    </w:rPr>
                    <w:t>/</w:t>
                  </w:r>
                </w:p>
              </w:tc>
              <w:tc>
                <w:tcPr>
                  <w:tcW w:w="457" w:type="pct"/>
                  <w:vAlign w:val="center"/>
                </w:tcPr>
                <w:p>
                  <w:pPr>
                    <w:snapToGrid w:val="0"/>
                    <w:jc w:val="center"/>
                    <w:rPr>
                      <w:szCs w:val="21"/>
                    </w:rPr>
                  </w:pPr>
                  <w:r>
                    <w:rPr>
                      <w:szCs w:val="21"/>
                    </w:rPr>
                    <w:t>其他废物</w:t>
                  </w:r>
                </w:p>
              </w:tc>
              <w:tc>
                <w:tcPr>
                  <w:tcW w:w="704" w:type="pct"/>
                  <w:vAlign w:val="center"/>
                </w:tcPr>
                <w:p>
                  <w:pPr>
                    <w:snapToGrid w:val="0"/>
                    <w:jc w:val="center"/>
                    <w:rPr>
                      <w:szCs w:val="21"/>
                    </w:rPr>
                  </w:pPr>
                  <w:r>
                    <w:rPr>
                      <w:szCs w:val="21"/>
                    </w:rPr>
                    <w:t>99</w:t>
                  </w:r>
                </w:p>
              </w:tc>
              <w:tc>
                <w:tcPr>
                  <w:tcW w:w="438" w:type="pct"/>
                  <w:vAlign w:val="center"/>
                </w:tcPr>
                <w:p>
                  <w:pPr>
                    <w:snapToGrid w:val="0"/>
                    <w:jc w:val="center"/>
                    <w:rPr>
                      <w:szCs w:val="21"/>
                    </w:rPr>
                  </w:pPr>
                  <w:r>
                    <w:rPr>
                      <w:szCs w:val="21"/>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3" w:type="pct"/>
                  <w:vAlign w:val="center"/>
                </w:tcPr>
                <w:p>
                  <w:pPr>
                    <w:snapToGrid w:val="0"/>
                    <w:jc w:val="center"/>
                    <w:rPr>
                      <w:szCs w:val="21"/>
                    </w:rPr>
                  </w:pPr>
                  <w:r>
                    <w:rPr>
                      <w:rFonts w:hint="eastAsia"/>
                      <w:szCs w:val="21"/>
                    </w:rPr>
                    <w:t>3</w:t>
                  </w:r>
                </w:p>
              </w:tc>
              <w:tc>
                <w:tcPr>
                  <w:tcW w:w="434" w:type="pct"/>
                  <w:vAlign w:val="center"/>
                </w:tcPr>
                <w:p>
                  <w:pPr>
                    <w:snapToGrid w:val="0"/>
                    <w:jc w:val="center"/>
                    <w:rPr>
                      <w:szCs w:val="21"/>
                    </w:rPr>
                  </w:pPr>
                  <w:r>
                    <w:rPr>
                      <w:szCs w:val="21"/>
                    </w:rPr>
                    <w:t>废滤芯（含收集粉尘）</w:t>
                  </w:r>
                </w:p>
              </w:tc>
              <w:tc>
                <w:tcPr>
                  <w:tcW w:w="285" w:type="pct"/>
                  <w:vMerge w:val="continue"/>
                  <w:vAlign w:val="center"/>
                </w:tcPr>
                <w:p>
                  <w:pPr>
                    <w:snapToGrid w:val="0"/>
                    <w:jc w:val="center"/>
                    <w:rPr>
                      <w:szCs w:val="21"/>
                    </w:rPr>
                  </w:pPr>
                </w:p>
              </w:tc>
              <w:tc>
                <w:tcPr>
                  <w:tcW w:w="469" w:type="pct"/>
                  <w:vAlign w:val="center"/>
                </w:tcPr>
                <w:p>
                  <w:pPr>
                    <w:snapToGrid w:val="0"/>
                    <w:jc w:val="center"/>
                    <w:rPr>
                      <w:szCs w:val="21"/>
                    </w:rPr>
                  </w:pPr>
                  <w:r>
                    <w:rPr>
                      <w:rFonts w:hint="eastAsia"/>
                      <w:szCs w:val="21"/>
                    </w:rPr>
                    <w:t>废气处理</w:t>
                  </w:r>
                </w:p>
              </w:tc>
              <w:tc>
                <w:tcPr>
                  <w:tcW w:w="355" w:type="pct"/>
                  <w:vAlign w:val="center"/>
                </w:tcPr>
                <w:p>
                  <w:pPr>
                    <w:snapToGrid w:val="0"/>
                    <w:jc w:val="center"/>
                    <w:rPr>
                      <w:szCs w:val="21"/>
                    </w:rPr>
                  </w:pPr>
                  <w:r>
                    <w:rPr>
                      <w:rFonts w:hint="eastAsia"/>
                      <w:szCs w:val="21"/>
                    </w:rPr>
                    <w:t>固态</w:t>
                  </w:r>
                </w:p>
              </w:tc>
              <w:tc>
                <w:tcPr>
                  <w:tcW w:w="532" w:type="pct"/>
                  <w:vAlign w:val="center"/>
                </w:tcPr>
                <w:p>
                  <w:pPr>
                    <w:snapToGrid w:val="0"/>
                    <w:jc w:val="center"/>
                    <w:rPr>
                      <w:szCs w:val="21"/>
                    </w:rPr>
                  </w:pPr>
                  <w:r>
                    <w:rPr>
                      <w:rFonts w:hint="eastAsia"/>
                      <w:szCs w:val="21"/>
                    </w:rPr>
                    <w:t>烟尘</w:t>
                  </w:r>
                </w:p>
              </w:tc>
              <w:tc>
                <w:tcPr>
                  <w:tcW w:w="662" w:type="pct"/>
                  <w:vMerge w:val="continue"/>
                  <w:vAlign w:val="center"/>
                </w:tcPr>
                <w:p>
                  <w:pPr>
                    <w:snapToGrid w:val="0"/>
                    <w:jc w:val="center"/>
                    <w:rPr>
                      <w:szCs w:val="21"/>
                    </w:rPr>
                  </w:pPr>
                </w:p>
              </w:tc>
              <w:tc>
                <w:tcPr>
                  <w:tcW w:w="411" w:type="pct"/>
                  <w:vAlign w:val="center"/>
                </w:tcPr>
                <w:p>
                  <w:pPr>
                    <w:snapToGrid w:val="0"/>
                    <w:jc w:val="center"/>
                    <w:rPr>
                      <w:szCs w:val="21"/>
                    </w:rPr>
                  </w:pPr>
                  <w:r>
                    <w:rPr>
                      <w:szCs w:val="21"/>
                    </w:rPr>
                    <w:t>/</w:t>
                  </w:r>
                </w:p>
              </w:tc>
              <w:tc>
                <w:tcPr>
                  <w:tcW w:w="457" w:type="pct"/>
                  <w:vAlign w:val="center"/>
                </w:tcPr>
                <w:p>
                  <w:pPr>
                    <w:snapToGrid w:val="0"/>
                    <w:jc w:val="center"/>
                    <w:rPr>
                      <w:szCs w:val="21"/>
                    </w:rPr>
                  </w:pPr>
                  <w:r>
                    <w:rPr>
                      <w:szCs w:val="21"/>
                    </w:rPr>
                    <w:t>其他废物</w:t>
                  </w:r>
                </w:p>
              </w:tc>
              <w:tc>
                <w:tcPr>
                  <w:tcW w:w="704" w:type="pct"/>
                  <w:vAlign w:val="center"/>
                </w:tcPr>
                <w:p>
                  <w:pPr>
                    <w:snapToGrid w:val="0"/>
                    <w:jc w:val="center"/>
                    <w:rPr>
                      <w:szCs w:val="21"/>
                    </w:rPr>
                  </w:pPr>
                  <w:r>
                    <w:rPr>
                      <w:szCs w:val="21"/>
                    </w:rPr>
                    <w:t>99</w:t>
                  </w:r>
                </w:p>
              </w:tc>
              <w:tc>
                <w:tcPr>
                  <w:tcW w:w="438" w:type="pct"/>
                  <w:vAlign w:val="center"/>
                </w:tcPr>
                <w:p>
                  <w:pPr>
                    <w:snapToGrid w:val="0"/>
                    <w:jc w:val="center"/>
                    <w:rPr>
                      <w:szCs w:val="21"/>
                    </w:rPr>
                  </w:pPr>
                  <w:r>
                    <w:rPr>
                      <w:rFonts w:hint="eastAsia"/>
                      <w:szCs w:val="21"/>
                    </w:rPr>
                    <w:t>0.01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3" w:type="pct"/>
                  <w:vAlign w:val="center"/>
                </w:tcPr>
                <w:p>
                  <w:pPr>
                    <w:snapToGrid w:val="0"/>
                    <w:jc w:val="center"/>
                    <w:rPr>
                      <w:szCs w:val="21"/>
                    </w:rPr>
                  </w:pPr>
                  <w:r>
                    <w:rPr>
                      <w:rFonts w:hint="eastAsia"/>
                      <w:szCs w:val="21"/>
                    </w:rPr>
                    <w:t>4</w:t>
                  </w:r>
                </w:p>
              </w:tc>
              <w:tc>
                <w:tcPr>
                  <w:tcW w:w="434" w:type="pct"/>
                  <w:vAlign w:val="center"/>
                </w:tcPr>
                <w:p>
                  <w:pPr>
                    <w:snapToGrid w:val="0"/>
                    <w:jc w:val="center"/>
                    <w:rPr>
                      <w:szCs w:val="21"/>
                    </w:rPr>
                  </w:pPr>
                  <w:r>
                    <w:rPr>
                      <w:rFonts w:hint="eastAsia"/>
                    </w:rPr>
                    <w:t>餐厨垃圾</w:t>
                  </w:r>
                </w:p>
              </w:tc>
              <w:tc>
                <w:tcPr>
                  <w:tcW w:w="285" w:type="pct"/>
                  <w:vMerge w:val="continue"/>
                  <w:vAlign w:val="center"/>
                </w:tcPr>
                <w:p>
                  <w:pPr>
                    <w:snapToGrid w:val="0"/>
                    <w:jc w:val="center"/>
                    <w:rPr>
                      <w:szCs w:val="21"/>
                    </w:rPr>
                  </w:pPr>
                </w:p>
              </w:tc>
              <w:tc>
                <w:tcPr>
                  <w:tcW w:w="469" w:type="pct"/>
                  <w:vAlign w:val="center"/>
                </w:tcPr>
                <w:p>
                  <w:pPr>
                    <w:snapToGrid w:val="0"/>
                    <w:jc w:val="center"/>
                    <w:rPr>
                      <w:szCs w:val="21"/>
                    </w:rPr>
                  </w:pPr>
                  <w:r>
                    <w:rPr>
                      <w:rFonts w:hint="eastAsia" w:ascii="宋体" w:hAnsi="宋体" w:cs="宋体"/>
                      <w:szCs w:val="21"/>
                    </w:rPr>
                    <w:t>隔油池、食堂</w:t>
                  </w:r>
                </w:p>
              </w:tc>
              <w:tc>
                <w:tcPr>
                  <w:tcW w:w="355" w:type="pct"/>
                  <w:vAlign w:val="center"/>
                </w:tcPr>
                <w:p>
                  <w:pPr>
                    <w:snapToGrid w:val="0"/>
                    <w:jc w:val="center"/>
                    <w:rPr>
                      <w:szCs w:val="21"/>
                    </w:rPr>
                  </w:pPr>
                  <w:r>
                    <w:rPr>
                      <w:rFonts w:hint="eastAsia" w:ascii="宋体" w:hAnsi="宋体" w:cs="宋体"/>
                      <w:szCs w:val="21"/>
                    </w:rPr>
                    <w:t>固/液态</w:t>
                  </w:r>
                </w:p>
              </w:tc>
              <w:tc>
                <w:tcPr>
                  <w:tcW w:w="532" w:type="pct"/>
                  <w:vAlign w:val="center"/>
                </w:tcPr>
                <w:p>
                  <w:pPr>
                    <w:snapToGrid w:val="0"/>
                    <w:jc w:val="center"/>
                    <w:rPr>
                      <w:szCs w:val="21"/>
                    </w:rPr>
                  </w:pPr>
                  <w:r>
                    <w:rPr>
                      <w:rFonts w:hint="eastAsia" w:ascii="宋体" w:hAnsi="宋体" w:cs="宋体"/>
                      <w:szCs w:val="21"/>
                    </w:rPr>
                    <w:t>餐厨垃圾</w:t>
                  </w:r>
                </w:p>
              </w:tc>
              <w:tc>
                <w:tcPr>
                  <w:tcW w:w="662" w:type="pct"/>
                  <w:vMerge w:val="continue"/>
                  <w:vAlign w:val="center"/>
                </w:tcPr>
                <w:p>
                  <w:pPr>
                    <w:snapToGrid w:val="0"/>
                    <w:jc w:val="center"/>
                    <w:rPr>
                      <w:szCs w:val="21"/>
                    </w:rPr>
                  </w:pPr>
                </w:p>
              </w:tc>
              <w:tc>
                <w:tcPr>
                  <w:tcW w:w="411" w:type="pct"/>
                  <w:vAlign w:val="center"/>
                </w:tcPr>
                <w:p>
                  <w:pPr>
                    <w:snapToGrid w:val="0"/>
                    <w:jc w:val="center"/>
                    <w:rPr>
                      <w:szCs w:val="21"/>
                    </w:rPr>
                  </w:pPr>
                  <w:r>
                    <w:rPr>
                      <w:rFonts w:hint="eastAsia"/>
                    </w:rPr>
                    <w:t>/</w:t>
                  </w:r>
                </w:p>
              </w:tc>
              <w:tc>
                <w:tcPr>
                  <w:tcW w:w="457" w:type="pct"/>
                  <w:vAlign w:val="center"/>
                </w:tcPr>
                <w:p>
                  <w:pPr>
                    <w:snapToGrid w:val="0"/>
                    <w:jc w:val="center"/>
                    <w:rPr>
                      <w:szCs w:val="21"/>
                    </w:rPr>
                  </w:pPr>
                  <w:r>
                    <w:rPr>
                      <w:rFonts w:hint="eastAsia"/>
                    </w:rPr>
                    <w:t>其它废物</w:t>
                  </w:r>
                </w:p>
              </w:tc>
              <w:tc>
                <w:tcPr>
                  <w:tcW w:w="704" w:type="pct"/>
                  <w:vAlign w:val="center"/>
                </w:tcPr>
                <w:p>
                  <w:pPr>
                    <w:snapToGrid w:val="0"/>
                    <w:jc w:val="center"/>
                    <w:rPr>
                      <w:szCs w:val="21"/>
                    </w:rPr>
                  </w:pPr>
                  <w:r>
                    <w:rPr>
                      <w:rFonts w:hint="eastAsia"/>
                    </w:rPr>
                    <w:t>99</w:t>
                  </w:r>
                </w:p>
              </w:tc>
              <w:tc>
                <w:tcPr>
                  <w:tcW w:w="438" w:type="pct"/>
                  <w:vAlign w:val="center"/>
                </w:tcPr>
                <w:p>
                  <w:pPr>
                    <w:adjustRightInd w:val="0"/>
                    <w:snapToGrid w:val="0"/>
                    <w:jc w:val="center"/>
                  </w:pPr>
                  <w:r>
                    <w:rPr>
                      <w:rFonts w:hint="eastAsia"/>
                    </w:rPr>
                    <w:t>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3" w:type="pct"/>
                  <w:vAlign w:val="center"/>
                </w:tcPr>
                <w:p>
                  <w:pPr>
                    <w:snapToGrid w:val="0"/>
                    <w:jc w:val="center"/>
                    <w:rPr>
                      <w:szCs w:val="21"/>
                    </w:rPr>
                  </w:pPr>
                  <w:r>
                    <w:rPr>
                      <w:rFonts w:hint="eastAsia"/>
                      <w:szCs w:val="21"/>
                    </w:rPr>
                    <w:t>5</w:t>
                  </w:r>
                </w:p>
              </w:tc>
              <w:tc>
                <w:tcPr>
                  <w:tcW w:w="434" w:type="pct"/>
                  <w:vAlign w:val="center"/>
                </w:tcPr>
                <w:p>
                  <w:pPr>
                    <w:snapToGrid w:val="0"/>
                    <w:jc w:val="center"/>
                    <w:rPr>
                      <w:szCs w:val="21"/>
                    </w:rPr>
                  </w:pPr>
                  <w:r>
                    <w:rPr>
                      <w:szCs w:val="21"/>
                    </w:rPr>
                    <w:t>废包装桶</w:t>
                  </w:r>
                </w:p>
              </w:tc>
              <w:tc>
                <w:tcPr>
                  <w:tcW w:w="285" w:type="pct"/>
                  <w:vMerge w:val="restart"/>
                  <w:vAlign w:val="center"/>
                </w:tcPr>
                <w:p>
                  <w:pPr>
                    <w:snapToGrid w:val="0"/>
                    <w:jc w:val="center"/>
                    <w:rPr>
                      <w:szCs w:val="21"/>
                    </w:rPr>
                  </w:pPr>
                  <w:r>
                    <w:rPr>
                      <w:szCs w:val="21"/>
                    </w:rPr>
                    <w:t>危险固废</w:t>
                  </w:r>
                </w:p>
              </w:tc>
              <w:tc>
                <w:tcPr>
                  <w:tcW w:w="469" w:type="pct"/>
                  <w:vAlign w:val="center"/>
                </w:tcPr>
                <w:p>
                  <w:pPr>
                    <w:snapToGrid w:val="0"/>
                    <w:jc w:val="center"/>
                    <w:rPr>
                      <w:szCs w:val="21"/>
                    </w:rPr>
                  </w:pPr>
                  <w:r>
                    <w:rPr>
                      <w:szCs w:val="21"/>
                    </w:rPr>
                    <w:t>原辅料包装</w:t>
                  </w:r>
                </w:p>
              </w:tc>
              <w:tc>
                <w:tcPr>
                  <w:tcW w:w="355" w:type="pct"/>
                  <w:vAlign w:val="center"/>
                </w:tcPr>
                <w:p>
                  <w:pPr>
                    <w:snapToGrid w:val="0"/>
                    <w:jc w:val="center"/>
                    <w:rPr>
                      <w:szCs w:val="21"/>
                    </w:rPr>
                  </w:pPr>
                  <w:r>
                    <w:rPr>
                      <w:szCs w:val="21"/>
                    </w:rPr>
                    <w:t>固态</w:t>
                  </w:r>
                </w:p>
              </w:tc>
              <w:tc>
                <w:tcPr>
                  <w:tcW w:w="532" w:type="pct"/>
                  <w:vAlign w:val="center"/>
                </w:tcPr>
                <w:p>
                  <w:pPr>
                    <w:snapToGrid w:val="0"/>
                    <w:jc w:val="center"/>
                    <w:rPr>
                      <w:szCs w:val="21"/>
                    </w:rPr>
                  </w:pPr>
                  <w:r>
                    <w:rPr>
                      <w:szCs w:val="21"/>
                    </w:rPr>
                    <w:t>原料，金属</w:t>
                  </w:r>
                </w:p>
              </w:tc>
              <w:tc>
                <w:tcPr>
                  <w:tcW w:w="662" w:type="pct"/>
                  <w:vMerge w:val="restart"/>
                  <w:vAlign w:val="center"/>
                </w:tcPr>
                <w:p>
                  <w:pPr>
                    <w:pStyle w:val="5"/>
                    <w:snapToGrid w:val="0"/>
                    <w:ind w:firstLine="0"/>
                    <w:jc w:val="center"/>
                    <w:rPr>
                      <w:rFonts w:ascii="Times New Roman" w:hAnsi="Times New Roman"/>
                      <w:szCs w:val="21"/>
                    </w:rPr>
                  </w:pPr>
                  <w:r>
                    <w:rPr>
                      <w:rFonts w:ascii="Times New Roman"/>
                      <w:szCs w:val="21"/>
                    </w:rPr>
                    <w:t>《国家危险废物名录》（</w:t>
                  </w:r>
                  <w:r>
                    <w:rPr>
                      <w:rFonts w:ascii="Times New Roman" w:hAnsi="Times New Roman"/>
                      <w:szCs w:val="21"/>
                    </w:rPr>
                    <w:t>2021</w:t>
                  </w:r>
                  <w:r>
                    <w:rPr>
                      <w:rFonts w:ascii="Times New Roman"/>
                      <w:szCs w:val="21"/>
                    </w:rPr>
                    <w:t>年版）</w:t>
                  </w:r>
                </w:p>
              </w:tc>
              <w:tc>
                <w:tcPr>
                  <w:tcW w:w="411" w:type="pct"/>
                  <w:vAlign w:val="center"/>
                </w:tcPr>
                <w:p>
                  <w:pPr>
                    <w:pStyle w:val="5"/>
                    <w:snapToGrid w:val="0"/>
                    <w:ind w:firstLine="0"/>
                    <w:jc w:val="center"/>
                    <w:rPr>
                      <w:rFonts w:ascii="Times New Roman" w:hAnsi="Times New Roman"/>
                      <w:szCs w:val="21"/>
                    </w:rPr>
                  </w:pPr>
                  <w:r>
                    <w:rPr>
                      <w:rFonts w:ascii="Times New Roman" w:hAnsi="Times New Roman"/>
                      <w:szCs w:val="21"/>
                    </w:rPr>
                    <w:t>T/In</w:t>
                  </w:r>
                </w:p>
              </w:tc>
              <w:tc>
                <w:tcPr>
                  <w:tcW w:w="457" w:type="pct"/>
                  <w:vAlign w:val="center"/>
                </w:tcPr>
                <w:p>
                  <w:pPr>
                    <w:pStyle w:val="5"/>
                    <w:snapToGrid w:val="0"/>
                    <w:ind w:firstLine="0"/>
                    <w:jc w:val="center"/>
                    <w:rPr>
                      <w:rFonts w:ascii="Times New Roman" w:hAnsi="Times New Roman"/>
                      <w:szCs w:val="21"/>
                    </w:rPr>
                  </w:pPr>
                  <w:r>
                    <w:rPr>
                      <w:rFonts w:ascii="Times New Roman" w:hAnsi="Times New Roman"/>
                      <w:szCs w:val="21"/>
                    </w:rPr>
                    <w:t>HW49</w:t>
                  </w:r>
                </w:p>
              </w:tc>
              <w:tc>
                <w:tcPr>
                  <w:tcW w:w="704" w:type="pct"/>
                  <w:vAlign w:val="center"/>
                </w:tcPr>
                <w:p>
                  <w:pPr>
                    <w:pStyle w:val="5"/>
                    <w:snapToGrid w:val="0"/>
                    <w:ind w:firstLine="0"/>
                    <w:jc w:val="center"/>
                    <w:rPr>
                      <w:rFonts w:ascii="Times New Roman" w:hAnsi="Times New Roman"/>
                      <w:szCs w:val="21"/>
                    </w:rPr>
                  </w:pPr>
                  <w:r>
                    <w:rPr>
                      <w:rFonts w:ascii="Times New Roman" w:hAnsi="Times New Roman"/>
                      <w:szCs w:val="21"/>
                    </w:rPr>
                    <w:t>900-041-49</w:t>
                  </w:r>
                </w:p>
              </w:tc>
              <w:tc>
                <w:tcPr>
                  <w:tcW w:w="438" w:type="pct"/>
                  <w:vAlign w:val="center"/>
                </w:tcPr>
                <w:p>
                  <w:pPr>
                    <w:pStyle w:val="5"/>
                    <w:snapToGrid w:val="0"/>
                    <w:ind w:firstLine="0"/>
                    <w:jc w:val="center"/>
                    <w:rPr>
                      <w:rFonts w:ascii="Times New Roman" w:hAnsi="Times New Roman"/>
                      <w:szCs w:val="21"/>
                    </w:rPr>
                  </w:pPr>
                  <w:r>
                    <w:rPr>
                      <w:rFonts w:hint="eastAsia" w:ascii="Times New Roman" w:hAnsi="Times New Roman"/>
                      <w:szCs w:val="21"/>
                    </w:rPr>
                    <w:t>0.25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3" w:type="pct"/>
                  <w:vAlign w:val="center"/>
                </w:tcPr>
                <w:p>
                  <w:pPr>
                    <w:snapToGrid w:val="0"/>
                    <w:jc w:val="center"/>
                    <w:rPr>
                      <w:szCs w:val="21"/>
                    </w:rPr>
                  </w:pPr>
                  <w:r>
                    <w:rPr>
                      <w:rFonts w:hint="eastAsia"/>
                      <w:szCs w:val="21"/>
                    </w:rPr>
                    <w:t>6</w:t>
                  </w:r>
                </w:p>
              </w:tc>
              <w:tc>
                <w:tcPr>
                  <w:tcW w:w="434" w:type="pct"/>
                  <w:vAlign w:val="center"/>
                </w:tcPr>
                <w:p>
                  <w:pPr>
                    <w:pStyle w:val="5"/>
                    <w:snapToGrid w:val="0"/>
                    <w:ind w:firstLine="0"/>
                    <w:jc w:val="center"/>
                    <w:rPr>
                      <w:rFonts w:ascii="Times New Roman" w:hAnsi="Times New Roman"/>
                      <w:szCs w:val="21"/>
                    </w:rPr>
                  </w:pPr>
                  <w:r>
                    <w:rPr>
                      <w:rFonts w:ascii="Times New Roman"/>
                      <w:szCs w:val="21"/>
                    </w:rPr>
                    <w:t>废切削油</w:t>
                  </w:r>
                </w:p>
              </w:tc>
              <w:tc>
                <w:tcPr>
                  <w:tcW w:w="285" w:type="pct"/>
                  <w:vMerge w:val="continue"/>
                  <w:vAlign w:val="center"/>
                </w:tcPr>
                <w:p>
                  <w:pPr>
                    <w:snapToGrid w:val="0"/>
                    <w:jc w:val="center"/>
                    <w:rPr>
                      <w:szCs w:val="21"/>
                    </w:rPr>
                  </w:pPr>
                </w:p>
              </w:tc>
              <w:tc>
                <w:tcPr>
                  <w:tcW w:w="469" w:type="pct"/>
                  <w:vAlign w:val="center"/>
                </w:tcPr>
                <w:p>
                  <w:pPr>
                    <w:snapToGrid w:val="0"/>
                    <w:jc w:val="center"/>
                    <w:rPr>
                      <w:szCs w:val="21"/>
                    </w:rPr>
                  </w:pPr>
                  <w:r>
                    <w:rPr>
                      <w:szCs w:val="21"/>
                    </w:rPr>
                    <w:t>车加工</w:t>
                  </w:r>
                </w:p>
              </w:tc>
              <w:tc>
                <w:tcPr>
                  <w:tcW w:w="355" w:type="pct"/>
                  <w:vAlign w:val="center"/>
                </w:tcPr>
                <w:p>
                  <w:pPr>
                    <w:snapToGrid w:val="0"/>
                    <w:jc w:val="center"/>
                    <w:rPr>
                      <w:szCs w:val="21"/>
                    </w:rPr>
                  </w:pPr>
                  <w:r>
                    <w:rPr>
                      <w:szCs w:val="21"/>
                    </w:rPr>
                    <w:t>液态</w:t>
                  </w:r>
                </w:p>
              </w:tc>
              <w:tc>
                <w:tcPr>
                  <w:tcW w:w="532" w:type="pct"/>
                  <w:vAlign w:val="center"/>
                </w:tcPr>
                <w:p>
                  <w:pPr>
                    <w:snapToGrid w:val="0"/>
                    <w:jc w:val="center"/>
                    <w:rPr>
                      <w:szCs w:val="21"/>
                    </w:rPr>
                  </w:pPr>
                  <w:r>
                    <w:rPr>
                      <w:szCs w:val="21"/>
                    </w:rPr>
                    <w:t>烃水混合物</w:t>
                  </w:r>
                </w:p>
              </w:tc>
              <w:tc>
                <w:tcPr>
                  <w:tcW w:w="662" w:type="pct"/>
                  <w:vMerge w:val="continue"/>
                  <w:vAlign w:val="center"/>
                </w:tcPr>
                <w:p>
                  <w:pPr>
                    <w:pStyle w:val="5"/>
                    <w:snapToGrid w:val="0"/>
                    <w:ind w:firstLine="0"/>
                    <w:jc w:val="center"/>
                    <w:rPr>
                      <w:rFonts w:ascii="Times New Roman" w:hAnsi="Times New Roman"/>
                      <w:szCs w:val="21"/>
                    </w:rPr>
                  </w:pPr>
                </w:p>
              </w:tc>
              <w:tc>
                <w:tcPr>
                  <w:tcW w:w="411" w:type="pct"/>
                  <w:vAlign w:val="center"/>
                </w:tcPr>
                <w:p>
                  <w:pPr>
                    <w:pStyle w:val="5"/>
                    <w:snapToGrid w:val="0"/>
                    <w:ind w:firstLine="0"/>
                    <w:jc w:val="center"/>
                    <w:rPr>
                      <w:rFonts w:ascii="Times New Roman" w:hAnsi="Times New Roman"/>
                      <w:szCs w:val="21"/>
                    </w:rPr>
                  </w:pPr>
                  <w:r>
                    <w:rPr>
                      <w:rFonts w:ascii="Times New Roman" w:hAnsi="Times New Roman"/>
                      <w:szCs w:val="21"/>
                    </w:rPr>
                    <w:t>T</w:t>
                  </w:r>
                  <w:r>
                    <w:rPr>
                      <w:rFonts w:hint="eastAsia" w:ascii="Times New Roman" w:hAnsi="Times New Roman"/>
                      <w:szCs w:val="21"/>
                    </w:rPr>
                    <w:t>，I</w:t>
                  </w:r>
                </w:p>
              </w:tc>
              <w:tc>
                <w:tcPr>
                  <w:tcW w:w="457" w:type="pct"/>
                  <w:vAlign w:val="center"/>
                </w:tcPr>
                <w:p>
                  <w:pPr>
                    <w:pStyle w:val="5"/>
                    <w:snapToGrid w:val="0"/>
                    <w:ind w:firstLine="0"/>
                    <w:jc w:val="center"/>
                    <w:rPr>
                      <w:rFonts w:ascii="Times New Roman" w:hAnsi="Times New Roman"/>
                      <w:szCs w:val="21"/>
                    </w:rPr>
                  </w:pPr>
                  <w:r>
                    <w:rPr>
                      <w:rFonts w:ascii="Times New Roman" w:hAnsi="Times New Roman"/>
                      <w:szCs w:val="21"/>
                    </w:rPr>
                    <w:t>HW0</w:t>
                  </w:r>
                  <w:r>
                    <w:rPr>
                      <w:rFonts w:hint="eastAsia" w:ascii="Times New Roman" w:hAnsi="Times New Roman"/>
                      <w:szCs w:val="21"/>
                    </w:rPr>
                    <w:t>8</w:t>
                  </w:r>
                </w:p>
              </w:tc>
              <w:tc>
                <w:tcPr>
                  <w:tcW w:w="704" w:type="pct"/>
                  <w:vAlign w:val="center"/>
                </w:tcPr>
                <w:p>
                  <w:pPr>
                    <w:pStyle w:val="5"/>
                    <w:snapToGrid w:val="0"/>
                    <w:ind w:firstLine="0"/>
                    <w:jc w:val="center"/>
                    <w:rPr>
                      <w:rFonts w:ascii="Times New Roman" w:hAnsi="Times New Roman"/>
                      <w:szCs w:val="21"/>
                    </w:rPr>
                  </w:pPr>
                  <w:r>
                    <w:rPr>
                      <w:rFonts w:ascii="Times New Roman" w:hAnsi="Times New Roman"/>
                      <w:szCs w:val="21"/>
                    </w:rPr>
                    <w:t>900-</w:t>
                  </w:r>
                  <w:r>
                    <w:rPr>
                      <w:rFonts w:hint="eastAsia" w:ascii="Times New Roman" w:hAnsi="Times New Roman"/>
                      <w:szCs w:val="21"/>
                    </w:rPr>
                    <w:t>249</w:t>
                  </w:r>
                  <w:r>
                    <w:rPr>
                      <w:rFonts w:ascii="Times New Roman" w:hAnsi="Times New Roman"/>
                      <w:szCs w:val="21"/>
                    </w:rPr>
                    <w:t>-0</w:t>
                  </w:r>
                  <w:r>
                    <w:rPr>
                      <w:rFonts w:hint="eastAsia" w:ascii="Times New Roman" w:hAnsi="Times New Roman"/>
                      <w:szCs w:val="21"/>
                    </w:rPr>
                    <w:t>8</w:t>
                  </w:r>
                </w:p>
              </w:tc>
              <w:tc>
                <w:tcPr>
                  <w:tcW w:w="438" w:type="pct"/>
                  <w:vAlign w:val="center"/>
                </w:tcPr>
                <w:p>
                  <w:pPr>
                    <w:pStyle w:val="5"/>
                    <w:snapToGrid w:val="0"/>
                    <w:ind w:firstLine="0"/>
                    <w:jc w:val="center"/>
                    <w:rPr>
                      <w:rFonts w:ascii="Times New Roman" w:hAnsi="Times New Roman"/>
                      <w:szCs w:val="21"/>
                    </w:rPr>
                  </w:pPr>
                  <w:r>
                    <w:rPr>
                      <w:rFonts w:hint="eastAsia" w:ascii="Times New Roman" w:hAnsi="Times New Roman"/>
                      <w:szCs w:val="21"/>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3" w:type="pct"/>
                  <w:vAlign w:val="center"/>
                </w:tcPr>
                <w:p>
                  <w:pPr>
                    <w:snapToGrid w:val="0"/>
                    <w:jc w:val="center"/>
                    <w:rPr>
                      <w:szCs w:val="21"/>
                    </w:rPr>
                  </w:pPr>
                  <w:r>
                    <w:rPr>
                      <w:rFonts w:hint="eastAsia"/>
                      <w:szCs w:val="21"/>
                    </w:rPr>
                    <w:t>7</w:t>
                  </w:r>
                </w:p>
              </w:tc>
              <w:tc>
                <w:tcPr>
                  <w:tcW w:w="434" w:type="pct"/>
                  <w:vAlign w:val="center"/>
                </w:tcPr>
                <w:p>
                  <w:pPr>
                    <w:pStyle w:val="5"/>
                    <w:snapToGrid w:val="0"/>
                    <w:ind w:firstLine="0"/>
                    <w:jc w:val="center"/>
                    <w:rPr>
                      <w:rFonts w:ascii="Times New Roman" w:hAnsi="Times New Roman"/>
                      <w:szCs w:val="21"/>
                    </w:rPr>
                  </w:pPr>
                  <w:r>
                    <w:rPr>
                      <w:rFonts w:ascii="Times New Roman"/>
                      <w:szCs w:val="21"/>
                    </w:rPr>
                    <w:t>清洗废液</w:t>
                  </w:r>
                </w:p>
              </w:tc>
              <w:tc>
                <w:tcPr>
                  <w:tcW w:w="285" w:type="pct"/>
                  <w:vMerge w:val="continue"/>
                  <w:vAlign w:val="center"/>
                </w:tcPr>
                <w:p>
                  <w:pPr>
                    <w:snapToGrid w:val="0"/>
                    <w:jc w:val="center"/>
                    <w:rPr>
                      <w:szCs w:val="21"/>
                    </w:rPr>
                  </w:pPr>
                </w:p>
              </w:tc>
              <w:tc>
                <w:tcPr>
                  <w:tcW w:w="469" w:type="pct"/>
                  <w:vAlign w:val="center"/>
                </w:tcPr>
                <w:p>
                  <w:pPr>
                    <w:snapToGrid w:val="0"/>
                    <w:jc w:val="center"/>
                    <w:rPr>
                      <w:szCs w:val="21"/>
                    </w:rPr>
                  </w:pPr>
                  <w:r>
                    <w:rPr>
                      <w:szCs w:val="21"/>
                    </w:rPr>
                    <w:t>研磨清洗、水洗</w:t>
                  </w:r>
                </w:p>
              </w:tc>
              <w:tc>
                <w:tcPr>
                  <w:tcW w:w="355" w:type="pct"/>
                  <w:vAlign w:val="center"/>
                </w:tcPr>
                <w:p>
                  <w:pPr>
                    <w:snapToGrid w:val="0"/>
                    <w:jc w:val="center"/>
                    <w:rPr>
                      <w:szCs w:val="21"/>
                    </w:rPr>
                  </w:pPr>
                  <w:r>
                    <w:rPr>
                      <w:szCs w:val="21"/>
                    </w:rPr>
                    <w:t>液态</w:t>
                  </w:r>
                </w:p>
              </w:tc>
              <w:tc>
                <w:tcPr>
                  <w:tcW w:w="532" w:type="pct"/>
                  <w:vAlign w:val="center"/>
                </w:tcPr>
                <w:p>
                  <w:pPr>
                    <w:snapToGrid w:val="0"/>
                    <w:jc w:val="center"/>
                    <w:rPr>
                      <w:szCs w:val="21"/>
                    </w:rPr>
                  </w:pPr>
                  <w:r>
                    <w:rPr>
                      <w:szCs w:val="21"/>
                    </w:rPr>
                    <w:t>光亮剂、清洗剂、水</w:t>
                  </w:r>
                </w:p>
              </w:tc>
              <w:tc>
                <w:tcPr>
                  <w:tcW w:w="662" w:type="pct"/>
                  <w:vMerge w:val="continue"/>
                  <w:vAlign w:val="center"/>
                </w:tcPr>
                <w:p>
                  <w:pPr>
                    <w:pStyle w:val="5"/>
                    <w:snapToGrid w:val="0"/>
                    <w:ind w:firstLine="0"/>
                    <w:jc w:val="center"/>
                    <w:rPr>
                      <w:rFonts w:ascii="Times New Roman" w:hAnsi="Times New Roman"/>
                      <w:szCs w:val="21"/>
                    </w:rPr>
                  </w:pPr>
                </w:p>
              </w:tc>
              <w:tc>
                <w:tcPr>
                  <w:tcW w:w="411" w:type="pct"/>
                  <w:vAlign w:val="center"/>
                </w:tcPr>
                <w:p>
                  <w:pPr>
                    <w:pStyle w:val="5"/>
                    <w:snapToGrid w:val="0"/>
                    <w:ind w:firstLine="0"/>
                    <w:jc w:val="center"/>
                    <w:rPr>
                      <w:rFonts w:ascii="Times New Roman" w:hAnsi="Times New Roman"/>
                      <w:szCs w:val="21"/>
                    </w:rPr>
                  </w:pPr>
                  <w:r>
                    <w:rPr>
                      <w:rFonts w:ascii="Times New Roman" w:hAnsi="Times New Roman"/>
                      <w:szCs w:val="21"/>
                    </w:rPr>
                    <w:t>T</w:t>
                  </w:r>
                  <w:r>
                    <w:rPr>
                      <w:rFonts w:hint="eastAsia" w:ascii="Times New Roman"/>
                      <w:szCs w:val="21"/>
                    </w:rPr>
                    <w:t>/C</w:t>
                  </w:r>
                </w:p>
              </w:tc>
              <w:tc>
                <w:tcPr>
                  <w:tcW w:w="457" w:type="pct"/>
                  <w:vAlign w:val="center"/>
                </w:tcPr>
                <w:p>
                  <w:pPr>
                    <w:pStyle w:val="5"/>
                    <w:snapToGrid w:val="0"/>
                    <w:ind w:firstLine="0"/>
                    <w:jc w:val="center"/>
                    <w:rPr>
                      <w:rFonts w:ascii="Times New Roman" w:hAnsi="Times New Roman"/>
                      <w:szCs w:val="21"/>
                    </w:rPr>
                  </w:pPr>
                  <w:r>
                    <w:rPr>
                      <w:rFonts w:ascii="Times New Roman" w:hAnsi="Times New Roman"/>
                      <w:szCs w:val="21"/>
                    </w:rPr>
                    <w:t>HW</w:t>
                  </w:r>
                  <w:r>
                    <w:rPr>
                      <w:rFonts w:hint="eastAsia" w:ascii="Times New Roman" w:hAnsi="Times New Roman"/>
                      <w:szCs w:val="21"/>
                    </w:rPr>
                    <w:t>17</w:t>
                  </w:r>
                </w:p>
              </w:tc>
              <w:tc>
                <w:tcPr>
                  <w:tcW w:w="704" w:type="pct"/>
                  <w:vAlign w:val="center"/>
                </w:tcPr>
                <w:p>
                  <w:pPr>
                    <w:pStyle w:val="5"/>
                    <w:snapToGrid w:val="0"/>
                    <w:ind w:firstLine="0"/>
                    <w:jc w:val="center"/>
                    <w:rPr>
                      <w:rFonts w:ascii="Times New Roman" w:hAnsi="Times New Roman"/>
                      <w:szCs w:val="21"/>
                    </w:rPr>
                  </w:pPr>
                  <w:r>
                    <w:rPr>
                      <w:rFonts w:hint="eastAsia" w:ascii="Times New Roman" w:hAnsi="Times New Roman"/>
                      <w:szCs w:val="21"/>
                    </w:rPr>
                    <w:t>336-064-17</w:t>
                  </w:r>
                </w:p>
              </w:tc>
              <w:tc>
                <w:tcPr>
                  <w:tcW w:w="438" w:type="pct"/>
                  <w:vAlign w:val="center"/>
                </w:tcPr>
                <w:p>
                  <w:pPr>
                    <w:pStyle w:val="5"/>
                    <w:snapToGrid w:val="0"/>
                    <w:ind w:firstLine="0"/>
                    <w:jc w:val="center"/>
                    <w:rPr>
                      <w:rFonts w:ascii="Times New Roman" w:hAnsi="Times New Roman"/>
                      <w:szCs w:val="21"/>
                    </w:rPr>
                  </w:pPr>
                  <w:r>
                    <w:rPr>
                      <w:rFonts w:hint="eastAsia" w:ascii="Times New Roman" w:hAnsi="Times New Roman"/>
                      <w:szCs w:val="21"/>
                    </w:rPr>
                    <w:t>1.908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3" w:type="pct"/>
                  <w:vAlign w:val="center"/>
                </w:tcPr>
                <w:p>
                  <w:pPr>
                    <w:snapToGrid w:val="0"/>
                    <w:jc w:val="center"/>
                    <w:rPr>
                      <w:szCs w:val="21"/>
                    </w:rPr>
                  </w:pPr>
                  <w:r>
                    <w:rPr>
                      <w:rFonts w:hint="eastAsia"/>
                      <w:szCs w:val="21"/>
                    </w:rPr>
                    <w:t>8</w:t>
                  </w:r>
                </w:p>
              </w:tc>
              <w:tc>
                <w:tcPr>
                  <w:tcW w:w="434" w:type="pct"/>
                  <w:vAlign w:val="center"/>
                </w:tcPr>
                <w:p>
                  <w:pPr>
                    <w:pStyle w:val="5"/>
                    <w:snapToGrid w:val="0"/>
                    <w:ind w:firstLine="0"/>
                    <w:jc w:val="center"/>
                    <w:rPr>
                      <w:rFonts w:ascii="Times New Roman" w:hAnsi="Times New Roman"/>
                      <w:szCs w:val="21"/>
                    </w:rPr>
                  </w:pPr>
                  <w:r>
                    <w:rPr>
                      <w:rFonts w:ascii="Times New Roman"/>
                      <w:szCs w:val="21"/>
                    </w:rPr>
                    <w:t>含油抹布手套</w:t>
                  </w:r>
                </w:p>
              </w:tc>
              <w:tc>
                <w:tcPr>
                  <w:tcW w:w="285" w:type="pct"/>
                  <w:vMerge w:val="continue"/>
                  <w:vAlign w:val="center"/>
                </w:tcPr>
                <w:p>
                  <w:pPr>
                    <w:snapToGrid w:val="0"/>
                    <w:jc w:val="center"/>
                    <w:rPr>
                      <w:szCs w:val="21"/>
                    </w:rPr>
                  </w:pPr>
                </w:p>
              </w:tc>
              <w:tc>
                <w:tcPr>
                  <w:tcW w:w="469" w:type="pct"/>
                  <w:vAlign w:val="center"/>
                </w:tcPr>
                <w:p>
                  <w:pPr>
                    <w:snapToGrid w:val="0"/>
                    <w:jc w:val="center"/>
                    <w:rPr>
                      <w:szCs w:val="21"/>
                    </w:rPr>
                  </w:pPr>
                  <w:r>
                    <w:rPr>
                      <w:szCs w:val="21"/>
                    </w:rPr>
                    <w:t>全程</w:t>
                  </w:r>
                </w:p>
              </w:tc>
              <w:tc>
                <w:tcPr>
                  <w:tcW w:w="355" w:type="pct"/>
                  <w:vAlign w:val="center"/>
                </w:tcPr>
                <w:p>
                  <w:pPr>
                    <w:snapToGrid w:val="0"/>
                    <w:jc w:val="center"/>
                    <w:rPr>
                      <w:szCs w:val="21"/>
                    </w:rPr>
                  </w:pPr>
                  <w:r>
                    <w:rPr>
                      <w:szCs w:val="21"/>
                    </w:rPr>
                    <w:t>固态</w:t>
                  </w:r>
                </w:p>
              </w:tc>
              <w:tc>
                <w:tcPr>
                  <w:tcW w:w="532" w:type="pct"/>
                  <w:vAlign w:val="center"/>
                </w:tcPr>
                <w:p>
                  <w:pPr>
                    <w:snapToGrid w:val="0"/>
                    <w:jc w:val="center"/>
                    <w:rPr>
                      <w:szCs w:val="21"/>
                    </w:rPr>
                  </w:pPr>
                  <w:r>
                    <w:rPr>
                      <w:szCs w:val="21"/>
                    </w:rPr>
                    <w:t>劳保用品、油</w:t>
                  </w:r>
                </w:p>
              </w:tc>
              <w:tc>
                <w:tcPr>
                  <w:tcW w:w="662" w:type="pct"/>
                  <w:vMerge w:val="continue"/>
                  <w:vAlign w:val="center"/>
                </w:tcPr>
                <w:p>
                  <w:pPr>
                    <w:pStyle w:val="5"/>
                    <w:snapToGrid w:val="0"/>
                    <w:ind w:firstLine="0"/>
                    <w:jc w:val="center"/>
                    <w:rPr>
                      <w:rFonts w:ascii="Times New Roman" w:hAnsi="Times New Roman"/>
                      <w:szCs w:val="21"/>
                    </w:rPr>
                  </w:pPr>
                </w:p>
              </w:tc>
              <w:tc>
                <w:tcPr>
                  <w:tcW w:w="411" w:type="pct"/>
                  <w:vAlign w:val="center"/>
                </w:tcPr>
                <w:p>
                  <w:pPr>
                    <w:pStyle w:val="5"/>
                    <w:snapToGrid w:val="0"/>
                    <w:ind w:firstLine="0"/>
                    <w:jc w:val="center"/>
                    <w:rPr>
                      <w:rFonts w:ascii="Times New Roman" w:hAnsi="Times New Roman"/>
                      <w:szCs w:val="21"/>
                    </w:rPr>
                  </w:pPr>
                  <w:r>
                    <w:rPr>
                      <w:rFonts w:ascii="Times New Roman" w:hAnsi="Times New Roman"/>
                      <w:szCs w:val="21"/>
                    </w:rPr>
                    <w:t>T/In</w:t>
                  </w:r>
                </w:p>
              </w:tc>
              <w:tc>
                <w:tcPr>
                  <w:tcW w:w="457" w:type="pct"/>
                  <w:vAlign w:val="center"/>
                </w:tcPr>
                <w:p>
                  <w:pPr>
                    <w:pStyle w:val="5"/>
                    <w:snapToGrid w:val="0"/>
                    <w:ind w:firstLine="0"/>
                    <w:jc w:val="center"/>
                    <w:rPr>
                      <w:rFonts w:ascii="Times New Roman" w:hAnsi="Times New Roman"/>
                      <w:szCs w:val="21"/>
                    </w:rPr>
                  </w:pPr>
                  <w:r>
                    <w:rPr>
                      <w:rFonts w:ascii="Times New Roman" w:hAnsi="Times New Roman"/>
                      <w:szCs w:val="21"/>
                    </w:rPr>
                    <w:t>HW49</w:t>
                  </w:r>
                </w:p>
              </w:tc>
              <w:tc>
                <w:tcPr>
                  <w:tcW w:w="704" w:type="pct"/>
                  <w:vAlign w:val="center"/>
                </w:tcPr>
                <w:p>
                  <w:pPr>
                    <w:pStyle w:val="5"/>
                    <w:snapToGrid w:val="0"/>
                    <w:ind w:firstLine="0"/>
                    <w:jc w:val="center"/>
                    <w:rPr>
                      <w:rFonts w:ascii="Times New Roman" w:hAnsi="Times New Roman"/>
                      <w:szCs w:val="21"/>
                    </w:rPr>
                  </w:pPr>
                  <w:r>
                    <w:rPr>
                      <w:rFonts w:ascii="Times New Roman" w:hAnsi="Times New Roman"/>
                      <w:szCs w:val="21"/>
                    </w:rPr>
                    <w:t>900-041-49</w:t>
                  </w:r>
                </w:p>
              </w:tc>
              <w:tc>
                <w:tcPr>
                  <w:tcW w:w="438" w:type="pct"/>
                  <w:vAlign w:val="center"/>
                </w:tcPr>
                <w:p>
                  <w:pPr>
                    <w:pStyle w:val="5"/>
                    <w:snapToGrid w:val="0"/>
                    <w:ind w:firstLine="0"/>
                    <w:jc w:val="center"/>
                    <w:rPr>
                      <w:rFonts w:ascii="Times New Roman" w:hAnsi="Times New Roman"/>
                      <w:szCs w:val="21"/>
                    </w:rPr>
                  </w:pPr>
                  <w:r>
                    <w:rPr>
                      <w:rFonts w:ascii="Times New Roman" w:hAnsi="Times New Roman"/>
                      <w:szCs w:val="21"/>
                    </w:rPr>
                    <w:t>0.</w:t>
                  </w:r>
                  <w:r>
                    <w:rPr>
                      <w:rFonts w:hint="eastAsia" w:ascii="Times New Roman" w:hAnsi="Times New Roman"/>
                      <w:szCs w:val="21"/>
                    </w:rPr>
                    <w:t>05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53" w:type="pct"/>
                  <w:vAlign w:val="center"/>
                </w:tcPr>
                <w:p>
                  <w:pPr>
                    <w:snapToGrid w:val="0"/>
                    <w:jc w:val="center"/>
                    <w:rPr>
                      <w:szCs w:val="21"/>
                    </w:rPr>
                  </w:pPr>
                  <w:r>
                    <w:rPr>
                      <w:rFonts w:hint="eastAsia"/>
                      <w:szCs w:val="21"/>
                    </w:rPr>
                    <w:t>9</w:t>
                  </w:r>
                </w:p>
              </w:tc>
              <w:tc>
                <w:tcPr>
                  <w:tcW w:w="434" w:type="pct"/>
                  <w:vAlign w:val="center"/>
                </w:tcPr>
                <w:p>
                  <w:pPr>
                    <w:pStyle w:val="5"/>
                    <w:snapToGrid w:val="0"/>
                    <w:ind w:firstLine="0"/>
                    <w:jc w:val="center"/>
                    <w:rPr>
                      <w:rFonts w:ascii="Times New Roman" w:hAnsi="Times New Roman"/>
                      <w:szCs w:val="21"/>
                    </w:rPr>
                  </w:pPr>
                  <w:r>
                    <w:rPr>
                      <w:rFonts w:ascii="Times New Roman"/>
                      <w:szCs w:val="21"/>
                    </w:rPr>
                    <w:t>生活垃圾</w:t>
                  </w:r>
                </w:p>
              </w:tc>
              <w:tc>
                <w:tcPr>
                  <w:tcW w:w="285" w:type="pct"/>
                  <w:vAlign w:val="center"/>
                </w:tcPr>
                <w:p>
                  <w:pPr>
                    <w:snapToGrid w:val="0"/>
                    <w:jc w:val="center"/>
                    <w:rPr>
                      <w:szCs w:val="21"/>
                    </w:rPr>
                  </w:pPr>
                  <w:r>
                    <w:rPr>
                      <w:szCs w:val="21"/>
                    </w:rPr>
                    <w:t>生活垃圾</w:t>
                  </w:r>
                </w:p>
              </w:tc>
              <w:tc>
                <w:tcPr>
                  <w:tcW w:w="469" w:type="pct"/>
                  <w:vAlign w:val="center"/>
                </w:tcPr>
                <w:p>
                  <w:pPr>
                    <w:snapToGrid w:val="0"/>
                    <w:jc w:val="center"/>
                    <w:rPr>
                      <w:szCs w:val="21"/>
                    </w:rPr>
                  </w:pPr>
                  <w:r>
                    <w:rPr>
                      <w:szCs w:val="21"/>
                    </w:rPr>
                    <w:t>员工生活</w:t>
                  </w:r>
                </w:p>
              </w:tc>
              <w:tc>
                <w:tcPr>
                  <w:tcW w:w="355" w:type="pct"/>
                  <w:vAlign w:val="center"/>
                </w:tcPr>
                <w:p>
                  <w:pPr>
                    <w:snapToGrid w:val="0"/>
                    <w:jc w:val="center"/>
                    <w:rPr>
                      <w:szCs w:val="21"/>
                    </w:rPr>
                  </w:pPr>
                  <w:r>
                    <w:rPr>
                      <w:szCs w:val="21"/>
                    </w:rPr>
                    <w:t>固态</w:t>
                  </w:r>
                </w:p>
              </w:tc>
              <w:tc>
                <w:tcPr>
                  <w:tcW w:w="532" w:type="pct"/>
                  <w:vAlign w:val="center"/>
                </w:tcPr>
                <w:p>
                  <w:pPr>
                    <w:snapToGrid w:val="0"/>
                    <w:jc w:val="center"/>
                    <w:rPr>
                      <w:szCs w:val="21"/>
                    </w:rPr>
                  </w:pPr>
                  <w:r>
                    <w:rPr>
                      <w:rFonts w:hint="eastAsia"/>
                      <w:szCs w:val="21"/>
                    </w:rPr>
                    <w:t>生活垃圾</w:t>
                  </w:r>
                </w:p>
              </w:tc>
              <w:tc>
                <w:tcPr>
                  <w:tcW w:w="662" w:type="pct"/>
                  <w:vAlign w:val="center"/>
                </w:tcPr>
                <w:p>
                  <w:pPr>
                    <w:snapToGrid w:val="0"/>
                    <w:jc w:val="center"/>
                    <w:rPr>
                      <w:szCs w:val="21"/>
                    </w:rPr>
                  </w:pPr>
                  <w:r>
                    <w:rPr>
                      <w:szCs w:val="21"/>
                    </w:rPr>
                    <w:t>/</w:t>
                  </w:r>
                </w:p>
              </w:tc>
              <w:tc>
                <w:tcPr>
                  <w:tcW w:w="411" w:type="pct"/>
                  <w:vAlign w:val="center"/>
                </w:tcPr>
                <w:p>
                  <w:pPr>
                    <w:snapToGrid w:val="0"/>
                    <w:jc w:val="center"/>
                    <w:rPr>
                      <w:szCs w:val="21"/>
                    </w:rPr>
                  </w:pPr>
                  <w:r>
                    <w:rPr>
                      <w:szCs w:val="21"/>
                    </w:rPr>
                    <w:t>/</w:t>
                  </w:r>
                </w:p>
              </w:tc>
              <w:tc>
                <w:tcPr>
                  <w:tcW w:w="457" w:type="pct"/>
                  <w:vAlign w:val="center"/>
                </w:tcPr>
                <w:p>
                  <w:pPr>
                    <w:pStyle w:val="5"/>
                    <w:snapToGrid w:val="0"/>
                    <w:ind w:firstLine="0"/>
                    <w:jc w:val="center"/>
                    <w:rPr>
                      <w:rFonts w:ascii="Times New Roman" w:hAnsi="Times New Roman"/>
                      <w:szCs w:val="21"/>
                    </w:rPr>
                  </w:pPr>
                  <w:r>
                    <w:rPr>
                      <w:rFonts w:ascii="Times New Roman" w:hAnsi="Times New Roman"/>
                      <w:szCs w:val="21"/>
                    </w:rPr>
                    <w:t>/</w:t>
                  </w:r>
                </w:p>
              </w:tc>
              <w:tc>
                <w:tcPr>
                  <w:tcW w:w="704" w:type="pct"/>
                  <w:vAlign w:val="center"/>
                </w:tcPr>
                <w:p>
                  <w:pPr>
                    <w:pStyle w:val="5"/>
                    <w:snapToGrid w:val="0"/>
                    <w:ind w:firstLine="0"/>
                    <w:jc w:val="center"/>
                    <w:rPr>
                      <w:rFonts w:ascii="Times New Roman" w:hAnsi="Times New Roman"/>
                      <w:szCs w:val="21"/>
                    </w:rPr>
                  </w:pPr>
                  <w:r>
                    <w:rPr>
                      <w:rFonts w:ascii="Times New Roman" w:hAnsi="Times New Roman"/>
                      <w:szCs w:val="21"/>
                    </w:rPr>
                    <w:t>/</w:t>
                  </w:r>
                </w:p>
              </w:tc>
              <w:tc>
                <w:tcPr>
                  <w:tcW w:w="438" w:type="pct"/>
                  <w:vAlign w:val="center"/>
                </w:tcPr>
                <w:p>
                  <w:pPr>
                    <w:pStyle w:val="5"/>
                    <w:snapToGrid w:val="0"/>
                    <w:ind w:firstLine="0"/>
                    <w:jc w:val="center"/>
                    <w:rPr>
                      <w:rFonts w:ascii="Times New Roman" w:hAnsi="Times New Roman"/>
                      <w:szCs w:val="21"/>
                    </w:rPr>
                  </w:pPr>
                  <w:r>
                    <w:rPr>
                      <w:rFonts w:hint="eastAsia" w:ascii="Times New Roman" w:hAnsi="Times New Roman"/>
                      <w:szCs w:val="21"/>
                    </w:rPr>
                    <w:t>6</w:t>
                  </w:r>
                </w:p>
              </w:tc>
            </w:tr>
          </w:tbl>
          <w:p>
            <w:pPr>
              <w:adjustRightInd w:val="0"/>
              <w:snapToGrid w:val="0"/>
              <w:spacing w:line="360" w:lineRule="auto"/>
              <w:ind w:firstLine="482" w:firstLineChars="200"/>
              <w:rPr>
                <w:b/>
                <w:sz w:val="24"/>
              </w:rPr>
            </w:pPr>
            <w:r>
              <w:rPr>
                <w:rFonts w:hint="eastAsia"/>
                <w:b/>
                <w:sz w:val="24"/>
              </w:rPr>
              <w:t>（2</w:t>
            </w:r>
            <w:r>
              <w:rPr>
                <w:b/>
                <w:sz w:val="24"/>
              </w:rPr>
              <w:t>）防治措施</w:t>
            </w:r>
          </w:p>
          <w:p>
            <w:pPr>
              <w:adjustRightInd w:val="0"/>
              <w:snapToGrid w:val="0"/>
              <w:spacing w:line="360" w:lineRule="auto"/>
              <w:ind w:firstLine="480" w:firstLineChars="200"/>
              <w:rPr>
                <w:sz w:val="24"/>
              </w:rPr>
            </w:pPr>
            <w:r>
              <w:rPr>
                <w:sz w:val="24"/>
              </w:rPr>
              <w:t>一般固废：</w:t>
            </w:r>
            <w:r>
              <w:rPr>
                <w:rFonts w:hint="eastAsia"/>
                <w:sz w:val="24"/>
              </w:rPr>
              <w:t>边角料、不合格品、废滤芯（含收集粉尘）收集后外售综合利用；餐厨垃圾委托专业单位集中处理；</w:t>
            </w:r>
          </w:p>
          <w:p>
            <w:pPr>
              <w:adjustRightInd w:val="0"/>
              <w:snapToGrid w:val="0"/>
              <w:spacing w:line="360" w:lineRule="auto"/>
              <w:ind w:firstLine="480" w:firstLineChars="200"/>
              <w:rPr>
                <w:sz w:val="24"/>
              </w:rPr>
            </w:pPr>
            <w:r>
              <w:rPr>
                <w:rFonts w:hint="eastAsia"/>
                <w:sz w:val="24"/>
              </w:rPr>
              <w:t>危险废物：</w:t>
            </w:r>
            <w:r>
              <w:rPr>
                <w:sz w:val="24"/>
              </w:rPr>
              <w:t>废包装桶、废切削油</w:t>
            </w:r>
            <w:r>
              <w:rPr>
                <w:rFonts w:hint="eastAsia"/>
                <w:sz w:val="24"/>
              </w:rPr>
              <w:t>、清洗废液收集后委托有资质单位处置，</w:t>
            </w:r>
            <w:r>
              <w:rPr>
                <w:sz w:val="24"/>
              </w:rPr>
              <w:t>含油抹布手套</w:t>
            </w:r>
            <w:r>
              <w:rPr>
                <w:rFonts w:hint="eastAsia"/>
                <w:sz w:val="24"/>
              </w:rPr>
              <w:t>委托环卫清运；</w:t>
            </w:r>
          </w:p>
          <w:p>
            <w:pPr>
              <w:adjustRightInd w:val="0"/>
              <w:snapToGrid w:val="0"/>
              <w:spacing w:line="360" w:lineRule="auto"/>
              <w:ind w:firstLine="480" w:firstLineChars="200"/>
              <w:rPr>
                <w:sz w:val="24"/>
              </w:rPr>
            </w:pPr>
            <w:r>
              <w:rPr>
                <w:sz w:val="24"/>
              </w:rPr>
              <w:t>生活垃圾：由环卫部门统一清运。</w:t>
            </w:r>
          </w:p>
          <w:p>
            <w:pPr>
              <w:pStyle w:val="5"/>
              <w:spacing w:line="360" w:lineRule="auto"/>
              <w:ind w:firstLine="480" w:firstLineChars="200"/>
              <w:rPr>
                <w:sz w:val="24"/>
              </w:rPr>
            </w:pPr>
            <w:r>
              <w:rPr>
                <w:sz w:val="24"/>
              </w:rPr>
              <w:t>本项目在厂区内设置了一般固废堆场，</w:t>
            </w:r>
            <w:r>
              <w:rPr>
                <w:rFonts w:ascii="Times New Roman"/>
                <w:sz w:val="24"/>
              </w:rPr>
              <w:t>占地面积约为</w:t>
            </w:r>
            <w:r>
              <w:rPr>
                <w:rFonts w:ascii="Times New Roman" w:hAnsi="Times New Roman"/>
                <w:sz w:val="24"/>
              </w:rPr>
              <w:t>20m</w:t>
            </w:r>
            <w:r>
              <w:rPr>
                <w:rFonts w:ascii="Times New Roman" w:hAnsi="Times New Roman"/>
                <w:sz w:val="24"/>
                <w:vertAlign w:val="superscript"/>
              </w:rPr>
              <w:t>2</w:t>
            </w:r>
            <w:r>
              <w:rPr>
                <w:rFonts w:ascii="Times New Roman"/>
                <w:sz w:val="24"/>
              </w:rPr>
              <w:t>，危废仓库</w:t>
            </w:r>
            <w:r>
              <w:rPr>
                <w:rFonts w:ascii="Times New Roman" w:hAnsi="Times New Roman"/>
                <w:sz w:val="24"/>
              </w:rPr>
              <w:t>9m</w:t>
            </w:r>
            <w:r>
              <w:rPr>
                <w:rFonts w:ascii="Times New Roman" w:hAnsi="Times New Roman"/>
                <w:sz w:val="24"/>
                <w:vertAlign w:val="superscript"/>
              </w:rPr>
              <w:t>2</w:t>
            </w:r>
            <w:r>
              <w:rPr>
                <w:rFonts w:ascii="Times New Roman"/>
                <w:sz w:val="24"/>
              </w:rPr>
              <w:t>。</w:t>
            </w:r>
          </w:p>
          <w:p>
            <w:pPr>
              <w:adjustRightInd w:val="0"/>
              <w:snapToGrid w:val="0"/>
              <w:spacing w:line="360" w:lineRule="auto"/>
              <w:ind w:firstLine="480" w:firstLineChars="200"/>
              <w:rPr>
                <w:bCs/>
                <w:sz w:val="24"/>
              </w:rPr>
            </w:pPr>
            <w:r>
              <w:rPr>
                <w:bCs/>
                <w:sz w:val="24"/>
              </w:rPr>
              <w:t>根据《建设项目危险废物环境影响评价指南》（公告2017年第43号）要求，项目危险废物贮存场所基本情况详见下表。</w:t>
            </w:r>
          </w:p>
          <w:p>
            <w:pPr>
              <w:adjustRightInd w:val="0"/>
              <w:snapToGrid w:val="0"/>
              <w:jc w:val="center"/>
              <w:rPr>
                <w:b/>
                <w:sz w:val="24"/>
              </w:rPr>
            </w:pPr>
            <w:r>
              <w:rPr>
                <w:b/>
                <w:sz w:val="24"/>
              </w:rPr>
              <w:t>表4-</w:t>
            </w:r>
            <w:r>
              <w:rPr>
                <w:rFonts w:hint="eastAsia"/>
                <w:b/>
                <w:sz w:val="24"/>
              </w:rPr>
              <w:t>17</w:t>
            </w:r>
            <w:r>
              <w:rPr>
                <w:b/>
                <w:sz w:val="24"/>
              </w:rPr>
              <w:t xml:space="preserve"> 建设项目危险废物贮存场所（设施）基本情况表</w:t>
            </w:r>
          </w:p>
          <w:tbl>
            <w:tblPr>
              <w:tblStyle w:val="2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79" w:type="dxa"/>
                <w:bottom w:w="0" w:type="dxa"/>
                <w:right w:w="79" w:type="dxa"/>
              </w:tblCellMar>
            </w:tblPr>
            <w:tblGrid>
              <w:gridCol w:w="378"/>
              <w:gridCol w:w="991"/>
              <w:gridCol w:w="811"/>
              <w:gridCol w:w="880"/>
              <w:gridCol w:w="1069"/>
              <w:gridCol w:w="444"/>
              <w:gridCol w:w="775"/>
              <w:gridCol w:w="946"/>
              <w:gridCol w:w="880"/>
              <w:gridCol w:w="81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36" w:type="pct"/>
                  <w:tcBorders>
                    <w:tl2br w:val="nil"/>
                    <w:tr2bl w:val="nil"/>
                  </w:tcBorders>
                  <w:vAlign w:val="center"/>
                </w:tcPr>
                <w:p>
                  <w:pPr>
                    <w:jc w:val="center"/>
                    <w:rPr>
                      <w:b/>
                      <w:bCs/>
                      <w:kern w:val="0"/>
                      <w:szCs w:val="21"/>
                    </w:rPr>
                  </w:pPr>
                  <w:r>
                    <w:rPr>
                      <w:b/>
                      <w:bCs/>
                      <w:kern w:val="0"/>
                      <w:szCs w:val="21"/>
                    </w:rPr>
                    <w:t>序号</w:t>
                  </w:r>
                </w:p>
              </w:tc>
              <w:tc>
                <w:tcPr>
                  <w:tcW w:w="620" w:type="pct"/>
                  <w:tcBorders>
                    <w:tl2br w:val="nil"/>
                    <w:tr2bl w:val="nil"/>
                  </w:tcBorders>
                  <w:vAlign w:val="center"/>
                </w:tcPr>
                <w:p>
                  <w:pPr>
                    <w:jc w:val="center"/>
                    <w:rPr>
                      <w:b/>
                      <w:bCs/>
                      <w:kern w:val="0"/>
                      <w:szCs w:val="21"/>
                    </w:rPr>
                  </w:pPr>
                  <w:r>
                    <w:rPr>
                      <w:b/>
                      <w:bCs/>
                      <w:kern w:val="0"/>
                      <w:szCs w:val="21"/>
                    </w:rPr>
                    <w:t>贮存场所(设施)名称</w:t>
                  </w:r>
                </w:p>
              </w:tc>
              <w:tc>
                <w:tcPr>
                  <w:tcW w:w="507" w:type="pct"/>
                  <w:tcBorders>
                    <w:tl2br w:val="nil"/>
                    <w:tr2bl w:val="nil"/>
                  </w:tcBorders>
                  <w:vAlign w:val="center"/>
                </w:tcPr>
                <w:p>
                  <w:pPr>
                    <w:jc w:val="center"/>
                    <w:rPr>
                      <w:b/>
                      <w:bCs/>
                      <w:kern w:val="0"/>
                      <w:szCs w:val="21"/>
                    </w:rPr>
                  </w:pPr>
                  <w:r>
                    <w:rPr>
                      <w:b/>
                      <w:bCs/>
                      <w:kern w:val="0"/>
                      <w:szCs w:val="21"/>
                    </w:rPr>
                    <w:t>危险废物名称</w:t>
                  </w:r>
                </w:p>
              </w:tc>
              <w:tc>
                <w:tcPr>
                  <w:tcW w:w="551" w:type="pct"/>
                  <w:tcBorders>
                    <w:tl2br w:val="nil"/>
                    <w:tr2bl w:val="nil"/>
                  </w:tcBorders>
                  <w:vAlign w:val="center"/>
                </w:tcPr>
                <w:p>
                  <w:pPr>
                    <w:jc w:val="center"/>
                    <w:rPr>
                      <w:b/>
                      <w:bCs/>
                      <w:kern w:val="0"/>
                      <w:szCs w:val="21"/>
                    </w:rPr>
                  </w:pPr>
                  <w:r>
                    <w:rPr>
                      <w:b/>
                      <w:bCs/>
                      <w:kern w:val="0"/>
                      <w:szCs w:val="21"/>
                    </w:rPr>
                    <w:t>危险废物类别</w:t>
                  </w:r>
                </w:p>
              </w:tc>
              <w:tc>
                <w:tcPr>
                  <w:tcW w:w="669" w:type="pct"/>
                  <w:tcBorders>
                    <w:tl2br w:val="nil"/>
                    <w:tr2bl w:val="nil"/>
                  </w:tcBorders>
                  <w:vAlign w:val="center"/>
                </w:tcPr>
                <w:p>
                  <w:pPr>
                    <w:jc w:val="center"/>
                    <w:rPr>
                      <w:b/>
                      <w:bCs/>
                      <w:kern w:val="0"/>
                      <w:szCs w:val="21"/>
                    </w:rPr>
                  </w:pPr>
                  <w:r>
                    <w:rPr>
                      <w:b/>
                      <w:bCs/>
                      <w:kern w:val="0"/>
                      <w:szCs w:val="21"/>
                    </w:rPr>
                    <w:t>危险废物代码</w:t>
                  </w:r>
                </w:p>
              </w:tc>
              <w:tc>
                <w:tcPr>
                  <w:tcW w:w="278" w:type="pct"/>
                  <w:tcBorders>
                    <w:tl2br w:val="nil"/>
                    <w:tr2bl w:val="nil"/>
                  </w:tcBorders>
                  <w:vAlign w:val="center"/>
                </w:tcPr>
                <w:p>
                  <w:pPr>
                    <w:jc w:val="center"/>
                    <w:rPr>
                      <w:b/>
                      <w:bCs/>
                      <w:kern w:val="0"/>
                      <w:szCs w:val="21"/>
                    </w:rPr>
                  </w:pPr>
                  <w:r>
                    <w:rPr>
                      <w:b/>
                      <w:bCs/>
                      <w:kern w:val="0"/>
                      <w:szCs w:val="21"/>
                    </w:rPr>
                    <w:t>位置</w:t>
                  </w:r>
                </w:p>
              </w:tc>
              <w:tc>
                <w:tcPr>
                  <w:tcW w:w="485" w:type="pct"/>
                  <w:tcBorders>
                    <w:tl2br w:val="nil"/>
                    <w:tr2bl w:val="nil"/>
                  </w:tcBorders>
                  <w:vAlign w:val="center"/>
                </w:tcPr>
                <w:p>
                  <w:pPr>
                    <w:pStyle w:val="86"/>
                    <w:rPr>
                      <w:b/>
                      <w:bCs/>
                      <w:sz w:val="21"/>
                      <w:szCs w:val="21"/>
                    </w:rPr>
                  </w:pPr>
                  <w:r>
                    <w:rPr>
                      <w:b/>
                      <w:bCs/>
                      <w:sz w:val="21"/>
                      <w:szCs w:val="21"/>
                    </w:rPr>
                    <w:t>占地面积（m</w:t>
                  </w:r>
                  <w:r>
                    <w:rPr>
                      <w:b/>
                      <w:bCs/>
                      <w:sz w:val="21"/>
                      <w:szCs w:val="21"/>
                      <w:vertAlign w:val="superscript"/>
                    </w:rPr>
                    <w:t>2</w:t>
                  </w:r>
                  <w:r>
                    <w:rPr>
                      <w:b/>
                      <w:bCs/>
                      <w:sz w:val="21"/>
                      <w:szCs w:val="21"/>
                    </w:rPr>
                    <w:t>）</w:t>
                  </w:r>
                </w:p>
              </w:tc>
              <w:tc>
                <w:tcPr>
                  <w:tcW w:w="592" w:type="pct"/>
                  <w:tcBorders>
                    <w:tl2br w:val="nil"/>
                    <w:tr2bl w:val="nil"/>
                  </w:tcBorders>
                  <w:vAlign w:val="center"/>
                </w:tcPr>
                <w:p>
                  <w:pPr>
                    <w:pStyle w:val="86"/>
                    <w:rPr>
                      <w:b/>
                      <w:bCs/>
                      <w:sz w:val="21"/>
                      <w:szCs w:val="21"/>
                    </w:rPr>
                  </w:pPr>
                  <w:r>
                    <w:rPr>
                      <w:b/>
                      <w:bCs/>
                      <w:sz w:val="21"/>
                      <w:szCs w:val="21"/>
                    </w:rPr>
                    <w:t>贮存方式</w:t>
                  </w:r>
                </w:p>
              </w:tc>
              <w:tc>
                <w:tcPr>
                  <w:tcW w:w="551" w:type="pct"/>
                  <w:tcBorders>
                    <w:tl2br w:val="nil"/>
                    <w:tr2bl w:val="nil"/>
                  </w:tcBorders>
                  <w:vAlign w:val="center"/>
                </w:tcPr>
                <w:p>
                  <w:pPr>
                    <w:pStyle w:val="86"/>
                    <w:rPr>
                      <w:b/>
                      <w:bCs/>
                      <w:sz w:val="21"/>
                      <w:szCs w:val="21"/>
                    </w:rPr>
                  </w:pPr>
                  <w:r>
                    <w:rPr>
                      <w:b/>
                      <w:bCs/>
                      <w:sz w:val="21"/>
                      <w:szCs w:val="21"/>
                    </w:rPr>
                    <w:t>贮存</w:t>
                  </w:r>
                </w:p>
                <w:p>
                  <w:pPr>
                    <w:pStyle w:val="86"/>
                    <w:rPr>
                      <w:b/>
                      <w:bCs/>
                      <w:sz w:val="21"/>
                      <w:szCs w:val="21"/>
                    </w:rPr>
                  </w:pPr>
                  <w:r>
                    <w:rPr>
                      <w:b/>
                      <w:bCs/>
                      <w:sz w:val="21"/>
                      <w:szCs w:val="21"/>
                    </w:rPr>
                    <w:t>能力（t）</w:t>
                  </w:r>
                </w:p>
              </w:tc>
              <w:tc>
                <w:tcPr>
                  <w:tcW w:w="509" w:type="pct"/>
                  <w:tcBorders>
                    <w:tl2br w:val="nil"/>
                    <w:tr2bl w:val="nil"/>
                  </w:tcBorders>
                  <w:vAlign w:val="center"/>
                </w:tcPr>
                <w:p>
                  <w:pPr>
                    <w:pStyle w:val="86"/>
                    <w:rPr>
                      <w:b/>
                      <w:bCs/>
                      <w:sz w:val="21"/>
                      <w:szCs w:val="21"/>
                    </w:rPr>
                  </w:pPr>
                  <w:r>
                    <w:rPr>
                      <w:b/>
                      <w:bCs/>
                      <w:sz w:val="21"/>
                      <w:szCs w:val="21"/>
                    </w:rPr>
                    <w:t>贮存</w:t>
                  </w:r>
                </w:p>
                <w:p>
                  <w:pPr>
                    <w:pStyle w:val="86"/>
                    <w:rPr>
                      <w:b/>
                      <w:bCs/>
                      <w:sz w:val="21"/>
                      <w:szCs w:val="21"/>
                    </w:rPr>
                  </w:pPr>
                  <w:r>
                    <w:rPr>
                      <w:b/>
                      <w:bCs/>
                      <w:sz w:val="21"/>
                      <w:szCs w:val="21"/>
                    </w:rPr>
                    <w:t>周期</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36" w:type="pct"/>
                  <w:tcBorders>
                    <w:tl2br w:val="nil"/>
                    <w:tr2bl w:val="nil"/>
                  </w:tcBorders>
                  <w:vAlign w:val="center"/>
                </w:tcPr>
                <w:p>
                  <w:pPr>
                    <w:jc w:val="center"/>
                    <w:rPr>
                      <w:kern w:val="0"/>
                      <w:szCs w:val="21"/>
                    </w:rPr>
                  </w:pPr>
                  <w:r>
                    <w:rPr>
                      <w:kern w:val="0"/>
                      <w:szCs w:val="21"/>
                    </w:rPr>
                    <w:t>1</w:t>
                  </w:r>
                </w:p>
              </w:tc>
              <w:tc>
                <w:tcPr>
                  <w:tcW w:w="620" w:type="pct"/>
                  <w:vMerge w:val="restart"/>
                  <w:tcBorders>
                    <w:tl2br w:val="nil"/>
                    <w:tr2bl w:val="nil"/>
                  </w:tcBorders>
                  <w:vAlign w:val="center"/>
                </w:tcPr>
                <w:p>
                  <w:pPr>
                    <w:jc w:val="center"/>
                    <w:rPr>
                      <w:kern w:val="0"/>
                      <w:szCs w:val="21"/>
                    </w:rPr>
                  </w:pPr>
                  <w:r>
                    <w:rPr>
                      <w:kern w:val="0"/>
                      <w:szCs w:val="21"/>
                    </w:rPr>
                    <w:t>危废</w:t>
                  </w:r>
                </w:p>
                <w:p>
                  <w:pPr>
                    <w:jc w:val="center"/>
                    <w:rPr>
                      <w:kern w:val="0"/>
                      <w:szCs w:val="21"/>
                    </w:rPr>
                  </w:pPr>
                  <w:r>
                    <w:rPr>
                      <w:kern w:val="0"/>
                      <w:szCs w:val="21"/>
                    </w:rPr>
                    <w:t>堆场</w:t>
                  </w:r>
                </w:p>
              </w:tc>
              <w:tc>
                <w:tcPr>
                  <w:tcW w:w="507" w:type="pct"/>
                  <w:tcBorders>
                    <w:tl2br w:val="nil"/>
                    <w:tr2bl w:val="nil"/>
                  </w:tcBorders>
                  <w:vAlign w:val="center"/>
                </w:tcPr>
                <w:p>
                  <w:pPr>
                    <w:jc w:val="center"/>
                    <w:rPr>
                      <w:kern w:val="0"/>
                      <w:szCs w:val="21"/>
                    </w:rPr>
                  </w:pPr>
                  <w:r>
                    <w:rPr>
                      <w:kern w:val="0"/>
                      <w:szCs w:val="21"/>
                    </w:rPr>
                    <w:t>废包装桶</w:t>
                  </w:r>
                </w:p>
              </w:tc>
              <w:tc>
                <w:tcPr>
                  <w:tcW w:w="551" w:type="pct"/>
                  <w:tcBorders>
                    <w:tl2br w:val="nil"/>
                    <w:tr2bl w:val="nil"/>
                  </w:tcBorders>
                  <w:vAlign w:val="center"/>
                </w:tcPr>
                <w:p>
                  <w:pPr>
                    <w:jc w:val="center"/>
                    <w:rPr>
                      <w:kern w:val="0"/>
                      <w:szCs w:val="21"/>
                    </w:rPr>
                  </w:pPr>
                  <w:r>
                    <w:rPr>
                      <w:kern w:val="0"/>
                      <w:szCs w:val="21"/>
                    </w:rPr>
                    <w:t>HW49</w:t>
                  </w:r>
                </w:p>
              </w:tc>
              <w:tc>
                <w:tcPr>
                  <w:tcW w:w="669" w:type="pct"/>
                  <w:tcBorders>
                    <w:tl2br w:val="nil"/>
                    <w:tr2bl w:val="nil"/>
                  </w:tcBorders>
                  <w:vAlign w:val="center"/>
                </w:tcPr>
                <w:p>
                  <w:pPr>
                    <w:jc w:val="center"/>
                    <w:rPr>
                      <w:kern w:val="0"/>
                      <w:szCs w:val="21"/>
                    </w:rPr>
                  </w:pPr>
                  <w:r>
                    <w:rPr>
                      <w:kern w:val="0"/>
                      <w:szCs w:val="21"/>
                    </w:rPr>
                    <w:t>900-041-49</w:t>
                  </w:r>
                </w:p>
              </w:tc>
              <w:tc>
                <w:tcPr>
                  <w:tcW w:w="278" w:type="pct"/>
                  <w:vMerge w:val="restart"/>
                  <w:tcBorders>
                    <w:tl2br w:val="nil"/>
                    <w:tr2bl w:val="nil"/>
                  </w:tcBorders>
                  <w:vAlign w:val="center"/>
                </w:tcPr>
                <w:p>
                  <w:pPr>
                    <w:jc w:val="center"/>
                    <w:rPr>
                      <w:kern w:val="0"/>
                      <w:szCs w:val="21"/>
                    </w:rPr>
                  </w:pPr>
                  <w:r>
                    <w:rPr>
                      <w:kern w:val="0"/>
                      <w:szCs w:val="21"/>
                    </w:rPr>
                    <w:t>车间</w:t>
                  </w:r>
                  <w:r>
                    <w:rPr>
                      <w:rFonts w:hint="eastAsia"/>
                      <w:kern w:val="0"/>
                      <w:szCs w:val="21"/>
                    </w:rPr>
                    <w:t>北</w:t>
                  </w:r>
                  <w:r>
                    <w:rPr>
                      <w:kern w:val="0"/>
                      <w:szCs w:val="21"/>
                    </w:rPr>
                    <w:t>侧</w:t>
                  </w:r>
                </w:p>
              </w:tc>
              <w:tc>
                <w:tcPr>
                  <w:tcW w:w="485" w:type="pct"/>
                  <w:vMerge w:val="restart"/>
                  <w:tcBorders>
                    <w:tl2br w:val="nil"/>
                    <w:tr2bl w:val="nil"/>
                  </w:tcBorders>
                  <w:vAlign w:val="center"/>
                </w:tcPr>
                <w:p>
                  <w:pPr>
                    <w:jc w:val="center"/>
                    <w:rPr>
                      <w:kern w:val="0"/>
                      <w:szCs w:val="21"/>
                    </w:rPr>
                  </w:pPr>
                  <w:r>
                    <w:rPr>
                      <w:rFonts w:hint="eastAsia"/>
                      <w:kern w:val="0"/>
                      <w:szCs w:val="21"/>
                    </w:rPr>
                    <w:t>9</w:t>
                  </w:r>
                </w:p>
              </w:tc>
              <w:tc>
                <w:tcPr>
                  <w:tcW w:w="592" w:type="pct"/>
                  <w:tcBorders>
                    <w:tl2br w:val="nil"/>
                    <w:tr2bl w:val="nil"/>
                  </w:tcBorders>
                  <w:vAlign w:val="center"/>
                </w:tcPr>
                <w:p>
                  <w:pPr>
                    <w:jc w:val="center"/>
                    <w:rPr>
                      <w:kern w:val="0"/>
                      <w:szCs w:val="21"/>
                    </w:rPr>
                  </w:pPr>
                  <w:r>
                    <w:rPr>
                      <w:kern w:val="0"/>
                      <w:szCs w:val="21"/>
                    </w:rPr>
                    <w:t>贴上标签，密封，分区放置</w:t>
                  </w:r>
                </w:p>
              </w:tc>
              <w:tc>
                <w:tcPr>
                  <w:tcW w:w="551" w:type="pct"/>
                  <w:tcBorders>
                    <w:tl2br w:val="nil"/>
                    <w:tr2bl w:val="nil"/>
                  </w:tcBorders>
                  <w:vAlign w:val="center"/>
                </w:tcPr>
                <w:p>
                  <w:pPr>
                    <w:jc w:val="center"/>
                    <w:rPr>
                      <w:kern w:val="0"/>
                      <w:szCs w:val="21"/>
                    </w:rPr>
                  </w:pPr>
                  <w:r>
                    <w:rPr>
                      <w:rFonts w:hint="eastAsia"/>
                      <w:kern w:val="0"/>
                      <w:szCs w:val="21"/>
                    </w:rPr>
                    <w:t>0.0625</w:t>
                  </w:r>
                </w:p>
              </w:tc>
              <w:tc>
                <w:tcPr>
                  <w:tcW w:w="509" w:type="pct"/>
                  <w:tcBorders>
                    <w:tl2br w:val="nil"/>
                    <w:tr2bl w:val="nil"/>
                  </w:tcBorders>
                  <w:vAlign w:val="center"/>
                </w:tcPr>
                <w:p>
                  <w:pPr>
                    <w:jc w:val="center"/>
                    <w:rPr>
                      <w:kern w:val="0"/>
                      <w:szCs w:val="21"/>
                    </w:rPr>
                  </w:pPr>
                  <w:r>
                    <w:rPr>
                      <w:rFonts w:hint="eastAsia"/>
                      <w:kern w:val="0"/>
                      <w:szCs w:val="21"/>
                    </w:rPr>
                    <w:t>3个月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79" w:type="dxa"/>
                  <w:bottom w:w="0" w:type="dxa"/>
                  <w:right w:w="79" w:type="dxa"/>
                </w:tblCellMar>
              </w:tblPrEx>
              <w:trPr>
                <w:trHeight w:val="340" w:hRule="atLeast"/>
                <w:jc w:val="center"/>
              </w:trPr>
              <w:tc>
                <w:tcPr>
                  <w:tcW w:w="236" w:type="pct"/>
                  <w:tcBorders>
                    <w:tl2br w:val="nil"/>
                    <w:tr2bl w:val="nil"/>
                  </w:tcBorders>
                  <w:vAlign w:val="center"/>
                </w:tcPr>
                <w:p>
                  <w:pPr>
                    <w:jc w:val="center"/>
                    <w:rPr>
                      <w:kern w:val="0"/>
                      <w:szCs w:val="21"/>
                    </w:rPr>
                  </w:pPr>
                  <w:r>
                    <w:rPr>
                      <w:kern w:val="0"/>
                      <w:szCs w:val="21"/>
                    </w:rPr>
                    <w:t>2</w:t>
                  </w:r>
                </w:p>
              </w:tc>
              <w:tc>
                <w:tcPr>
                  <w:tcW w:w="620" w:type="pct"/>
                  <w:vMerge w:val="continue"/>
                  <w:tcBorders>
                    <w:tl2br w:val="nil"/>
                    <w:tr2bl w:val="nil"/>
                  </w:tcBorders>
                  <w:vAlign w:val="center"/>
                </w:tcPr>
                <w:p>
                  <w:pPr>
                    <w:jc w:val="center"/>
                    <w:rPr>
                      <w:kern w:val="0"/>
                      <w:szCs w:val="21"/>
                    </w:rPr>
                  </w:pPr>
                </w:p>
              </w:tc>
              <w:tc>
                <w:tcPr>
                  <w:tcW w:w="507" w:type="pct"/>
                  <w:tcBorders>
                    <w:tl2br w:val="nil"/>
                    <w:tr2bl w:val="nil"/>
                  </w:tcBorders>
                  <w:vAlign w:val="center"/>
                </w:tcPr>
                <w:p>
                  <w:pPr>
                    <w:jc w:val="center"/>
                    <w:rPr>
                      <w:kern w:val="0"/>
                      <w:szCs w:val="21"/>
                    </w:rPr>
                  </w:pPr>
                  <w:r>
                    <w:rPr>
                      <w:kern w:val="0"/>
                      <w:szCs w:val="21"/>
                    </w:rPr>
                    <w:t>废切削油</w:t>
                  </w:r>
                </w:p>
              </w:tc>
              <w:tc>
                <w:tcPr>
                  <w:tcW w:w="551" w:type="pct"/>
                  <w:tcBorders>
                    <w:tl2br w:val="nil"/>
                    <w:tr2bl w:val="nil"/>
                  </w:tcBorders>
                  <w:vAlign w:val="center"/>
                </w:tcPr>
                <w:p>
                  <w:pPr>
                    <w:jc w:val="center"/>
                    <w:rPr>
                      <w:kern w:val="0"/>
                      <w:szCs w:val="21"/>
                    </w:rPr>
                  </w:pPr>
                  <w:r>
                    <w:rPr>
                      <w:kern w:val="0"/>
                      <w:szCs w:val="21"/>
                    </w:rPr>
                    <w:t>HW0</w:t>
                  </w:r>
                  <w:r>
                    <w:rPr>
                      <w:rFonts w:hint="eastAsia"/>
                      <w:kern w:val="0"/>
                      <w:szCs w:val="21"/>
                    </w:rPr>
                    <w:t>8</w:t>
                  </w:r>
                </w:p>
              </w:tc>
              <w:tc>
                <w:tcPr>
                  <w:tcW w:w="669" w:type="pct"/>
                  <w:tcBorders>
                    <w:tl2br w:val="nil"/>
                    <w:tr2bl w:val="nil"/>
                  </w:tcBorders>
                  <w:vAlign w:val="center"/>
                </w:tcPr>
                <w:p>
                  <w:pPr>
                    <w:jc w:val="center"/>
                    <w:rPr>
                      <w:kern w:val="0"/>
                      <w:szCs w:val="21"/>
                    </w:rPr>
                  </w:pPr>
                  <w:r>
                    <w:rPr>
                      <w:kern w:val="0"/>
                      <w:szCs w:val="21"/>
                    </w:rPr>
                    <w:t>900-</w:t>
                  </w:r>
                  <w:r>
                    <w:rPr>
                      <w:rFonts w:hint="eastAsia"/>
                      <w:kern w:val="0"/>
                      <w:szCs w:val="21"/>
                    </w:rPr>
                    <w:t>249</w:t>
                  </w:r>
                  <w:r>
                    <w:rPr>
                      <w:kern w:val="0"/>
                      <w:szCs w:val="21"/>
                    </w:rPr>
                    <w:t>-0</w:t>
                  </w:r>
                  <w:r>
                    <w:rPr>
                      <w:rFonts w:hint="eastAsia"/>
                      <w:kern w:val="0"/>
                      <w:szCs w:val="21"/>
                    </w:rPr>
                    <w:t>8</w:t>
                  </w:r>
                </w:p>
              </w:tc>
              <w:tc>
                <w:tcPr>
                  <w:tcW w:w="278" w:type="pct"/>
                  <w:vMerge w:val="continue"/>
                  <w:tcBorders>
                    <w:tl2br w:val="nil"/>
                    <w:tr2bl w:val="nil"/>
                  </w:tcBorders>
                  <w:vAlign w:val="center"/>
                </w:tcPr>
                <w:p>
                  <w:pPr>
                    <w:jc w:val="center"/>
                    <w:rPr>
                      <w:kern w:val="0"/>
                      <w:szCs w:val="21"/>
                    </w:rPr>
                  </w:pPr>
                </w:p>
              </w:tc>
              <w:tc>
                <w:tcPr>
                  <w:tcW w:w="485" w:type="pct"/>
                  <w:vMerge w:val="continue"/>
                  <w:tcBorders>
                    <w:tl2br w:val="nil"/>
                    <w:tr2bl w:val="nil"/>
                  </w:tcBorders>
                  <w:vAlign w:val="center"/>
                </w:tcPr>
                <w:p>
                  <w:pPr>
                    <w:jc w:val="center"/>
                    <w:rPr>
                      <w:kern w:val="0"/>
                      <w:szCs w:val="21"/>
                    </w:rPr>
                  </w:pPr>
                </w:p>
              </w:tc>
              <w:tc>
                <w:tcPr>
                  <w:tcW w:w="592" w:type="pct"/>
                  <w:vMerge w:val="restart"/>
                  <w:tcBorders>
                    <w:tl2br w:val="nil"/>
                    <w:tr2bl w:val="nil"/>
                  </w:tcBorders>
                  <w:vAlign w:val="center"/>
                </w:tcPr>
                <w:p>
                  <w:pPr>
                    <w:jc w:val="center"/>
                    <w:rPr>
                      <w:kern w:val="0"/>
                      <w:szCs w:val="21"/>
                    </w:rPr>
                  </w:pPr>
                  <w:r>
                    <w:rPr>
                      <w:kern w:val="0"/>
                      <w:szCs w:val="21"/>
                    </w:rPr>
                    <w:t>贴上标签，密封桶装，分区放置</w:t>
                  </w:r>
                </w:p>
              </w:tc>
              <w:tc>
                <w:tcPr>
                  <w:tcW w:w="551" w:type="pct"/>
                  <w:tcBorders>
                    <w:tl2br w:val="nil"/>
                    <w:tr2bl w:val="nil"/>
                  </w:tcBorders>
                  <w:vAlign w:val="center"/>
                </w:tcPr>
                <w:p>
                  <w:pPr>
                    <w:jc w:val="center"/>
                    <w:rPr>
                      <w:kern w:val="0"/>
                      <w:szCs w:val="21"/>
                    </w:rPr>
                  </w:pPr>
                  <w:r>
                    <w:rPr>
                      <w:rFonts w:hint="eastAsia"/>
                      <w:kern w:val="0"/>
                      <w:szCs w:val="21"/>
                    </w:rPr>
                    <w:t>0.05</w:t>
                  </w:r>
                </w:p>
              </w:tc>
              <w:tc>
                <w:tcPr>
                  <w:tcW w:w="509" w:type="pct"/>
                  <w:tcBorders>
                    <w:tl2br w:val="nil"/>
                    <w:tr2bl w:val="nil"/>
                  </w:tcBorders>
                  <w:vAlign w:val="center"/>
                </w:tcPr>
                <w:p>
                  <w:pPr>
                    <w:jc w:val="center"/>
                    <w:rPr>
                      <w:kern w:val="0"/>
                      <w:szCs w:val="21"/>
                    </w:rPr>
                  </w:pPr>
                  <w:r>
                    <w:rPr>
                      <w:rFonts w:hint="eastAsia"/>
                      <w:kern w:val="0"/>
                      <w:szCs w:val="21"/>
                    </w:rPr>
                    <w:t>3个月</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236" w:type="pct"/>
                  <w:tcBorders>
                    <w:tl2br w:val="nil"/>
                    <w:tr2bl w:val="nil"/>
                  </w:tcBorders>
                  <w:vAlign w:val="center"/>
                </w:tcPr>
                <w:p>
                  <w:pPr>
                    <w:jc w:val="center"/>
                    <w:rPr>
                      <w:kern w:val="0"/>
                      <w:szCs w:val="21"/>
                    </w:rPr>
                  </w:pPr>
                  <w:r>
                    <w:rPr>
                      <w:kern w:val="0"/>
                      <w:szCs w:val="21"/>
                    </w:rPr>
                    <w:t>3</w:t>
                  </w:r>
                </w:p>
              </w:tc>
              <w:tc>
                <w:tcPr>
                  <w:tcW w:w="620" w:type="pct"/>
                  <w:vMerge w:val="continue"/>
                  <w:tcBorders>
                    <w:tl2br w:val="nil"/>
                    <w:tr2bl w:val="nil"/>
                  </w:tcBorders>
                  <w:vAlign w:val="center"/>
                </w:tcPr>
                <w:p>
                  <w:pPr>
                    <w:jc w:val="center"/>
                    <w:rPr>
                      <w:kern w:val="0"/>
                      <w:szCs w:val="21"/>
                    </w:rPr>
                  </w:pPr>
                </w:p>
              </w:tc>
              <w:tc>
                <w:tcPr>
                  <w:tcW w:w="507" w:type="pct"/>
                  <w:tcBorders>
                    <w:tl2br w:val="nil"/>
                    <w:tr2bl w:val="nil"/>
                  </w:tcBorders>
                  <w:vAlign w:val="center"/>
                </w:tcPr>
                <w:p>
                  <w:pPr>
                    <w:jc w:val="center"/>
                    <w:rPr>
                      <w:kern w:val="0"/>
                      <w:szCs w:val="21"/>
                    </w:rPr>
                  </w:pPr>
                  <w:r>
                    <w:rPr>
                      <w:szCs w:val="21"/>
                    </w:rPr>
                    <w:t>清洗废液</w:t>
                  </w:r>
                </w:p>
              </w:tc>
              <w:tc>
                <w:tcPr>
                  <w:tcW w:w="551" w:type="pct"/>
                  <w:tcBorders>
                    <w:tl2br w:val="nil"/>
                    <w:tr2bl w:val="nil"/>
                  </w:tcBorders>
                  <w:vAlign w:val="center"/>
                </w:tcPr>
                <w:p>
                  <w:pPr>
                    <w:pStyle w:val="5"/>
                    <w:snapToGrid w:val="0"/>
                    <w:ind w:firstLine="0"/>
                    <w:jc w:val="center"/>
                    <w:rPr>
                      <w:rFonts w:ascii="Times New Roman" w:hAnsi="Times New Roman"/>
                      <w:szCs w:val="21"/>
                    </w:rPr>
                  </w:pPr>
                  <w:r>
                    <w:rPr>
                      <w:rFonts w:ascii="Times New Roman" w:hAnsi="Times New Roman"/>
                      <w:szCs w:val="21"/>
                    </w:rPr>
                    <w:t>HW</w:t>
                  </w:r>
                  <w:r>
                    <w:rPr>
                      <w:rFonts w:hint="eastAsia" w:ascii="Times New Roman" w:hAnsi="Times New Roman"/>
                      <w:szCs w:val="21"/>
                    </w:rPr>
                    <w:t>17</w:t>
                  </w:r>
                </w:p>
              </w:tc>
              <w:tc>
                <w:tcPr>
                  <w:tcW w:w="669" w:type="pct"/>
                  <w:tcBorders>
                    <w:tl2br w:val="nil"/>
                    <w:tr2bl w:val="nil"/>
                  </w:tcBorders>
                  <w:vAlign w:val="center"/>
                </w:tcPr>
                <w:p>
                  <w:pPr>
                    <w:pStyle w:val="5"/>
                    <w:snapToGrid w:val="0"/>
                    <w:ind w:firstLine="0"/>
                    <w:jc w:val="center"/>
                    <w:rPr>
                      <w:rFonts w:ascii="Times New Roman" w:hAnsi="Times New Roman"/>
                      <w:szCs w:val="21"/>
                    </w:rPr>
                  </w:pPr>
                  <w:r>
                    <w:rPr>
                      <w:rFonts w:hint="eastAsia" w:ascii="Times New Roman" w:hAnsi="Times New Roman"/>
                      <w:szCs w:val="21"/>
                    </w:rPr>
                    <w:t>336-064-17</w:t>
                  </w:r>
                </w:p>
              </w:tc>
              <w:tc>
                <w:tcPr>
                  <w:tcW w:w="278" w:type="pct"/>
                  <w:vMerge w:val="continue"/>
                  <w:tcBorders>
                    <w:tl2br w:val="nil"/>
                    <w:tr2bl w:val="nil"/>
                  </w:tcBorders>
                  <w:vAlign w:val="center"/>
                </w:tcPr>
                <w:p>
                  <w:pPr>
                    <w:jc w:val="center"/>
                    <w:rPr>
                      <w:kern w:val="0"/>
                      <w:szCs w:val="21"/>
                    </w:rPr>
                  </w:pPr>
                </w:p>
              </w:tc>
              <w:tc>
                <w:tcPr>
                  <w:tcW w:w="485" w:type="pct"/>
                  <w:vMerge w:val="continue"/>
                  <w:tcBorders>
                    <w:tl2br w:val="nil"/>
                    <w:tr2bl w:val="nil"/>
                  </w:tcBorders>
                  <w:vAlign w:val="center"/>
                </w:tcPr>
                <w:p>
                  <w:pPr>
                    <w:jc w:val="center"/>
                    <w:rPr>
                      <w:kern w:val="0"/>
                      <w:szCs w:val="21"/>
                    </w:rPr>
                  </w:pPr>
                </w:p>
              </w:tc>
              <w:tc>
                <w:tcPr>
                  <w:tcW w:w="592" w:type="pct"/>
                  <w:vMerge w:val="continue"/>
                  <w:tcBorders>
                    <w:tl2br w:val="nil"/>
                    <w:tr2bl w:val="nil"/>
                  </w:tcBorders>
                  <w:vAlign w:val="center"/>
                </w:tcPr>
                <w:p>
                  <w:pPr>
                    <w:jc w:val="center"/>
                    <w:rPr>
                      <w:kern w:val="0"/>
                      <w:szCs w:val="21"/>
                    </w:rPr>
                  </w:pPr>
                </w:p>
              </w:tc>
              <w:tc>
                <w:tcPr>
                  <w:tcW w:w="551" w:type="pct"/>
                  <w:tcBorders>
                    <w:tl2br w:val="nil"/>
                    <w:tr2bl w:val="nil"/>
                  </w:tcBorders>
                  <w:vAlign w:val="center"/>
                </w:tcPr>
                <w:p>
                  <w:pPr>
                    <w:jc w:val="center"/>
                    <w:rPr>
                      <w:kern w:val="0"/>
                      <w:szCs w:val="21"/>
                    </w:rPr>
                  </w:pPr>
                  <w:r>
                    <w:rPr>
                      <w:rFonts w:hint="eastAsia"/>
                      <w:kern w:val="0"/>
                      <w:szCs w:val="21"/>
                    </w:rPr>
                    <w:t>0.477</w:t>
                  </w:r>
                </w:p>
              </w:tc>
              <w:tc>
                <w:tcPr>
                  <w:tcW w:w="509" w:type="pct"/>
                  <w:tcBorders>
                    <w:tl2br w:val="nil"/>
                    <w:tr2bl w:val="nil"/>
                  </w:tcBorders>
                  <w:vAlign w:val="center"/>
                </w:tcPr>
                <w:p>
                  <w:pPr>
                    <w:jc w:val="center"/>
                    <w:rPr>
                      <w:kern w:val="0"/>
                      <w:szCs w:val="21"/>
                    </w:rPr>
                  </w:pPr>
                  <w:r>
                    <w:rPr>
                      <w:rFonts w:hint="eastAsia"/>
                      <w:kern w:val="0"/>
                      <w:szCs w:val="21"/>
                    </w:rPr>
                    <w:t>3个月</w:t>
                  </w:r>
                </w:p>
              </w:tc>
            </w:tr>
          </w:tbl>
          <w:p>
            <w:pPr>
              <w:pStyle w:val="5"/>
              <w:spacing w:line="360" w:lineRule="auto"/>
              <w:ind w:firstLine="482" w:firstLineChars="200"/>
              <w:rPr>
                <w:rFonts w:ascii="Times New Roman" w:hAnsi="Times New Roman"/>
                <w:b/>
                <w:bCs/>
                <w:sz w:val="24"/>
              </w:rPr>
            </w:pPr>
            <w:r>
              <w:rPr>
                <w:rFonts w:hint="eastAsia" w:ascii="Times New Roman" w:hAnsi="Times New Roman"/>
                <w:b/>
                <w:bCs/>
                <w:sz w:val="24"/>
              </w:rPr>
              <w:t>（3）</w:t>
            </w:r>
            <w:r>
              <w:rPr>
                <w:rFonts w:hint="eastAsia" w:ascii="Times New Roman"/>
                <w:b/>
                <w:bCs/>
                <w:sz w:val="24"/>
              </w:rPr>
              <w:t>环境管理要求</w:t>
            </w:r>
          </w:p>
          <w:p>
            <w:pPr>
              <w:adjustRightInd w:val="0"/>
              <w:snapToGrid w:val="0"/>
              <w:spacing w:line="360" w:lineRule="auto"/>
              <w:ind w:firstLine="482" w:firstLineChars="200"/>
              <w:rPr>
                <w:b/>
                <w:bCs/>
                <w:sz w:val="24"/>
              </w:rPr>
            </w:pPr>
            <w:r>
              <w:rPr>
                <w:b/>
                <w:bCs/>
                <w:sz w:val="24"/>
              </w:rPr>
              <w:t>1）一般工业固废环境管理要求</w:t>
            </w:r>
          </w:p>
          <w:p>
            <w:pPr>
              <w:pStyle w:val="5"/>
              <w:spacing w:line="360" w:lineRule="auto"/>
              <w:ind w:firstLine="480" w:firstLineChars="200"/>
            </w:pPr>
            <w:r>
              <w:rPr>
                <w:rFonts w:ascii="Times New Roman"/>
                <w:kern w:val="0"/>
                <w:sz w:val="24"/>
              </w:rPr>
              <w:t>建设单位应严格执行《一般工业固体废物贮存、处置场污染控制标准》（</w:t>
            </w:r>
            <w:r>
              <w:rPr>
                <w:rFonts w:ascii="Times New Roman" w:hAnsi="Times New Roman"/>
                <w:kern w:val="0"/>
                <w:sz w:val="24"/>
              </w:rPr>
              <w:t>GB18599-2020</w:t>
            </w:r>
            <w:r>
              <w:rPr>
                <w:rFonts w:ascii="Times New Roman"/>
                <w:kern w:val="0"/>
                <w:sz w:val="24"/>
              </w:rPr>
              <w:t>），</w:t>
            </w:r>
            <w:r>
              <w:rPr>
                <w:rFonts w:hint="eastAsia"/>
                <w:sz w:val="24"/>
              </w:rPr>
              <w:t>边角料、不合格品、废滤芯（含收集粉尘）等</w:t>
            </w:r>
            <w:r>
              <w:rPr>
                <w:rFonts w:ascii="Times New Roman"/>
                <w:kern w:val="0"/>
                <w:sz w:val="24"/>
              </w:rPr>
              <w:t>一般工业固废收集后分别送至现有一般固废</w:t>
            </w:r>
            <w:r>
              <w:rPr>
                <w:kern w:val="0"/>
                <w:sz w:val="24"/>
              </w:rPr>
              <w:t>暂存场所进行分类暂存，杜绝混合存放。</w:t>
            </w:r>
          </w:p>
          <w:p>
            <w:pPr>
              <w:adjustRightInd w:val="0"/>
              <w:snapToGrid w:val="0"/>
              <w:spacing w:line="360" w:lineRule="auto"/>
              <w:ind w:firstLine="482" w:firstLineChars="200"/>
              <w:rPr>
                <w:b/>
                <w:bCs/>
                <w:sz w:val="24"/>
              </w:rPr>
            </w:pPr>
            <w:r>
              <w:rPr>
                <w:b/>
                <w:bCs/>
                <w:sz w:val="24"/>
              </w:rPr>
              <w:t>2）危险固废环境管理要求</w:t>
            </w:r>
          </w:p>
          <w:p>
            <w:pPr>
              <w:adjustRightInd w:val="0"/>
              <w:snapToGrid w:val="0"/>
              <w:spacing w:line="360" w:lineRule="auto"/>
              <w:ind w:firstLine="482" w:firstLineChars="200"/>
              <w:rPr>
                <w:b/>
                <w:bCs/>
                <w:sz w:val="24"/>
              </w:rPr>
            </w:pPr>
            <w:r>
              <w:rPr>
                <w:rFonts w:hint="eastAsia" w:ascii="宋体" w:hAnsi="宋体"/>
                <w:b/>
                <w:bCs/>
                <w:sz w:val="24"/>
              </w:rPr>
              <w:t>Ⅰ</w:t>
            </w:r>
            <w:r>
              <w:rPr>
                <w:b/>
                <w:bCs/>
                <w:sz w:val="24"/>
              </w:rPr>
              <w:t>危险固废贮存及贮存场所防护措施</w:t>
            </w:r>
          </w:p>
          <w:p>
            <w:pPr>
              <w:adjustRightInd w:val="0"/>
              <w:snapToGrid w:val="0"/>
              <w:spacing w:line="360" w:lineRule="auto"/>
              <w:ind w:firstLine="480" w:firstLineChars="200"/>
              <w:rPr>
                <w:sz w:val="24"/>
              </w:rPr>
            </w:pPr>
            <w:r>
              <w:rPr>
                <w:bCs/>
                <w:sz w:val="24"/>
              </w:rPr>
              <w:t>根据《省生态环境厅关于进一步加强危险废物污染防治工作的实施意见》（苏环办[2019]327号）要求，企业应按照《环境保护图形标志 固体废物贮存（处置）场》（GB15562.2-1995）和危险废物识别标识设置规范（见《省生态环境厅关于进一步加强危险废物污染防治工作的实施意见》（苏环办[2019]327号）附件1）设置标志，配备通讯设备、照明设施和消防设施，设置气体导出口及气体净化装置，明确废气达标排放；在出入口、设施内部、危险废物运输车辆通道等关键位置设置视频监控，并于中控室联网。</w:t>
            </w:r>
          </w:p>
          <w:p>
            <w:pPr>
              <w:adjustRightInd w:val="0"/>
              <w:snapToGrid w:val="0"/>
              <w:spacing w:line="360" w:lineRule="auto"/>
              <w:ind w:firstLine="480" w:firstLineChars="200"/>
              <w:rPr>
                <w:kern w:val="0"/>
                <w:sz w:val="24"/>
              </w:rPr>
            </w:pPr>
            <w:r>
              <w:rPr>
                <w:bCs/>
                <w:sz w:val="24"/>
              </w:rPr>
              <w:t>企业应根据危险废物的种类和特性进行分区、分类贮存，设置防雨、防火、防雷、防扬散、防渗漏装置及泄漏液体收集装置。对易爆、易燃及排出有毒气体的危险废物进行预处理，稳定后贮存，否则按易爆、易燃危险品贮存。贮存废弃剧毒化学品的，应按照公安机关要求落实治安防范措施。</w:t>
            </w:r>
          </w:p>
          <w:p>
            <w:pPr>
              <w:adjustRightInd w:val="0"/>
              <w:snapToGrid w:val="0"/>
              <w:spacing w:line="360" w:lineRule="auto"/>
              <w:ind w:firstLine="480" w:firstLineChars="200"/>
            </w:pPr>
            <w:r>
              <w:rPr>
                <w:kern w:val="0"/>
                <w:sz w:val="24"/>
              </w:rPr>
              <w:t>根据《省生态环境厅关于进一步加强危险废物环境管理工作的通知》（苏环办［2021］207号），危险废物产生后必须用容器或包装袋密封储存，产生的危险固废暂存在危废仓库前通过</w:t>
            </w:r>
            <w:r>
              <w:rPr>
                <w:rFonts w:hint="eastAsia"/>
                <w:kern w:val="0"/>
                <w:sz w:val="24"/>
              </w:rPr>
              <w:t>“</w:t>
            </w:r>
            <w:r>
              <w:rPr>
                <w:kern w:val="0"/>
                <w:sz w:val="24"/>
              </w:rPr>
              <w:t>江苏省危险废物全生命周期监控系统</w:t>
            </w:r>
            <w:r>
              <w:rPr>
                <w:rFonts w:hint="eastAsia"/>
                <w:kern w:val="0"/>
                <w:sz w:val="24"/>
              </w:rPr>
              <w:t>”</w:t>
            </w:r>
            <w:r>
              <w:rPr>
                <w:kern w:val="0"/>
                <w:sz w:val="24"/>
              </w:rPr>
              <w:t>进行危险废物日常申报登记，并自动生成二维码包装标识，在容器显著位置张贴带二维码的标识，同时同步记录纸质危废台账。</w:t>
            </w:r>
          </w:p>
          <w:p>
            <w:pPr>
              <w:adjustRightInd w:val="0"/>
              <w:snapToGrid w:val="0"/>
              <w:spacing w:line="360" w:lineRule="auto"/>
              <w:ind w:firstLine="480" w:firstLineChars="200"/>
              <w:rPr>
                <w:sz w:val="24"/>
              </w:rPr>
            </w:pPr>
            <w:r>
              <w:rPr>
                <w:sz w:val="24"/>
              </w:rPr>
              <w:t>根据《危险废物污染防治技术政策》环发【2001】199号文以及《关于进一步规范我区企业危废贮存、处置及其他污染防治设施相关手续的通知》武安办发（2020）62号文，对危险废物的贮存要求如下：</w:t>
            </w:r>
          </w:p>
          <w:p>
            <w:pPr>
              <w:adjustRightInd w:val="0"/>
              <w:snapToGrid w:val="0"/>
              <w:spacing w:line="360" w:lineRule="auto"/>
              <w:ind w:firstLine="480" w:firstLineChars="200"/>
              <w:rPr>
                <w:bCs/>
                <w:sz w:val="24"/>
              </w:rPr>
            </w:pPr>
            <w:r>
              <w:rPr>
                <w:bCs/>
                <w:sz w:val="24"/>
              </w:rPr>
              <w:t>①对已产生的危险废物，若暂时不能回收利用或进行处理处置的，其产生单位建设专门的危险废物贮存设施进行贮存，并建立危险废物标志，禁止将危险废物以任何形式转移给无许可证的单位，或转移到非危险废物贮存设施中。危险废物贮存设施应有相应的配套设施并按有关规定进行管理；</w:t>
            </w:r>
          </w:p>
          <w:p>
            <w:pPr>
              <w:adjustRightInd w:val="0"/>
              <w:snapToGrid w:val="0"/>
              <w:spacing w:line="360" w:lineRule="auto"/>
              <w:ind w:firstLine="480" w:firstLineChars="200"/>
              <w:rPr>
                <w:bCs/>
                <w:sz w:val="24"/>
              </w:rPr>
            </w:pPr>
            <w:r>
              <w:rPr>
                <w:bCs/>
                <w:sz w:val="24"/>
              </w:rPr>
              <w:t>②危险废物的贮存设施应建有堵截泄漏的裙脚，地面与裙脚要用坚固防渗的材料建造，应有防风、防晒、防雨设施；</w:t>
            </w:r>
          </w:p>
          <w:p>
            <w:pPr>
              <w:adjustRightInd w:val="0"/>
              <w:snapToGrid w:val="0"/>
              <w:spacing w:line="360" w:lineRule="auto"/>
              <w:ind w:firstLine="480" w:firstLineChars="200"/>
              <w:rPr>
                <w:bCs/>
                <w:sz w:val="24"/>
              </w:rPr>
            </w:pPr>
            <w:r>
              <w:rPr>
                <w:bCs/>
                <w:sz w:val="24"/>
              </w:rPr>
              <w:t>③基础防渗层为粘土层的，其厚度应在1米以上，渗透系数应小于1.0×10</w:t>
            </w:r>
            <w:r>
              <w:rPr>
                <w:bCs/>
                <w:sz w:val="24"/>
                <w:vertAlign w:val="superscript"/>
              </w:rPr>
              <w:t>-7</w:t>
            </w:r>
            <w:r>
              <w:rPr>
                <w:bCs/>
                <w:sz w:val="24"/>
              </w:rPr>
              <w:t>厘米/秒；基础防渗层也可用厚度在2毫米以上的高密度聚乙烯或其他人工防渗材料组成，渗透系数应小于1.0×10</w:t>
            </w:r>
            <w:r>
              <w:rPr>
                <w:bCs/>
                <w:sz w:val="24"/>
                <w:vertAlign w:val="superscript"/>
              </w:rPr>
              <w:t>-10</w:t>
            </w:r>
            <w:r>
              <w:rPr>
                <w:bCs/>
                <w:sz w:val="24"/>
              </w:rPr>
              <w:t>厘米/秒；</w:t>
            </w:r>
          </w:p>
          <w:p>
            <w:pPr>
              <w:adjustRightInd w:val="0"/>
              <w:snapToGrid w:val="0"/>
              <w:spacing w:line="360" w:lineRule="auto"/>
              <w:ind w:firstLine="480" w:firstLineChars="200"/>
              <w:rPr>
                <w:bCs/>
                <w:sz w:val="24"/>
              </w:rPr>
            </w:pPr>
            <w:r>
              <w:rPr>
                <w:bCs/>
                <w:sz w:val="24"/>
              </w:rPr>
              <w:t>④用于存放液体、半固体危险废物的地方，还须有耐腐蚀的硬化地面，地面无裂隙；</w:t>
            </w:r>
          </w:p>
          <w:p>
            <w:pPr>
              <w:adjustRightInd w:val="0"/>
              <w:snapToGrid w:val="0"/>
              <w:spacing w:line="360" w:lineRule="auto"/>
              <w:ind w:firstLine="480" w:firstLineChars="200"/>
              <w:rPr>
                <w:bCs/>
                <w:sz w:val="24"/>
              </w:rPr>
            </w:pPr>
            <w:r>
              <w:rPr>
                <w:bCs/>
                <w:sz w:val="24"/>
              </w:rPr>
              <w:t>⑤不相容的危险废物堆放区必须有隔离间隔断。</w:t>
            </w:r>
          </w:p>
          <w:p>
            <w:pPr>
              <w:adjustRightInd w:val="0"/>
              <w:snapToGrid w:val="0"/>
              <w:spacing w:line="360" w:lineRule="auto"/>
              <w:ind w:firstLine="482" w:firstLineChars="200"/>
              <w:rPr>
                <w:b/>
                <w:bCs/>
                <w:sz w:val="24"/>
              </w:rPr>
            </w:pPr>
            <w:r>
              <w:rPr>
                <w:rFonts w:hint="eastAsia" w:ascii="宋体" w:hAnsi="宋体"/>
                <w:b/>
                <w:bCs/>
                <w:sz w:val="24"/>
              </w:rPr>
              <w:t>Ⅱ</w:t>
            </w:r>
            <w:r>
              <w:rPr>
                <w:b/>
                <w:bCs/>
                <w:sz w:val="24"/>
              </w:rPr>
              <w:t>危险废物贮存容器要求</w:t>
            </w:r>
          </w:p>
          <w:p>
            <w:pPr>
              <w:adjustRightInd w:val="0"/>
              <w:snapToGrid w:val="0"/>
              <w:spacing w:line="360" w:lineRule="auto"/>
              <w:ind w:firstLine="480" w:firstLineChars="200"/>
              <w:rPr>
                <w:bCs/>
                <w:sz w:val="24"/>
              </w:rPr>
            </w:pPr>
            <w:r>
              <w:rPr>
                <w:bCs/>
                <w:sz w:val="24"/>
              </w:rPr>
              <w:t>根据《危险废物贮存污染控制标准》（GB18597-2001），危险废物贮存容器要求如下：</w:t>
            </w:r>
          </w:p>
          <w:p>
            <w:pPr>
              <w:adjustRightInd w:val="0"/>
              <w:snapToGrid w:val="0"/>
              <w:spacing w:line="360" w:lineRule="auto"/>
              <w:ind w:firstLine="480" w:firstLineChars="200"/>
              <w:rPr>
                <w:bCs/>
                <w:sz w:val="24"/>
              </w:rPr>
            </w:pPr>
            <w:r>
              <w:rPr>
                <w:bCs/>
                <w:sz w:val="24"/>
              </w:rPr>
              <w:t>①应当使用符合标准的容器盛装危险废物；</w:t>
            </w:r>
          </w:p>
          <w:p>
            <w:pPr>
              <w:adjustRightInd w:val="0"/>
              <w:snapToGrid w:val="0"/>
              <w:spacing w:line="360" w:lineRule="auto"/>
              <w:ind w:firstLine="480" w:firstLineChars="200"/>
              <w:rPr>
                <w:bCs/>
                <w:sz w:val="24"/>
              </w:rPr>
            </w:pPr>
            <w:r>
              <w:rPr>
                <w:bCs/>
                <w:sz w:val="24"/>
              </w:rPr>
              <w:t>②盛装危险废物的容器及材质要满足相应的强度要求；</w:t>
            </w:r>
          </w:p>
          <w:p>
            <w:pPr>
              <w:adjustRightInd w:val="0"/>
              <w:snapToGrid w:val="0"/>
              <w:spacing w:line="360" w:lineRule="auto"/>
              <w:ind w:firstLine="480" w:firstLineChars="200"/>
              <w:rPr>
                <w:bCs/>
                <w:sz w:val="24"/>
              </w:rPr>
            </w:pPr>
            <w:r>
              <w:rPr>
                <w:bCs/>
                <w:sz w:val="24"/>
              </w:rPr>
              <w:t>③盛装危险废物的容器必须完好无损；</w:t>
            </w:r>
          </w:p>
          <w:p>
            <w:pPr>
              <w:adjustRightInd w:val="0"/>
              <w:snapToGrid w:val="0"/>
              <w:spacing w:line="360" w:lineRule="auto"/>
              <w:ind w:firstLine="480" w:firstLineChars="200"/>
              <w:rPr>
                <w:bCs/>
                <w:sz w:val="24"/>
              </w:rPr>
            </w:pPr>
            <w:r>
              <w:rPr>
                <w:bCs/>
                <w:sz w:val="24"/>
              </w:rPr>
              <w:t>④盛装危险废物的容器材质和衬里要与危险废物相容（不相互反应）；</w:t>
            </w:r>
          </w:p>
          <w:p>
            <w:pPr>
              <w:adjustRightInd w:val="0"/>
              <w:snapToGrid w:val="0"/>
              <w:spacing w:line="360" w:lineRule="auto"/>
              <w:ind w:firstLine="480" w:firstLineChars="200"/>
              <w:rPr>
                <w:bCs/>
                <w:sz w:val="24"/>
              </w:rPr>
            </w:pPr>
            <w:r>
              <w:rPr>
                <w:bCs/>
                <w:sz w:val="24"/>
              </w:rPr>
              <w:t>⑤液体危险废物可注入开孔直径不超过70毫米并有放气孔的桶中。</w:t>
            </w:r>
          </w:p>
          <w:p>
            <w:pPr>
              <w:adjustRightInd w:val="0"/>
              <w:snapToGrid w:val="0"/>
              <w:spacing w:line="360" w:lineRule="auto"/>
              <w:ind w:firstLine="482" w:firstLineChars="200"/>
              <w:rPr>
                <w:b/>
                <w:bCs/>
                <w:sz w:val="24"/>
              </w:rPr>
            </w:pPr>
            <w:r>
              <w:rPr>
                <w:rFonts w:hint="eastAsia" w:ascii="宋体" w:hAnsi="宋体"/>
                <w:b/>
                <w:bCs/>
                <w:sz w:val="24"/>
              </w:rPr>
              <w:t>Ⅲ</w:t>
            </w:r>
            <w:r>
              <w:rPr>
                <w:b/>
                <w:bCs/>
                <w:sz w:val="24"/>
              </w:rPr>
              <w:t>固废处置要求</w:t>
            </w:r>
          </w:p>
          <w:p>
            <w:pPr>
              <w:adjustRightInd w:val="0"/>
              <w:snapToGrid w:val="0"/>
              <w:spacing w:line="360" w:lineRule="auto"/>
              <w:ind w:firstLine="480" w:firstLineChars="200"/>
            </w:pPr>
            <w:r>
              <w:rPr>
                <w:kern w:val="0"/>
                <w:sz w:val="24"/>
              </w:rPr>
              <w:t>根据《省生态环境厅关于进一步加强危险废物环境管理工作的通知》（苏环办［2021］207号），产废单位必须将危险废物提供或者委托给有资质单位从事收集、贮存、利用处置活动，并有危险废物利用处置合同、资金往来、废物交接等相关证明材料。严禁产废单位委托第三方中介机构运输和利用处置危险废物；严禁将危险废物提供或者委托给无资质单位进行收集、贮存和利用处置，并加强对运输单位及处置单位的跟踪检查，危险废物通过全生命周期监控系统扫描二维码转移，严禁无二维码转移行为，确保符合环保要求。</w:t>
            </w:r>
          </w:p>
          <w:p>
            <w:pPr>
              <w:adjustRightInd w:val="0"/>
              <w:snapToGrid w:val="0"/>
              <w:spacing w:line="360" w:lineRule="auto"/>
              <w:ind w:firstLine="482" w:firstLineChars="200"/>
              <w:rPr>
                <w:b/>
                <w:bCs/>
                <w:sz w:val="24"/>
              </w:rPr>
            </w:pPr>
            <w:r>
              <w:rPr>
                <w:rFonts w:hint="eastAsia" w:ascii="宋体" w:hAnsi="宋体"/>
                <w:b/>
                <w:bCs/>
                <w:sz w:val="24"/>
              </w:rPr>
              <w:t>Ⅳ</w:t>
            </w:r>
            <w:r>
              <w:rPr>
                <w:b/>
                <w:bCs/>
                <w:sz w:val="24"/>
              </w:rPr>
              <w:t>危险废物运输时的中转、装卸过程应遵守以下技术要求</w:t>
            </w:r>
          </w:p>
          <w:p>
            <w:pPr>
              <w:adjustRightInd w:val="0"/>
              <w:snapToGrid w:val="0"/>
              <w:spacing w:line="360" w:lineRule="auto"/>
              <w:ind w:firstLine="480" w:firstLineChars="200"/>
              <w:rPr>
                <w:bCs/>
                <w:sz w:val="24"/>
              </w:rPr>
            </w:pPr>
            <w:r>
              <w:rPr>
                <w:bCs/>
                <w:sz w:val="24"/>
              </w:rPr>
              <w:t>①卸货区的工作人员应熟悉废物的危险特性，并配备适当的个人防护装备，装卸剧毒废物应配备特殊的防护装备。</w:t>
            </w:r>
          </w:p>
          <w:p>
            <w:pPr>
              <w:adjustRightInd w:val="0"/>
              <w:snapToGrid w:val="0"/>
              <w:spacing w:line="360" w:lineRule="auto"/>
              <w:ind w:firstLine="480" w:firstLineChars="200"/>
              <w:rPr>
                <w:bCs/>
                <w:sz w:val="24"/>
              </w:rPr>
            </w:pPr>
            <w:r>
              <w:rPr>
                <w:bCs/>
                <w:sz w:val="24"/>
              </w:rPr>
              <w:t>②装卸区应配备必要的消防设备和设施，并设置明显的指示标志。</w:t>
            </w:r>
          </w:p>
          <w:p>
            <w:pPr>
              <w:adjustRightInd w:val="0"/>
              <w:snapToGrid w:val="0"/>
              <w:spacing w:line="360" w:lineRule="auto"/>
              <w:ind w:firstLine="480" w:firstLineChars="200"/>
              <w:rPr>
                <w:bCs/>
                <w:sz w:val="24"/>
              </w:rPr>
            </w:pPr>
            <w:r>
              <w:rPr>
                <w:bCs/>
                <w:sz w:val="24"/>
              </w:rPr>
              <w:t>危险废物装卸区应设置隔离设施，液态废物卸载区应设置收集槽和缓冲罐。</w:t>
            </w:r>
          </w:p>
          <w:p>
            <w:pPr>
              <w:pStyle w:val="5"/>
              <w:adjustRightInd w:val="0"/>
              <w:snapToGrid w:val="0"/>
              <w:spacing w:line="360" w:lineRule="auto"/>
              <w:ind w:firstLine="482" w:firstLineChars="200"/>
              <w:rPr>
                <w:rFonts w:ascii="Times New Roman" w:hAnsi="Times New Roman" w:cs="宋体"/>
                <w:bCs/>
                <w:sz w:val="24"/>
                <w:szCs w:val="24"/>
              </w:rPr>
            </w:pPr>
            <w:r>
              <w:rPr>
                <w:b/>
                <w:bCs/>
                <w:sz w:val="24"/>
              </w:rPr>
              <w:t>本项目生产中产生的危废储存于危险仓库中，</w:t>
            </w:r>
            <w:r>
              <w:rPr>
                <w:rFonts w:ascii="Times New Roman"/>
                <w:b/>
                <w:bCs/>
                <w:sz w:val="24"/>
              </w:rPr>
              <w:t>面积为</w:t>
            </w:r>
            <w:r>
              <w:rPr>
                <w:rFonts w:ascii="Times New Roman" w:hAnsi="Times New Roman"/>
                <w:b/>
                <w:bCs/>
                <w:sz w:val="24"/>
              </w:rPr>
              <w:t>9m</w:t>
            </w:r>
            <w:r>
              <w:rPr>
                <w:rFonts w:ascii="Times New Roman" w:hAnsi="Times New Roman"/>
                <w:b/>
                <w:bCs/>
                <w:sz w:val="24"/>
                <w:vertAlign w:val="superscript"/>
              </w:rPr>
              <w:t>2</w:t>
            </w:r>
            <w:r>
              <w:rPr>
                <w:b/>
                <w:bCs/>
                <w:sz w:val="24"/>
              </w:rPr>
              <w:t>。地面进行防渗防腐处理。本项目的危险废物贮存场选址可行，贮存能力可满足要求，各危废都得到妥善处理，经安全收集、妥善处理，对外环境影响较小，对周围环境不产生二次影响。</w:t>
            </w:r>
          </w:p>
          <w:p>
            <w:pPr>
              <w:pStyle w:val="5"/>
              <w:adjustRightInd w:val="0"/>
              <w:snapToGrid w:val="0"/>
              <w:spacing w:line="360" w:lineRule="auto"/>
              <w:ind w:firstLine="0"/>
              <w:rPr>
                <w:rFonts w:ascii="Times New Roman" w:hAnsi="Times New Roman"/>
                <w:b/>
                <w:bCs/>
                <w:sz w:val="24"/>
                <w:szCs w:val="24"/>
              </w:rPr>
            </w:pPr>
            <w:r>
              <w:rPr>
                <w:rFonts w:hint="eastAsia" w:ascii="Times New Roman" w:hAnsi="Times New Roman"/>
                <w:b/>
                <w:bCs/>
                <w:sz w:val="24"/>
                <w:szCs w:val="24"/>
              </w:rPr>
              <w:t>5、</w:t>
            </w:r>
            <w:r>
              <w:rPr>
                <w:rFonts w:ascii="Times New Roman" w:hAnsi="Times New Roman"/>
                <w:b/>
                <w:bCs/>
                <w:sz w:val="24"/>
                <w:szCs w:val="24"/>
              </w:rPr>
              <w:t>地下水环境影响分析</w:t>
            </w:r>
          </w:p>
          <w:p>
            <w:pPr>
              <w:adjustRightInd w:val="0"/>
              <w:snapToGrid w:val="0"/>
              <w:spacing w:line="360" w:lineRule="auto"/>
              <w:ind w:firstLine="480" w:firstLineChars="200"/>
              <w:rPr>
                <w:bCs/>
                <w:sz w:val="24"/>
              </w:rPr>
            </w:pPr>
            <w:r>
              <w:rPr>
                <w:bCs/>
                <w:sz w:val="24"/>
              </w:rPr>
              <w:t>本项目为机械零部件加工项目，对照《环境影响评价技术导则—地下水环境》（HJ610-2016），本项目属于53 金属制品加工制造中其他，属于IV类项目，无需开展地下水环境影响评价。本项目车间及厂区地面做好硬化、防渗后，各污染因子对地下水影响较小。</w:t>
            </w:r>
          </w:p>
          <w:p>
            <w:pPr>
              <w:pStyle w:val="5"/>
              <w:adjustRightInd w:val="0"/>
              <w:snapToGrid w:val="0"/>
              <w:spacing w:line="360" w:lineRule="auto"/>
              <w:ind w:firstLine="0"/>
              <w:rPr>
                <w:rFonts w:ascii="Times New Roman" w:hAnsi="Times New Roman"/>
                <w:b/>
                <w:bCs/>
                <w:sz w:val="24"/>
                <w:szCs w:val="24"/>
              </w:rPr>
            </w:pPr>
            <w:r>
              <w:rPr>
                <w:rFonts w:hint="eastAsia" w:ascii="Times New Roman" w:hAnsi="Times New Roman"/>
                <w:b/>
                <w:bCs/>
                <w:sz w:val="24"/>
                <w:szCs w:val="24"/>
              </w:rPr>
              <w:t>6、</w:t>
            </w:r>
            <w:r>
              <w:rPr>
                <w:rFonts w:ascii="Times New Roman" w:hAnsi="Times New Roman"/>
                <w:b/>
                <w:bCs/>
                <w:sz w:val="24"/>
                <w:szCs w:val="24"/>
              </w:rPr>
              <w:t>土壤环境影响分析</w:t>
            </w:r>
          </w:p>
          <w:p>
            <w:pPr>
              <w:adjustRightInd w:val="0"/>
              <w:snapToGrid w:val="0"/>
              <w:spacing w:line="360" w:lineRule="auto"/>
              <w:ind w:firstLine="480" w:firstLineChars="200"/>
              <w:rPr>
                <w:sz w:val="24"/>
              </w:rPr>
            </w:pPr>
            <w:r>
              <w:rPr>
                <w:sz w:val="24"/>
              </w:rPr>
              <w:t>根据《环境影响评价技术导则 土壤环境（试行》（HJ964-2018）中附录 A 规定，本项目属于“制造业—设备制造、金属制品、汽车制造及其他用品制造中的其他”，全部为III类项目。经分析，本项目属于污染影响型项目，占地面积约0.</w:t>
            </w:r>
            <w:r>
              <w:rPr>
                <w:rFonts w:hint="eastAsia"/>
                <w:sz w:val="24"/>
              </w:rPr>
              <w:t>1056</w:t>
            </w:r>
            <w:r>
              <w:rPr>
                <w:sz w:val="24"/>
              </w:rPr>
              <w:t>公顷，属于小型建设项目。经现场调查，本项目厂界周边50m范围内无居民区等土壤环境敏感目标，故土壤环境敏感程度属于不敏感。根据《环境影响评价技术导则 土壤环境（试行》（HJ964-2018）中表4的评价工作等级划分表，本项目土壤环境评价等级为“-”，表示可不开展土壤环境影响评价工作。</w:t>
            </w:r>
          </w:p>
          <w:p>
            <w:pPr>
              <w:adjustRightInd w:val="0"/>
              <w:snapToGrid w:val="0"/>
              <w:spacing w:line="360" w:lineRule="auto"/>
              <w:ind w:firstLine="480" w:firstLineChars="200"/>
              <w:rPr>
                <w:sz w:val="24"/>
              </w:rPr>
            </w:pPr>
            <w:r>
              <w:rPr>
                <w:sz w:val="24"/>
              </w:rPr>
              <w:t>根据水文地质条件分析，项目所在区域的浅层地层岩性主要为粉质粘土，自然防渗条件较好，车间地面满足防渗的要求，因此本项目建设对土壤环境影响较小。</w:t>
            </w:r>
          </w:p>
          <w:p>
            <w:pPr>
              <w:spacing w:line="360" w:lineRule="auto"/>
              <w:ind w:firstLine="480" w:firstLineChars="200"/>
              <w:rPr>
                <w:sz w:val="24"/>
              </w:rPr>
            </w:pPr>
            <w:r>
              <w:rPr>
                <w:sz w:val="24"/>
              </w:rPr>
              <w:t>危险废物堆场按照防腐、防渗要求，落实地坪、裙角的防护措施后，生产过程中可能污染土壤的废水、废液难以泄漏进入土壤中，因此本项目建设对土壤环境影响较小。</w:t>
            </w:r>
          </w:p>
          <w:p>
            <w:pPr>
              <w:adjustRightInd w:val="0"/>
              <w:snapToGrid w:val="0"/>
              <w:spacing w:line="360" w:lineRule="auto"/>
              <w:rPr>
                <w:b/>
                <w:bCs/>
                <w:sz w:val="24"/>
              </w:rPr>
            </w:pPr>
            <w:r>
              <w:rPr>
                <w:rFonts w:hint="eastAsia"/>
                <w:b/>
                <w:bCs/>
                <w:sz w:val="24"/>
              </w:rPr>
              <w:t>7、生态</w:t>
            </w:r>
          </w:p>
          <w:p>
            <w:pPr>
              <w:adjustRightInd w:val="0"/>
              <w:snapToGrid w:val="0"/>
              <w:spacing w:line="360" w:lineRule="auto"/>
              <w:ind w:firstLine="480" w:firstLineChars="200"/>
              <w:rPr>
                <w:bCs/>
                <w:sz w:val="24"/>
                <w:szCs w:val="22"/>
              </w:rPr>
            </w:pPr>
            <w:r>
              <w:rPr>
                <w:rFonts w:hint="eastAsia"/>
                <w:bCs/>
                <w:sz w:val="24"/>
                <w:szCs w:val="22"/>
              </w:rPr>
              <w:t>本项目不在已划定的生态空间管控区域和生态红线区内，无需设置生态保护措施。</w:t>
            </w:r>
          </w:p>
          <w:p>
            <w:pPr>
              <w:adjustRightInd w:val="0"/>
              <w:snapToGrid w:val="0"/>
              <w:spacing w:line="360" w:lineRule="auto"/>
              <w:rPr>
                <w:b/>
                <w:bCs/>
                <w:color w:val="000000"/>
                <w:sz w:val="24"/>
              </w:rPr>
            </w:pPr>
            <w:r>
              <w:rPr>
                <w:rFonts w:hint="eastAsia"/>
                <w:b/>
                <w:bCs/>
                <w:color w:val="000000"/>
                <w:sz w:val="24"/>
              </w:rPr>
              <w:t>8、</w:t>
            </w:r>
            <w:r>
              <w:rPr>
                <w:b/>
                <w:bCs/>
                <w:color w:val="000000"/>
                <w:sz w:val="24"/>
              </w:rPr>
              <w:t>环境风险评价</w:t>
            </w:r>
          </w:p>
          <w:p>
            <w:pPr>
              <w:adjustRightInd w:val="0"/>
              <w:snapToGrid w:val="0"/>
              <w:spacing w:line="360" w:lineRule="auto"/>
              <w:ind w:firstLine="482" w:firstLineChars="200"/>
              <w:rPr>
                <w:b/>
                <w:bCs/>
                <w:sz w:val="24"/>
                <w:szCs w:val="22"/>
              </w:rPr>
            </w:pPr>
            <w:r>
              <w:rPr>
                <w:b/>
                <w:bCs/>
                <w:sz w:val="24"/>
                <w:szCs w:val="22"/>
              </w:rPr>
              <w:t>（1）评价工作等级划分</w:t>
            </w:r>
          </w:p>
          <w:p>
            <w:pPr>
              <w:adjustRightInd w:val="0"/>
              <w:snapToGrid w:val="0"/>
              <w:spacing w:line="360" w:lineRule="auto"/>
              <w:ind w:firstLine="480" w:firstLineChars="200"/>
              <w:rPr>
                <w:bCs/>
                <w:sz w:val="24"/>
                <w:szCs w:val="22"/>
              </w:rPr>
            </w:pPr>
            <w:r>
              <w:rPr>
                <w:bCs/>
                <w:sz w:val="24"/>
                <w:szCs w:val="22"/>
              </w:rPr>
              <w:t>根据《建设项目环境风险评价技术导则》（HJ169—2018），首先对本项目危险物质数量及临界量比值（Q）进行计算。</w:t>
            </w:r>
          </w:p>
          <w:p>
            <w:pPr>
              <w:adjustRightInd w:val="0"/>
              <w:snapToGrid w:val="0"/>
              <w:spacing w:line="360" w:lineRule="auto"/>
              <w:ind w:firstLine="480" w:firstLineChars="200"/>
              <w:rPr>
                <w:bCs/>
                <w:sz w:val="24"/>
                <w:szCs w:val="22"/>
              </w:rPr>
            </w:pPr>
            <w:r>
              <w:rPr>
                <w:bCs/>
                <w:sz w:val="24"/>
                <w:szCs w:val="22"/>
              </w:rPr>
              <w:t>计算所涉及的每种危险物质在厂界内的最大存在总量与其在附录中对应临界量的比值Q时，在不同厂区的同一种物质，按其在厂界内的最大存在总量计算。对于长输管线项目，按照两个截断阀室之间管段危险物质最大存在总量计算。</w:t>
            </w:r>
          </w:p>
          <w:p>
            <w:pPr>
              <w:adjustRightInd w:val="0"/>
              <w:snapToGrid w:val="0"/>
              <w:spacing w:line="360" w:lineRule="auto"/>
              <w:ind w:firstLine="480" w:firstLineChars="200"/>
              <w:rPr>
                <w:bCs/>
                <w:sz w:val="24"/>
                <w:szCs w:val="22"/>
              </w:rPr>
            </w:pPr>
            <w:r>
              <w:rPr>
                <w:bCs/>
                <w:sz w:val="24"/>
                <w:szCs w:val="22"/>
              </w:rPr>
              <w:t>当只涉及一种危险物质时，计算该物质的总量与其临界量比值，即为Q；</w:t>
            </w:r>
          </w:p>
          <w:p>
            <w:pPr>
              <w:adjustRightInd w:val="0"/>
              <w:snapToGrid w:val="0"/>
              <w:spacing w:line="360" w:lineRule="auto"/>
              <w:ind w:firstLine="480" w:firstLineChars="200"/>
              <w:rPr>
                <w:bCs/>
                <w:sz w:val="24"/>
                <w:szCs w:val="22"/>
              </w:rPr>
            </w:pPr>
            <w:r>
              <w:rPr>
                <w:bCs/>
                <w:sz w:val="24"/>
                <w:szCs w:val="22"/>
              </w:rPr>
              <w:t>当存在多种危险物质时，则按式（C.1）计算物质总量与其临界量比值（Q）；</w:t>
            </w:r>
          </w:p>
          <w:p>
            <w:pPr>
              <w:adjustRightInd w:val="0"/>
              <w:snapToGrid w:val="0"/>
              <w:spacing w:line="360" w:lineRule="auto"/>
              <w:ind w:firstLine="480" w:firstLineChars="200"/>
              <w:jc w:val="center"/>
              <w:rPr>
                <w:bCs/>
                <w:sz w:val="24"/>
                <w:szCs w:val="22"/>
              </w:rPr>
            </w:pPr>
            <w:r>
              <w:rPr>
                <w:bCs/>
                <w:position w:val="-30"/>
                <w:sz w:val="24"/>
                <w:szCs w:val="22"/>
              </w:rPr>
              <w:object>
                <v:shape id="_x0000_i1026" o:spt="75" type="#_x0000_t75" style="height:34.5pt;width:109pt;" o:ole="t" filled="f" o:preferrelative="t" stroked="f" coordsize="21600,21600">
                  <v:path/>
                  <v:fill on="f" focussize="0,0"/>
                  <v:stroke on="f" joinstyle="miter"/>
                  <v:imagedata r:id="rId17" o:title=""/>
                  <o:lock v:ext="edit" aspectratio="t"/>
                  <w10:wrap type="none"/>
                  <w10:anchorlock/>
                </v:shape>
                <o:OLEObject Type="Embed" ProgID="Equation.3" ShapeID="_x0000_i1026" DrawAspect="Content" ObjectID="_1468075726" r:id="rId16">
                  <o:LockedField>false</o:LockedField>
                </o:OLEObject>
              </w:object>
            </w:r>
          </w:p>
          <w:p>
            <w:pPr>
              <w:adjustRightInd w:val="0"/>
              <w:snapToGrid w:val="0"/>
              <w:spacing w:line="360" w:lineRule="auto"/>
              <w:ind w:firstLine="480" w:firstLineChars="200"/>
              <w:rPr>
                <w:bCs/>
                <w:sz w:val="24"/>
                <w:szCs w:val="22"/>
              </w:rPr>
            </w:pPr>
            <w:r>
              <w:rPr>
                <w:bCs/>
                <w:sz w:val="24"/>
                <w:szCs w:val="22"/>
              </w:rPr>
              <w:t>式中：q</w:t>
            </w:r>
            <w:r>
              <w:rPr>
                <w:bCs/>
                <w:sz w:val="24"/>
                <w:szCs w:val="22"/>
                <w:vertAlign w:val="subscript"/>
              </w:rPr>
              <w:t>1</w:t>
            </w:r>
            <w:r>
              <w:rPr>
                <w:bCs/>
                <w:sz w:val="24"/>
                <w:szCs w:val="22"/>
              </w:rPr>
              <w:t>、q</w:t>
            </w:r>
            <w:r>
              <w:rPr>
                <w:bCs/>
                <w:sz w:val="24"/>
                <w:szCs w:val="22"/>
                <w:vertAlign w:val="subscript"/>
              </w:rPr>
              <w:t>2</w:t>
            </w:r>
            <w:r>
              <w:rPr>
                <w:bCs/>
                <w:sz w:val="24"/>
                <w:szCs w:val="22"/>
              </w:rPr>
              <w:t>、…q</w:t>
            </w:r>
            <w:r>
              <w:rPr>
                <w:bCs/>
                <w:sz w:val="24"/>
                <w:szCs w:val="22"/>
                <w:vertAlign w:val="subscript"/>
              </w:rPr>
              <w:t>n</w:t>
            </w:r>
            <w:r>
              <w:rPr>
                <w:bCs/>
                <w:sz w:val="24"/>
                <w:szCs w:val="22"/>
              </w:rPr>
              <w:t>----每种环境风险物质的存在量，t；</w:t>
            </w:r>
          </w:p>
          <w:p>
            <w:pPr>
              <w:adjustRightInd w:val="0"/>
              <w:snapToGrid w:val="0"/>
              <w:spacing w:line="360" w:lineRule="auto"/>
              <w:ind w:firstLine="480" w:firstLineChars="200"/>
              <w:rPr>
                <w:bCs/>
                <w:sz w:val="24"/>
                <w:szCs w:val="22"/>
              </w:rPr>
            </w:pPr>
            <w:r>
              <w:rPr>
                <w:bCs/>
                <w:sz w:val="24"/>
                <w:szCs w:val="22"/>
              </w:rPr>
              <w:t>Q</w:t>
            </w:r>
            <w:r>
              <w:rPr>
                <w:bCs/>
                <w:sz w:val="24"/>
                <w:szCs w:val="22"/>
                <w:vertAlign w:val="subscript"/>
              </w:rPr>
              <w:t>1</w:t>
            </w:r>
            <w:r>
              <w:rPr>
                <w:bCs/>
                <w:sz w:val="24"/>
                <w:szCs w:val="22"/>
              </w:rPr>
              <w:t>、Q</w:t>
            </w:r>
            <w:r>
              <w:rPr>
                <w:bCs/>
                <w:sz w:val="24"/>
                <w:szCs w:val="22"/>
                <w:vertAlign w:val="subscript"/>
              </w:rPr>
              <w:t>2</w:t>
            </w:r>
            <w:r>
              <w:rPr>
                <w:bCs/>
                <w:sz w:val="24"/>
                <w:szCs w:val="22"/>
              </w:rPr>
              <w:t>、…Q</w:t>
            </w:r>
            <w:r>
              <w:rPr>
                <w:bCs/>
                <w:sz w:val="24"/>
                <w:szCs w:val="22"/>
                <w:vertAlign w:val="subscript"/>
              </w:rPr>
              <w:t>n</w:t>
            </w:r>
            <w:r>
              <w:rPr>
                <w:bCs/>
                <w:sz w:val="24"/>
                <w:szCs w:val="22"/>
              </w:rPr>
              <w:t>----每种环境风险物质的临界量，t。</w:t>
            </w:r>
          </w:p>
          <w:p>
            <w:pPr>
              <w:adjustRightInd w:val="0"/>
              <w:snapToGrid w:val="0"/>
              <w:spacing w:line="360" w:lineRule="auto"/>
              <w:ind w:firstLine="480" w:firstLineChars="200"/>
              <w:rPr>
                <w:bCs/>
                <w:sz w:val="24"/>
                <w:szCs w:val="22"/>
              </w:rPr>
            </w:pPr>
            <w:r>
              <w:rPr>
                <w:bCs/>
                <w:sz w:val="24"/>
                <w:szCs w:val="22"/>
              </w:rPr>
              <w:t>当Q＜1时，该项目环境风险潜势为I。</w:t>
            </w:r>
          </w:p>
          <w:p>
            <w:pPr>
              <w:adjustRightInd w:val="0"/>
              <w:snapToGrid w:val="0"/>
              <w:spacing w:line="360" w:lineRule="auto"/>
              <w:ind w:firstLine="480" w:firstLineChars="200"/>
              <w:rPr>
                <w:bCs/>
                <w:sz w:val="24"/>
                <w:szCs w:val="22"/>
              </w:rPr>
            </w:pPr>
            <w:r>
              <w:rPr>
                <w:bCs/>
                <w:sz w:val="24"/>
                <w:szCs w:val="22"/>
              </w:rPr>
              <w:t>当Q≥1，将Q值划分为：（1）1≤Q＜10；（2）10≤Q＜100；</w:t>
            </w:r>
          </w:p>
          <w:p>
            <w:pPr>
              <w:adjustRightInd w:val="0"/>
              <w:snapToGrid w:val="0"/>
              <w:spacing w:line="360" w:lineRule="auto"/>
              <w:ind w:firstLine="480" w:firstLineChars="200"/>
              <w:rPr>
                <w:bCs/>
                <w:sz w:val="24"/>
              </w:rPr>
            </w:pPr>
            <w:r>
              <w:rPr>
                <w:bCs/>
                <w:sz w:val="24"/>
              </w:rPr>
              <w:t>危废</w:t>
            </w:r>
            <w:r>
              <w:rPr>
                <w:rFonts w:hint="eastAsia"/>
                <w:bCs/>
                <w:sz w:val="24"/>
              </w:rPr>
              <w:t>仓库</w:t>
            </w:r>
            <w:r>
              <w:rPr>
                <w:bCs/>
                <w:sz w:val="24"/>
              </w:rPr>
              <w:t>内有</w:t>
            </w:r>
            <w:r>
              <w:rPr>
                <w:rFonts w:hint="eastAsia"/>
                <w:bCs/>
                <w:sz w:val="24"/>
              </w:rPr>
              <w:t>废切削油、废包装桶等</w:t>
            </w:r>
            <w:r>
              <w:rPr>
                <w:bCs/>
                <w:sz w:val="24"/>
              </w:rPr>
              <w:t>。若上述</w:t>
            </w:r>
            <w:r>
              <w:rPr>
                <w:rFonts w:hint="eastAsia"/>
                <w:bCs/>
                <w:sz w:val="24"/>
              </w:rPr>
              <w:t>废切削油遇明火会引发火灾</w:t>
            </w:r>
            <w:r>
              <w:rPr>
                <w:bCs/>
                <w:sz w:val="24"/>
              </w:rPr>
              <w:t>，会对周围</w:t>
            </w:r>
            <w:r>
              <w:rPr>
                <w:rFonts w:hint="eastAsia"/>
                <w:bCs/>
                <w:sz w:val="24"/>
              </w:rPr>
              <w:t>环境</w:t>
            </w:r>
            <w:r>
              <w:rPr>
                <w:bCs/>
                <w:sz w:val="24"/>
              </w:rPr>
              <w:t>造成一定的影响。根据导则附录B，本项目危险物质数量及临界量比值（Q）统计如下。</w:t>
            </w:r>
          </w:p>
          <w:p>
            <w:pPr>
              <w:adjustRightInd w:val="0"/>
              <w:snapToGrid w:val="0"/>
              <w:jc w:val="center"/>
              <w:rPr>
                <w:b/>
                <w:sz w:val="24"/>
              </w:rPr>
            </w:pPr>
            <w:r>
              <w:rPr>
                <w:b/>
                <w:sz w:val="24"/>
              </w:rPr>
              <w:t>表</w:t>
            </w:r>
            <w:r>
              <w:rPr>
                <w:rFonts w:hint="eastAsia"/>
                <w:b/>
                <w:sz w:val="24"/>
              </w:rPr>
              <w:t>4-18</w:t>
            </w:r>
            <w:r>
              <w:rPr>
                <w:b/>
                <w:sz w:val="24"/>
              </w:rPr>
              <w:t xml:space="preserve"> 本项目危险物质数量及临界量比值（Q）一览表</w:t>
            </w:r>
          </w:p>
          <w:tbl>
            <w:tblPr>
              <w:tblStyle w:val="22"/>
              <w:tblW w:w="4998"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175"/>
              <w:gridCol w:w="3500"/>
              <w:gridCol w:w="854"/>
              <w:gridCol w:w="164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pct"/>
                  <w:tcBorders>
                    <w:top w:val="single" w:color="auto" w:sz="12" w:space="0"/>
                  </w:tcBorders>
                  <w:vAlign w:val="center"/>
                </w:tcPr>
                <w:p>
                  <w:pPr>
                    <w:adjustRightInd w:val="0"/>
                    <w:snapToGrid w:val="0"/>
                    <w:jc w:val="center"/>
                    <w:rPr>
                      <w:b/>
                      <w:bCs/>
                      <w:szCs w:val="21"/>
                    </w:rPr>
                  </w:pPr>
                  <w:r>
                    <w:rPr>
                      <w:b/>
                      <w:bCs/>
                      <w:szCs w:val="21"/>
                    </w:rPr>
                    <w:t>序号</w:t>
                  </w:r>
                </w:p>
              </w:tc>
              <w:tc>
                <w:tcPr>
                  <w:tcW w:w="736" w:type="pct"/>
                  <w:tcBorders>
                    <w:top w:val="single" w:color="auto" w:sz="12" w:space="0"/>
                  </w:tcBorders>
                  <w:vAlign w:val="center"/>
                </w:tcPr>
                <w:p>
                  <w:pPr>
                    <w:adjustRightInd w:val="0"/>
                    <w:snapToGrid w:val="0"/>
                    <w:jc w:val="center"/>
                    <w:rPr>
                      <w:b/>
                      <w:bCs/>
                      <w:szCs w:val="21"/>
                    </w:rPr>
                  </w:pPr>
                  <w:r>
                    <w:rPr>
                      <w:b/>
                      <w:bCs/>
                      <w:szCs w:val="21"/>
                    </w:rPr>
                    <w:t>名称</w:t>
                  </w:r>
                </w:p>
              </w:tc>
              <w:tc>
                <w:tcPr>
                  <w:tcW w:w="2192" w:type="pct"/>
                  <w:tcBorders>
                    <w:top w:val="single" w:color="auto" w:sz="12" w:space="0"/>
                  </w:tcBorders>
                  <w:vAlign w:val="center"/>
                </w:tcPr>
                <w:p>
                  <w:pPr>
                    <w:adjustRightInd w:val="0"/>
                    <w:snapToGrid w:val="0"/>
                    <w:jc w:val="center"/>
                    <w:rPr>
                      <w:b/>
                      <w:bCs/>
                      <w:szCs w:val="21"/>
                    </w:rPr>
                  </w:pPr>
                  <w:r>
                    <w:rPr>
                      <w:b/>
                      <w:bCs/>
                      <w:szCs w:val="21"/>
                    </w:rPr>
                    <w:t>最大存在总量（t）</w:t>
                  </w:r>
                </w:p>
                <w:p>
                  <w:pPr>
                    <w:adjustRightInd w:val="0"/>
                    <w:snapToGrid w:val="0"/>
                    <w:jc w:val="center"/>
                    <w:rPr>
                      <w:b/>
                      <w:bCs/>
                      <w:szCs w:val="21"/>
                    </w:rPr>
                  </w:pPr>
                  <w:r>
                    <w:rPr>
                      <w:b/>
                      <w:bCs/>
                      <w:szCs w:val="21"/>
                    </w:rPr>
                    <w:t>（包括车间暂存量及存储区量）</w:t>
                  </w:r>
                </w:p>
              </w:tc>
              <w:tc>
                <w:tcPr>
                  <w:tcW w:w="535" w:type="pct"/>
                  <w:tcBorders>
                    <w:top w:val="single" w:color="auto" w:sz="12" w:space="0"/>
                  </w:tcBorders>
                  <w:vAlign w:val="center"/>
                </w:tcPr>
                <w:p>
                  <w:pPr>
                    <w:adjustRightInd w:val="0"/>
                    <w:snapToGrid w:val="0"/>
                    <w:jc w:val="center"/>
                    <w:rPr>
                      <w:b/>
                      <w:bCs/>
                      <w:szCs w:val="21"/>
                    </w:rPr>
                  </w:pPr>
                  <w:r>
                    <w:rPr>
                      <w:b/>
                      <w:bCs/>
                      <w:szCs w:val="21"/>
                    </w:rPr>
                    <w:t>临界量（t）</w:t>
                  </w:r>
                </w:p>
              </w:tc>
              <w:tc>
                <w:tcPr>
                  <w:tcW w:w="1027" w:type="pct"/>
                  <w:tcBorders>
                    <w:top w:val="single" w:color="auto" w:sz="12" w:space="0"/>
                  </w:tcBorders>
                  <w:vAlign w:val="center"/>
                </w:tcPr>
                <w:p>
                  <w:pPr>
                    <w:adjustRightInd w:val="0"/>
                    <w:snapToGrid w:val="0"/>
                    <w:jc w:val="center"/>
                    <w:rPr>
                      <w:b/>
                      <w:bCs/>
                      <w:szCs w:val="21"/>
                    </w:rPr>
                  </w:pPr>
                  <w:r>
                    <w:rPr>
                      <w:b/>
                      <w:bCs/>
                      <w:szCs w:val="21"/>
                    </w:rPr>
                    <w:object>
                      <v:shape id="_x0000_i1027" o:spt="75" type="#_x0000_t75" style="height:34pt;width:18pt;" o:ole="t" filled="f" o:preferrelative="t" stroked="f" coordsize="21600,21600">
                        <v:path/>
                        <v:fill on="f" focussize="0,0"/>
                        <v:stroke on="f" joinstyle="miter"/>
                        <v:imagedata r:id="rId19" o:title=""/>
                        <o:lock v:ext="edit" aspectratio="t"/>
                        <w10:wrap type="none"/>
                        <w10:anchorlock/>
                      </v:shape>
                      <o:OLEObject Type="Embed" ProgID="Equation.3" ShapeID="_x0000_i1027" DrawAspect="Content" ObjectID="_1468075727" r:id="rId18">
                        <o:LockedField>false</o:LockedField>
                      </o:OLEObject>
                    </w:objec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pct"/>
                  <w:vAlign w:val="center"/>
                </w:tcPr>
                <w:p>
                  <w:pPr>
                    <w:adjustRightInd w:val="0"/>
                    <w:snapToGrid w:val="0"/>
                    <w:jc w:val="center"/>
                    <w:rPr>
                      <w:szCs w:val="21"/>
                    </w:rPr>
                  </w:pPr>
                  <w:r>
                    <w:rPr>
                      <w:rFonts w:hint="eastAsia"/>
                      <w:szCs w:val="21"/>
                    </w:rPr>
                    <w:t>1</w:t>
                  </w:r>
                </w:p>
              </w:tc>
              <w:tc>
                <w:tcPr>
                  <w:tcW w:w="736" w:type="pct"/>
                  <w:vAlign w:val="center"/>
                </w:tcPr>
                <w:p>
                  <w:pPr>
                    <w:jc w:val="center"/>
                    <w:rPr>
                      <w:szCs w:val="21"/>
                    </w:rPr>
                  </w:pPr>
                  <w:r>
                    <w:rPr>
                      <w:rFonts w:hint="eastAsia"/>
                      <w:szCs w:val="21"/>
                    </w:rPr>
                    <w:t>切削油</w:t>
                  </w:r>
                </w:p>
              </w:tc>
              <w:tc>
                <w:tcPr>
                  <w:tcW w:w="2192" w:type="pct"/>
                  <w:vAlign w:val="center"/>
                </w:tcPr>
                <w:p>
                  <w:pPr>
                    <w:adjustRightInd w:val="0"/>
                    <w:snapToGrid w:val="0"/>
                    <w:jc w:val="center"/>
                    <w:rPr>
                      <w:szCs w:val="21"/>
                    </w:rPr>
                  </w:pPr>
                  <w:r>
                    <w:rPr>
                      <w:rFonts w:hint="eastAsia"/>
                      <w:szCs w:val="21"/>
                    </w:rPr>
                    <w:t>0.51</w:t>
                  </w:r>
                </w:p>
              </w:tc>
              <w:tc>
                <w:tcPr>
                  <w:tcW w:w="535" w:type="pct"/>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2500</w:t>
                  </w:r>
                </w:p>
              </w:tc>
              <w:tc>
                <w:tcPr>
                  <w:tcW w:w="1027" w:type="pct"/>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0.0002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pct"/>
                  <w:vAlign w:val="center"/>
                </w:tcPr>
                <w:p>
                  <w:pPr>
                    <w:adjustRightInd w:val="0"/>
                    <w:snapToGrid w:val="0"/>
                    <w:jc w:val="center"/>
                    <w:rPr>
                      <w:szCs w:val="21"/>
                    </w:rPr>
                  </w:pPr>
                  <w:r>
                    <w:rPr>
                      <w:rFonts w:hint="eastAsia"/>
                      <w:szCs w:val="21"/>
                    </w:rPr>
                    <w:t>2</w:t>
                  </w:r>
                </w:p>
              </w:tc>
              <w:tc>
                <w:tcPr>
                  <w:tcW w:w="736" w:type="pct"/>
                  <w:vAlign w:val="center"/>
                </w:tcPr>
                <w:p>
                  <w:pPr>
                    <w:jc w:val="center"/>
                    <w:rPr>
                      <w:szCs w:val="21"/>
                    </w:rPr>
                  </w:pPr>
                  <w:r>
                    <w:rPr>
                      <w:rFonts w:hint="eastAsia"/>
                      <w:szCs w:val="21"/>
                    </w:rPr>
                    <w:t>润滑油</w:t>
                  </w:r>
                </w:p>
              </w:tc>
              <w:tc>
                <w:tcPr>
                  <w:tcW w:w="2192" w:type="pct"/>
                  <w:vAlign w:val="center"/>
                </w:tcPr>
                <w:p>
                  <w:pPr>
                    <w:adjustRightInd w:val="0"/>
                    <w:snapToGrid w:val="0"/>
                    <w:jc w:val="center"/>
                    <w:rPr>
                      <w:szCs w:val="21"/>
                    </w:rPr>
                  </w:pPr>
                  <w:r>
                    <w:rPr>
                      <w:rFonts w:hint="eastAsia"/>
                      <w:szCs w:val="21"/>
                    </w:rPr>
                    <w:t>0.17</w:t>
                  </w:r>
                </w:p>
              </w:tc>
              <w:tc>
                <w:tcPr>
                  <w:tcW w:w="535" w:type="pct"/>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2500</w:t>
                  </w:r>
                </w:p>
              </w:tc>
              <w:tc>
                <w:tcPr>
                  <w:tcW w:w="1027" w:type="pct"/>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0.00007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pct"/>
                  <w:vAlign w:val="center"/>
                </w:tcPr>
                <w:p>
                  <w:pPr>
                    <w:adjustRightInd w:val="0"/>
                    <w:snapToGrid w:val="0"/>
                    <w:jc w:val="center"/>
                    <w:rPr>
                      <w:szCs w:val="21"/>
                    </w:rPr>
                  </w:pPr>
                  <w:r>
                    <w:rPr>
                      <w:rFonts w:hint="eastAsia"/>
                      <w:szCs w:val="21"/>
                    </w:rPr>
                    <w:t>3</w:t>
                  </w:r>
                </w:p>
              </w:tc>
              <w:tc>
                <w:tcPr>
                  <w:tcW w:w="736" w:type="pct"/>
                  <w:vAlign w:val="center"/>
                </w:tcPr>
                <w:p>
                  <w:pPr>
                    <w:jc w:val="center"/>
                    <w:rPr>
                      <w:szCs w:val="21"/>
                    </w:rPr>
                  </w:pPr>
                  <w:r>
                    <w:rPr>
                      <w:szCs w:val="21"/>
                    </w:rPr>
                    <w:t>废</w:t>
                  </w:r>
                  <w:r>
                    <w:rPr>
                      <w:rFonts w:hint="eastAsia"/>
                      <w:szCs w:val="21"/>
                    </w:rPr>
                    <w:t>切削油</w:t>
                  </w:r>
                </w:p>
              </w:tc>
              <w:tc>
                <w:tcPr>
                  <w:tcW w:w="2192" w:type="pct"/>
                  <w:vAlign w:val="center"/>
                </w:tcPr>
                <w:p>
                  <w:pPr>
                    <w:adjustRightInd w:val="0"/>
                    <w:snapToGrid w:val="0"/>
                    <w:jc w:val="center"/>
                    <w:rPr>
                      <w:szCs w:val="21"/>
                    </w:rPr>
                  </w:pPr>
                  <w:r>
                    <w:rPr>
                      <w:rFonts w:hint="eastAsia"/>
                      <w:szCs w:val="21"/>
                    </w:rPr>
                    <w:t>0.05</w:t>
                  </w:r>
                </w:p>
              </w:tc>
              <w:tc>
                <w:tcPr>
                  <w:tcW w:w="535" w:type="pct"/>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2500</w:t>
                  </w:r>
                </w:p>
              </w:tc>
              <w:tc>
                <w:tcPr>
                  <w:tcW w:w="1027" w:type="pct"/>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0.00002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pct"/>
                  <w:vAlign w:val="center"/>
                </w:tcPr>
                <w:p>
                  <w:pPr>
                    <w:adjustRightInd w:val="0"/>
                    <w:snapToGrid w:val="0"/>
                    <w:jc w:val="center"/>
                    <w:rPr>
                      <w:szCs w:val="21"/>
                    </w:rPr>
                  </w:pPr>
                  <w:r>
                    <w:rPr>
                      <w:rFonts w:hint="eastAsia"/>
                      <w:szCs w:val="21"/>
                    </w:rPr>
                    <w:t>4</w:t>
                  </w:r>
                </w:p>
              </w:tc>
              <w:tc>
                <w:tcPr>
                  <w:tcW w:w="736" w:type="pct"/>
                  <w:vAlign w:val="center"/>
                </w:tcPr>
                <w:p>
                  <w:pPr>
                    <w:jc w:val="center"/>
                    <w:rPr>
                      <w:szCs w:val="21"/>
                    </w:rPr>
                  </w:pPr>
                  <w:r>
                    <w:rPr>
                      <w:rFonts w:hint="eastAsia"/>
                      <w:szCs w:val="21"/>
                    </w:rPr>
                    <w:t>废包装桶</w:t>
                  </w:r>
                </w:p>
              </w:tc>
              <w:tc>
                <w:tcPr>
                  <w:tcW w:w="2192" w:type="pct"/>
                  <w:vAlign w:val="center"/>
                </w:tcPr>
                <w:p>
                  <w:pPr>
                    <w:adjustRightInd w:val="0"/>
                    <w:snapToGrid w:val="0"/>
                    <w:jc w:val="center"/>
                    <w:rPr>
                      <w:szCs w:val="21"/>
                    </w:rPr>
                  </w:pPr>
                  <w:r>
                    <w:rPr>
                      <w:rFonts w:hint="eastAsia"/>
                      <w:szCs w:val="21"/>
                    </w:rPr>
                    <w:t>0.0625</w:t>
                  </w:r>
                </w:p>
              </w:tc>
              <w:tc>
                <w:tcPr>
                  <w:tcW w:w="535" w:type="pct"/>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100</w:t>
                  </w:r>
                </w:p>
              </w:tc>
              <w:tc>
                <w:tcPr>
                  <w:tcW w:w="1027" w:type="pct"/>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0.000625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10" w:type="pct"/>
                  <w:vAlign w:val="center"/>
                </w:tcPr>
                <w:p>
                  <w:pPr>
                    <w:adjustRightInd w:val="0"/>
                    <w:snapToGrid w:val="0"/>
                    <w:jc w:val="center"/>
                    <w:rPr>
                      <w:szCs w:val="21"/>
                    </w:rPr>
                  </w:pPr>
                  <w:r>
                    <w:rPr>
                      <w:rFonts w:hint="eastAsia"/>
                      <w:szCs w:val="21"/>
                    </w:rPr>
                    <w:t>5</w:t>
                  </w:r>
                </w:p>
              </w:tc>
              <w:tc>
                <w:tcPr>
                  <w:tcW w:w="736" w:type="pct"/>
                  <w:vAlign w:val="center"/>
                </w:tcPr>
                <w:p>
                  <w:pPr>
                    <w:jc w:val="center"/>
                    <w:rPr>
                      <w:szCs w:val="21"/>
                    </w:rPr>
                  </w:pPr>
                  <w:r>
                    <w:rPr>
                      <w:rFonts w:hint="eastAsia"/>
                      <w:szCs w:val="21"/>
                    </w:rPr>
                    <w:t>清洗废液</w:t>
                  </w:r>
                </w:p>
              </w:tc>
              <w:tc>
                <w:tcPr>
                  <w:tcW w:w="2192" w:type="pct"/>
                  <w:vAlign w:val="center"/>
                </w:tcPr>
                <w:p>
                  <w:pPr>
                    <w:adjustRightInd w:val="0"/>
                    <w:snapToGrid w:val="0"/>
                    <w:jc w:val="center"/>
                    <w:rPr>
                      <w:szCs w:val="21"/>
                    </w:rPr>
                  </w:pPr>
                  <w:r>
                    <w:rPr>
                      <w:rFonts w:hint="eastAsia"/>
                      <w:szCs w:val="21"/>
                    </w:rPr>
                    <w:t>0.477</w:t>
                  </w:r>
                </w:p>
              </w:tc>
              <w:tc>
                <w:tcPr>
                  <w:tcW w:w="535" w:type="pct"/>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100</w:t>
                  </w:r>
                </w:p>
              </w:tc>
              <w:tc>
                <w:tcPr>
                  <w:tcW w:w="1027" w:type="pct"/>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0.00477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73" w:type="pct"/>
                  <w:gridSpan w:val="4"/>
                  <w:tcBorders>
                    <w:bottom w:val="single" w:color="auto" w:sz="12" w:space="0"/>
                  </w:tcBorders>
                  <w:vAlign w:val="center"/>
                </w:tcPr>
                <w:p>
                  <w:pPr>
                    <w:pStyle w:val="5"/>
                    <w:adjustRightInd w:val="0"/>
                    <w:snapToGrid w:val="0"/>
                    <w:ind w:firstLine="0"/>
                    <w:jc w:val="center"/>
                    <w:rPr>
                      <w:rFonts w:ascii="Times New Roman" w:hAnsi="Times New Roman"/>
                      <w:bCs/>
                      <w:szCs w:val="21"/>
                    </w:rPr>
                  </w:pPr>
                  <w:r>
                    <w:rPr>
                      <w:rFonts w:ascii="Times New Roman" w:hAnsi="Times New Roman"/>
                      <w:szCs w:val="21"/>
                    </w:rPr>
                    <w:t>合计</w:t>
                  </w:r>
                </w:p>
              </w:tc>
              <w:tc>
                <w:tcPr>
                  <w:tcW w:w="1027" w:type="pct"/>
                  <w:tcBorders>
                    <w:bottom w:val="single" w:color="auto" w:sz="12" w:space="0"/>
                  </w:tcBorders>
                  <w:vAlign w:val="center"/>
                </w:tcPr>
                <w:p>
                  <w:pPr>
                    <w:pStyle w:val="5"/>
                    <w:adjustRightInd w:val="0"/>
                    <w:snapToGrid w:val="0"/>
                    <w:ind w:firstLine="0"/>
                    <w:jc w:val="center"/>
                    <w:rPr>
                      <w:rFonts w:ascii="Times New Roman" w:hAnsi="Times New Roman"/>
                      <w:bCs/>
                      <w:szCs w:val="21"/>
                    </w:rPr>
                  </w:pPr>
                  <w:r>
                    <w:rPr>
                      <w:rFonts w:hint="eastAsia" w:ascii="Times New Roman" w:hAnsi="Times New Roman"/>
                      <w:bCs/>
                      <w:szCs w:val="21"/>
                    </w:rPr>
                    <w:t>0.00569</w:t>
                  </w:r>
                </w:p>
              </w:tc>
            </w:tr>
          </w:tbl>
          <w:p>
            <w:pPr>
              <w:adjustRightInd w:val="0"/>
              <w:snapToGrid w:val="0"/>
              <w:rPr>
                <w:b/>
                <w:szCs w:val="21"/>
              </w:rPr>
            </w:pPr>
            <w:r>
              <w:rPr>
                <w:b/>
                <w:szCs w:val="21"/>
              </w:rPr>
              <w:t>注：</w:t>
            </w:r>
            <w:r>
              <w:rPr>
                <w:rFonts w:hint="eastAsia"/>
                <w:b/>
                <w:szCs w:val="21"/>
              </w:rPr>
              <w:t>切削油、润滑油、废切削油临界值参照</w:t>
            </w:r>
            <w:r>
              <w:rPr>
                <w:b/>
                <w:szCs w:val="21"/>
              </w:rPr>
              <w:t>《建设项目环境风险评价技术导则》（HJ169—2018）表B.</w:t>
            </w:r>
            <w:r>
              <w:rPr>
                <w:rFonts w:hint="eastAsia"/>
                <w:b/>
                <w:szCs w:val="21"/>
              </w:rPr>
              <w:t>1</w:t>
            </w:r>
            <w:r>
              <w:rPr>
                <w:b/>
                <w:szCs w:val="21"/>
              </w:rPr>
              <w:t>中“</w:t>
            </w:r>
            <w:r>
              <w:rPr>
                <w:rFonts w:hint="eastAsia"/>
                <w:b/>
                <w:szCs w:val="21"/>
              </w:rPr>
              <w:t>油类物质</w:t>
            </w:r>
            <w:r>
              <w:rPr>
                <w:b/>
                <w:szCs w:val="21"/>
              </w:rPr>
              <w:t>”临界值</w:t>
            </w:r>
            <w:r>
              <w:rPr>
                <w:rFonts w:hint="eastAsia"/>
                <w:b/>
                <w:szCs w:val="21"/>
              </w:rPr>
              <w:t>；清洗废液、废包装桶</w:t>
            </w:r>
            <w:r>
              <w:rPr>
                <w:b/>
                <w:szCs w:val="21"/>
              </w:rPr>
              <w:t>临界值参照《建设项目环境风险评价技术导则》（HJ169—2018）表B.2中“危害水环境物</w:t>
            </w:r>
            <w:r>
              <w:rPr>
                <w:rFonts w:hint="eastAsia"/>
                <w:b/>
                <w:szCs w:val="21"/>
              </w:rPr>
              <w:t>（急性毒性类别：急性1，慢性毒性类别：慢性1）</w:t>
            </w:r>
            <w:r>
              <w:rPr>
                <w:b/>
                <w:szCs w:val="21"/>
              </w:rPr>
              <w:t>”临界值</w:t>
            </w:r>
            <w:r>
              <w:rPr>
                <w:rFonts w:hint="eastAsia"/>
                <w:b/>
                <w:szCs w:val="21"/>
              </w:rPr>
              <w:t>；</w:t>
            </w:r>
          </w:p>
          <w:p>
            <w:pPr>
              <w:adjustRightInd w:val="0"/>
              <w:snapToGrid w:val="0"/>
              <w:spacing w:line="360" w:lineRule="auto"/>
              <w:ind w:firstLine="480" w:firstLineChars="200"/>
              <w:rPr>
                <w:bCs/>
                <w:sz w:val="24"/>
              </w:rPr>
            </w:pPr>
            <w:r>
              <w:rPr>
                <w:bCs/>
                <w:sz w:val="24"/>
              </w:rPr>
              <w:t>经分析可知，本项目Q＜1，环境风险势能直接判断为I等级，根据《建设项目环境风险评价技术导则》（HJ169—2018）相关要求，对本项目评价内容进行简单分析。</w:t>
            </w:r>
          </w:p>
          <w:p>
            <w:pPr>
              <w:adjustRightInd w:val="0"/>
              <w:snapToGrid w:val="0"/>
              <w:spacing w:line="360" w:lineRule="auto"/>
              <w:ind w:firstLine="482" w:firstLineChars="200"/>
              <w:rPr>
                <w:b/>
                <w:bCs/>
                <w:sz w:val="24"/>
                <w:szCs w:val="22"/>
              </w:rPr>
            </w:pPr>
            <w:r>
              <w:rPr>
                <w:b/>
                <w:bCs/>
                <w:sz w:val="24"/>
                <w:szCs w:val="22"/>
              </w:rPr>
              <w:t>（2）风险评价</w:t>
            </w:r>
          </w:p>
          <w:p>
            <w:pPr>
              <w:snapToGrid w:val="0"/>
              <w:spacing w:line="360" w:lineRule="auto"/>
              <w:ind w:firstLine="480" w:firstLineChars="200"/>
              <w:rPr>
                <w:bCs/>
                <w:sz w:val="24"/>
              </w:rPr>
            </w:pPr>
            <w:r>
              <w:rPr>
                <w:bCs/>
                <w:sz w:val="24"/>
              </w:rPr>
              <w:t>1）评价依据：根据评价工作等级划分，本项目Q＜1，环境风险势能直接判断为I等级。</w:t>
            </w:r>
          </w:p>
          <w:p>
            <w:pPr>
              <w:snapToGrid w:val="0"/>
              <w:spacing w:line="360" w:lineRule="auto"/>
              <w:ind w:firstLine="480" w:firstLineChars="200"/>
              <w:rPr>
                <w:bCs/>
                <w:sz w:val="24"/>
              </w:rPr>
            </w:pPr>
            <w:r>
              <w:rPr>
                <w:bCs/>
                <w:sz w:val="24"/>
              </w:rPr>
              <w:t>2）环境敏感目标概况：项目周边500m范围内无地下取水口。</w:t>
            </w:r>
          </w:p>
          <w:p>
            <w:pPr>
              <w:snapToGrid w:val="0"/>
              <w:spacing w:line="360" w:lineRule="auto"/>
              <w:ind w:firstLine="480" w:firstLineChars="200"/>
              <w:rPr>
                <w:bCs/>
                <w:sz w:val="24"/>
              </w:rPr>
            </w:pPr>
            <w:r>
              <w:rPr>
                <w:bCs/>
                <w:sz w:val="24"/>
              </w:rPr>
              <w:t>3）环境风险识别：厂区内存有一定数量的切削液</w:t>
            </w:r>
            <w:r>
              <w:rPr>
                <w:rFonts w:hint="eastAsia"/>
                <w:bCs/>
                <w:sz w:val="24"/>
              </w:rPr>
              <w:t>、润滑油</w:t>
            </w:r>
            <w:r>
              <w:rPr>
                <w:bCs/>
                <w:sz w:val="24"/>
              </w:rPr>
              <w:t>和危险废物，对水环境存在一定风险。</w:t>
            </w:r>
          </w:p>
          <w:p>
            <w:pPr>
              <w:snapToGrid w:val="0"/>
              <w:spacing w:line="360" w:lineRule="auto"/>
              <w:ind w:firstLine="480" w:firstLineChars="200"/>
              <w:rPr>
                <w:bCs/>
                <w:sz w:val="24"/>
              </w:rPr>
            </w:pPr>
            <w:r>
              <w:rPr>
                <w:bCs/>
                <w:sz w:val="24"/>
              </w:rPr>
              <w:t>4）环境风险分析</w:t>
            </w:r>
          </w:p>
          <w:p>
            <w:pPr>
              <w:snapToGrid w:val="0"/>
              <w:spacing w:line="360" w:lineRule="auto"/>
              <w:ind w:firstLine="480" w:firstLineChars="200"/>
              <w:rPr>
                <w:bCs/>
                <w:sz w:val="24"/>
              </w:rPr>
            </w:pPr>
            <w:r>
              <w:rPr>
                <w:bCs/>
                <w:sz w:val="24"/>
              </w:rPr>
              <w:t>①大气环境影响分析</w:t>
            </w:r>
          </w:p>
          <w:p>
            <w:pPr>
              <w:snapToGrid w:val="0"/>
              <w:spacing w:line="360" w:lineRule="auto"/>
              <w:ind w:firstLine="480" w:firstLineChars="200"/>
              <w:rPr>
                <w:bCs/>
                <w:sz w:val="24"/>
              </w:rPr>
            </w:pPr>
            <w:r>
              <w:rPr>
                <w:bCs/>
                <w:sz w:val="24"/>
              </w:rPr>
              <w:t>a.火灾、爆炸事故影响分析</w:t>
            </w:r>
          </w:p>
          <w:p>
            <w:pPr>
              <w:snapToGrid w:val="0"/>
              <w:spacing w:line="360" w:lineRule="auto"/>
              <w:ind w:firstLine="480" w:firstLineChars="200"/>
              <w:rPr>
                <w:bCs/>
                <w:sz w:val="24"/>
              </w:rPr>
            </w:pPr>
            <w:r>
              <w:rPr>
                <w:bCs/>
                <w:sz w:val="24"/>
              </w:rPr>
              <w:t>火灾事故的影响主要表现热辐射及燃烧废气对周围环境的影响。如果热辐射非常高可能引起其它易燃物质起火。此外，热辐射也会使有机体燃烧，同时发生爆炸事故时，容易衍生出消防废水等泄漏进入土壤或地表水，进而污染周边环境。对此企业应加强线路设备的维护保养与检修，确保各类设备处于正常运行状态。</w:t>
            </w:r>
          </w:p>
          <w:p>
            <w:pPr>
              <w:snapToGrid w:val="0"/>
              <w:spacing w:line="360" w:lineRule="auto"/>
              <w:ind w:firstLine="480" w:firstLineChars="200"/>
              <w:rPr>
                <w:bCs/>
                <w:sz w:val="24"/>
              </w:rPr>
            </w:pPr>
            <w:r>
              <w:rPr>
                <w:bCs/>
                <w:sz w:val="24"/>
              </w:rPr>
              <w:t>②地表水环境影响分析</w:t>
            </w:r>
          </w:p>
          <w:p>
            <w:pPr>
              <w:snapToGrid w:val="0"/>
              <w:spacing w:line="360" w:lineRule="auto"/>
              <w:ind w:firstLine="480" w:firstLineChars="200"/>
              <w:rPr>
                <w:bCs/>
                <w:sz w:val="24"/>
              </w:rPr>
            </w:pPr>
            <w:r>
              <w:rPr>
                <w:bCs/>
                <w:sz w:val="24"/>
              </w:rPr>
              <w:t>a.液体物料泄漏事故风险评价</w:t>
            </w:r>
          </w:p>
          <w:p>
            <w:pPr>
              <w:snapToGrid w:val="0"/>
              <w:spacing w:line="360" w:lineRule="auto"/>
              <w:ind w:firstLine="480" w:firstLineChars="200"/>
              <w:rPr>
                <w:bCs/>
                <w:sz w:val="24"/>
              </w:rPr>
            </w:pPr>
            <w:r>
              <w:rPr>
                <w:bCs/>
                <w:sz w:val="24"/>
              </w:rPr>
              <w:t>根据项目所使用的原辅物料理化性质分析，项目生产过程中使用的切削液</w:t>
            </w:r>
            <w:r>
              <w:rPr>
                <w:rFonts w:hint="eastAsia"/>
                <w:bCs/>
                <w:sz w:val="24"/>
              </w:rPr>
              <w:t>、润滑油</w:t>
            </w:r>
            <w:r>
              <w:rPr>
                <w:bCs/>
                <w:sz w:val="24"/>
              </w:rPr>
              <w:t>和危险废物泄露进入水体，会对一定面积水生生物产生严重影响。若泄露地面未进行防腐防渗处理，会对地下水环境产生影响。</w:t>
            </w:r>
          </w:p>
          <w:p>
            <w:pPr>
              <w:snapToGrid w:val="0"/>
              <w:spacing w:line="360" w:lineRule="auto"/>
              <w:ind w:firstLine="480" w:firstLineChars="200"/>
              <w:rPr>
                <w:bCs/>
                <w:sz w:val="24"/>
              </w:rPr>
            </w:pPr>
            <w:r>
              <w:rPr>
                <w:bCs/>
                <w:sz w:val="24"/>
              </w:rPr>
              <w:t>因此转移过程中需严格按要求操作，并保持转移路线的通畅，地面进行防腐防渗处理，设置地下水水质监测井，定期对区内水质、水位进行监测，一旦发现异常，立即查明原因，采取措施控制污染物扩散。</w:t>
            </w:r>
          </w:p>
          <w:p>
            <w:pPr>
              <w:snapToGrid w:val="0"/>
              <w:spacing w:line="360" w:lineRule="auto"/>
              <w:ind w:firstLine="480" w:firstLineChars="200"/>
              <w:rPr>
                <w:bCs/>
                <w:sz w:val="24"/>
              </w:rPr>
            </w:pPr>
            <w:bookmarkStart w:id="21" w:name="_GoBack"/>
            <w:bookmarkEnd w:id="21"/>
            <w:r>
              <w:rPr>
                <w:bCs/>
                <w:sz w:val="24"/>
              </w:rPr>
              <w:t>b.火灾、爆炸事故影响分析</w:t>
            </w:r>
          </w:p>
          <w:p>
            <w:pPr>
              <w:snapToGrid w:val="0"/>
              <w:spacing w:line="360" w:lineRule="auto"/>
              <w:ind w:firstLine="480" w:firstLineChars="200"/>
              <w:rPr>
                <w:bCs/>
                <w:sz w:val="24"/>
              </w:rPr>
            </w:pPr>
            <w:r>
              <w:rPr>
                <w:bCs/>
                <w:sz w:val="24"/>
              </w:rPr>
              <w:t>火灾爆炸事故容易衍生出消防废水等泄漏进入地表水，进而污染周边环境。</w:t>
            </w:r>
          </w:p>
          <w:p>
            <w:pPr>
              <w:snapToGrid w:val="0"/>
              <w:spacing w:line="360" w:lineRule="auto"/>
              <w:ind w:firstLine="480" w:firstLineChars="200"/>
              <w:rPr>
                <w:bCs/>
                <w:sz w:val="24"/>
              </w:rPr>
            </w:pPr>
            <w:r>
              <w:rPr>
                <w:bCs/>
                <w:sz w:val="24"/>
              </w:rPr>
              <w:t>③地下水环境影响分析</w:t>
            </w:r>
          </w:p>
          <w:p>
            <w:pPr>
              <w:snapToGrid w:val="0"/>
              <w:spacing w:line="360" w:lineRule="auto"/>
              <w:ind w:firstLine="480" w:firstLineChars="200"/>
              <w:rPr>
                <w:bCs/>
                <w:sz w:val="24"/>
              </w:rPr>
            </w:pPr>
            <w:r>
              <w:rPr>
                <w:bCs/>
                <w:sz w:val="24"/>
              </w:rPr>
              <w:t>本项目危险废物等若未按要求收集暂存随意堆放，可能会渗入到周围土壤、地下水中，导致地下水环境受到污染，危废未按要求处置，随意倾倒填埋可能会导致倾倒区及周围水体环境受到污染。</w:t>
            </w:r>
          </w:p>
          <w:p>
            <w:pPr>
              <w:snapToGrid w:val="0"/>
              <w:spacing w:line="360" w:lineRule="auto"/>
              <w:ind w:firstLine="480" w:firstLineChars="200"/>
              <w:rPr>
                <w:bCs/>
                <w:sz w:val="24"/>
              </w:rPr>
            </w:pPr>
            <w:r>
              <w:rPr>
                <w:bCs/>
                <w:sz w:val="24"/>
              </w:rPr>
              <w:t>5）环境风险防范措施及应急要求</w:t>
            </w:r>
          </w:p>
          <w:p>
            <w:pPr>
              <w:snapToGrid w:val="0"/>
              <w:spacing w:line="360" w:lineRule="auto"/>
              <w:ind w:firstLine="480" w:firstLineChars="200"/>
              <w:rPr>
                <w:bCs/>
                <w:sz w:val="24"/>
              </w:rPr>
            </w:pPr>
            <w:r>
              <w:rPr>
                <w:bCs/>
                <w:sz w:val="24"/>
              </w:rPr>
              <w:t>a.使用防爆、防火电缆，电气设施进行了触电保护，爆炸危险区域的划分、防爆电器（气）的安装和布防必须符合《爆炸和火灾环境电力装置设计规范(GB50058)》要求。各装置防静电设计应符合《防止静电事故通用导则》（GB12518）以及《工业企业静电接地设计规程》（HGJ28）；各装置防静电设计应根据生产工艺要求，作业环境特点和物料性质采取相应的防静电措施；各生产装置在防爆区域内的所有金属设备、管道等都必须设计静电接地装置，且接地电阻符合规范要求：不大于10Ω；非导电设备、管道等应设计间接接地或采用屏蔽方法，屏蔽体必须可靠接地；根据生产特点配置必要的静电检测仪器、仪表。</w:t>
            </w:r>
          </w:p>
          <w:p>
            <w:pPr>
              <w:snapToGrid w:val="0"/>
              <w:spacing w:line="360" w:lineRule="auto"/>
              <w:ind w:firstLine="480" w:firstLineChars="200"/>
              <w:rPr>
                <w:bCs/>
                <w:sz w:val="24"/>
              </w:rPr>
            </w:pPr>
            <w:r>
              <w:rPr>
                <w:bCs/>
                <w:sz w:val="24"/>
              </w:rPr>
              <w:t>b.定期检查、维护生产中使用的设备、仓库，确保各设施、设备正常运行。</w:t>
            </w:r>
          </w:p>
          <w:p>
            <w:pPr>
              <w:snapToGrid w:val="0"/>
              <w:spacing w:line="360" w:lineRule="auto"/>
              <w:ind w:firstLine="480" w:firstLineChars="200"/>
              <w:rPr>
                <w:bCs/>
                <w:sz w:val="24"/>
              </w:rPr>
            </w:pPr>
            <w:r>
              <w:rPr>
                <w:bCs/>
                <w:sz w:val="24"/>
              </w:rPr>
              <w:t>c.生产车间、仓库均配备黄沙箱、吸油毡、应急桶等，用于泄漏的原辅料应急暂存。</w:t>
            </w:r>
          </w:p>
          <w:p>
            <w:pPr>
              <w:snapToGrid w:val="0"/>
              <w:spacing w:line="360" w:lineRule="auto"/>
              <w:ind w:firstLine="480" w:firstLineChars="200"/>
              <w:rPr>
                <w:bCs/>
                <w:sz w:val="24"/>
              </w:rPr>
            </w:pPr>
            <w:r>
              <w:rPr>
                <w:bCs/>
                <w:sz w:val="24"/>
              </w:rPr>
              <w:t>d.生产区和各仓库设置干粉灭火器和泡沫灭火器、消防砂；厂内采用电话报警，专人负责，发生火灾时，及时向有关负责人通报火警；根据实际情况设置感烟、感温探测器及手动报警按钮等。</w:t>
            </w:r>
          </w:p>
          <w:p>
            <w:pPr>
              <w:snapToGrid w:val="0"/>
              <w:spacing w:line="360" w:lineRule="auto"/>
              <w:ind w:firstLine="480" w:firstLineChars="200"/>
              <w:rPr>
                <w:bCs/>
                <w:sz w:val="24"/>
              </w:rPr>
            </w:pPr>
            <w:r>
              <w:rPr>
                <w:bCs/>
                <w:sz w:val="24"/>
              </w:rPr>
              <w:t>e.生产现场设置各种安全标志。按照规范对凡需要迅速发现并引起注意以防发生事故的场所、部位均按要求涂安全色。</w:t>
            </w:r>
          </w:p>
          <w:p>
            <w:pPr>
              <w:snapToGrid w:val="0"/>
              <w:spacing w:line="360" w:lineRule="auto"/>
              <w:ind w:firstLine="480" w:firstLineChars="200"/>
              <w:rPr>
                <w:bCs/>
                <w:sz w:val="24"/>
              </w:rPr>
            </w:pPr>
            <w:r>
              <w:rPr>
                <w:bCs/>
                <w:sz w:val="24"/>
              </w:rPr>
              <w:t>f.一旦发生火灾，应立即停止生产，迅速使用厂内灭火器材，同时，通知镇、区消防支队；并迅速疏散厂内职工和周围群众撤离现场。</w:t>
            </w:r>
          </w:p>
          <w:p>
            <w:pPr>
              <w:snapToGrid w:val="0"/>
              <w:spacing w:line="360" w:lineRule="auto"/>
              <w:ind w:firstLine="480" w:firstLineChars="200"/>
              <w:rPr>
                <w:bCs/>
                <w:sz w:val="24"/>
              </w:rPr>
            </w:pPr>
            <w:r>
              <w:rPr>
                <w:bCs/>
                <w:sz w:val="24"/>
              </w:rPr>
              <w:t>g.加强工厂、车间的安全环保管理，对全厂职工进行安全环保的教育和培训，实行上岗证制度。</w:t>
            </w:r>
          </w:p>
          <w:p>
            <w:pPr>
              <w:snapToGrid w:val="0"/>
              <w:spacing w:line="360" w:lineRule="auto"/>
              <w:ind w:firstLine="480" w:firstLineChars="200"/>
              <w:rPr>
                <w:bCs/>
                <w:sz w:val="24"/>
              </w:rPr>
            </w:pPr>
            <w:r>
              <w:rPr>
                <w:bCs/>
                <w:sz w:val="24"/>
              </w:rPr>
              <w:t>h.定期检查生产和原料贮存区，杜绝事故隐患，降低事故发生概率。</w:t>
            </w:r>
          </w:p>
          <w:p>
            <w:pPr>
              <w:adjustRightInd w:val="0"/>
              <w:snapToGrid w:val="0"/>
              <w:spacing w:line="360" w:lineRule="auto"/>
              <w:ind w:firstLine="480" w:firstLineChars="200"/>
              <w:rPr>
                <w:bCs/>
                <w:sz w:val="24"/>
                <w:szCs w:val="22"/>
              </w:rPr>
            </w:pPr>
            <w:r>
              <w:rPr>
                <w:bCs/>
                <w:sz w:val="24"/>
              </w:rPr>
              <w:t>i.配备24小时有效的报警装置，建立有效的内部、外部通讯联络手段。上述措施可满足本项目风险防范及应急需求且具有可行性。在采取规范化环境风险防范措施和应急措施的前提下，本项目环境风险可控。</w:t>
            </w:r>
          </w:p>
          <w:p>
            <w:pPr>
              <w:adjustRightInd w:val="0"/>
              <w:snapToGrid w:val="0"/>
              <w:jc w:val="center"/>
              <w:rPr>
                <w:b/>
                <w:bCs/>
                <w:sz w:val="24"/>
              </w:rPr>
            </w:pPr>
            <w:r>
              <w:rPr>
                <w:b/>
                <w:bCs/>
                <w:sz w:val="24"/>
              </w:rPr>
              <w:t>表</w:t>
            </w:r>
            <w:r>
              <w:rPr>
                <w:rFonts w:hint="eastAsia"/>
                <w:b/>
                <w:bCs/>
                <w:sz w:val="24"/>
              </w:rPr>
              <w:t>4-19</w:t>
            </w:r>
            <w:r>
              <w:rPr>
                <w:b/>
                <w:bCs/>
                <w:sz w:val="24"/>
              </w:rPr>
              <w:t xml:space="preserve"> 本项目环境风险简单分析内容表</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13"/>
              <w:gridCol w:w="1275"/>
              <w:gridCol w:w="1700"/>
              <w:gridCol w:w="1386"/>
              <w:gridCol w:w="202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3" w:type="dxa"/>
                  <w:tcBorders>
                    <w:top w:val="single" w:color="auto" w:sz="12" w:space="0"/>
                    <w:left w:val="nil"/>
                    <w:bottom w:val="single" w:color="auto" w:sz="4" w:space="0"/>
                    <w:right w:val="single" w:color="auto" w:sz="4" w:space="0"/>
                  </w:tcBorders>
                  <w:vAlign w:val="center"/>
                </w:tcPr>
                <w:p>
                  <w:pPr>
                    <w:adjustRightInd w:val="0"/>
                    <w:snapToGrid w:val="0"/>
                    <w:jc w:val="center"/>
                    <w:rPr>
                      <w:szCs w:val="21"/>
                    </w:rPr>
                  </w:pPr>
                  <w:r>
                    <w:rPr>
                      <w:rFonts w:hAnsi="宋体"/>
                    </w:rPr>
                    <w:t>建设项目名称</w:t>
                  </w:r>
                </w:p>
              </w:tc>
              <w:tc>
                <w:tcPr>
                  <w:tcW w:w="6386" w:type="dxa"/>
                  <w:gridSpan w:val="4"/>
                  <w:tcBorders>
                    <w:top w:val="single" w:color="auto" w:sz="12" w:space="0"/>
                    <w:left w:val="single" w:color="auto" w:sz="4" w:space="0"/>
                    <w:bottom w:val="single" w:color="auto" w:sz="4" w:space="0"/>
                    <w:right w:val="nil"/>
                  </w:tcBorders>
                  <w:vAlign w:val="center"/>
                </w:tcPr>
                <w:p>
                  <w:pPr>
                    <w:adjustRightInd w:val="0"/>
                    <w:snapToGrid w:val="0"/>
                    <w:jc w:val="center"/>
                    <w:rPr>
                      <w:szCs w:val="21"/>
                    </w:rPr>
                  </w:pPr>
                  <w:r>
                    <w:rPr>
                      <w:rFonts w:hint="eastAsia"/>
                      <w:szCs w:val="21"/>
                    </w:rPr>
                    <w:t>年产2000万只金属制品项目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3" w:type="dxa"/>
                  <w:tcBorders>
                    <w:top w:val="single" w:color="auto" w:sz="4" w:space="0"/>
                    <w:left w:val="nil"/>
                    <w:bottom w:val="single" w:color="auto" w:sz="4" w:space="0"/>
                    <w:right w:val="single" w:color="auto" w:sz="4" w:space="0"/>
                  </w:tcBorders>
                  <w:vAlign w:val="center"/>
                </w:tcPr>
                <w:p>
                  <w:pPr>
                    <w:adjustRightInd w:val="0"/>
                    <w:snapToGrid w:val="0"/>
                    <w:jc w:val="center"/>
                    <w:rPr>
                      <w:szCs w:val="21"/>
                    </w:rPr>
                  </w:pPr>
                  <w:r>
                    <w:rPr>
                      <w:rFonts w:hAnsi="宋体"/>
                    </w:rPr>
                    <w:t>建设地点</w:t>
                  </w:r>
                </w:p>
              </w:tc>
              <w:tc>
                <w:tcPr>
                  <w:tcW w:w="6386" w:type="dxa"/>
                  <w:gridSpan w:val="4"/>
                  <w:tcBorders>
                    <w:top w:val="single" w:color="auto" w:sz="4" w:space="0"/>
                    <w:left w:val="single" w:color="auto" w:sz="4" w:space="0"/>
                    <w:bottom w:val="single" w:color="auto" w:sz="4" w:space="0"/>
                    <w:right w:val="nil"/>
                  </w:tcBorders>
                  <w:vAlign w:val="center"/>
                </w:tcPr>
                <w:p>
                  <w:pPr>
                    <w:adjustRightInd w:val="0"/>
                    <w:snapToGrid w:val="0"/>
                    <w:jc w:val="center"/>
                    <w:rPr>
                      <w:szCs w:val="21"/>
                    </w:rPr>
                  </w:pPr>
                  <w:r>
                    <w:rPr>
                      <w:rFonts w:hint="eastAsia"/>
                    </w:rPr>
                    <w:t>江苏省常州市武进区湖塘镇三勤社区何家组</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3" w:type="dxa"/>
                  <w:tcBorders>
                    <w:top w:val="single" w:color="auto" w:sz="4" w:space="0"/>
                    <w:left w:val="nil"/>
                    <w:bottom w:val="single" w:color="auto" w:sz="4" w:space="0"/>
                    <w:right w:val="single" w:color="auto" w:sz="4" w:space="0"/>
                  </w:tcBorders>
                  <w:vAlign w:val="center"/>
                </w:tcPr>
                <w:p>
                  <w:pPr>
                    <w:adjustRightInd w:val="0"/>
                    <w:snapToGrid w:val="0"/>
                    <w:jc w:val="center"/>
                    <w:rPr>
                      <w:szCs w:val="21"/>
                    </w:rPr>
                  </w:pPr>
                  <w:r>
                    <w:rPr>
                      <w:rFonts w:hAnsi="宋体"/>
                    </w:rPr>
                    <w:t>地理坐标</w:t>
                  </w:r>
                </w:p>
              </w:tc>
              <w:tc>
                <w:tcPr>
                  <w:tcW w:w="1275"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Cs w:val="21"/>
                    </w:rPr>
                  </w:pPr>
                  <w:r>
                    <w:rPr>
                      <w:rFonts w:hAnsi="宋体"/>
                    </w:rPr>
                    <w:t>经度</w:t>
                  </w:r>
                </w:p>
              </w:tc>
              <w:tc>
                <w:tcPr>
                  <w:tcW w:w="1700"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Cs w:val="21"/>
                    </w:rPr>
                  </w:pPr>
                  <w:r>
                    <w:t>119.</w:t>
                  </w:r>
                  <w:r>
                    <w:rPr>
                      <w:rFonts w:hint="eastAsia"/>
                    </w:rPr>
                    <w:t>987170°</w:t>
                  </w:r>
                </w:p>
              </w:tc>
              <w:tc>
                <w:tcPr>
                  <w:tcW w:w="138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szCs w:val="21"/>
                    </w:rPr>
                  </w:pPr>
                  <w:r>
                    <w:rPr>
                      <w:rFonts w:hAnsi="宋体"/>
                    </w:rPr>
                    <w:t>纬度</w:t>
                  </w:r>
                </w:p>
              </w:tc>
              <w:tc>
                <w:tcPr>
                  <w:tcW w:w="2025" w:type="dxa"/>
                  <w:tcBorders>
                    <w:top w:val="single" w:color="auto" w:sz="4" w:space="0"/>
                    <w:left w:val="single" w:color="auto" w:sz="4" w:space="0"/>
                    <w:bottom w:val="single" w:color="auto" w:sz="4" w:space="0"/>
                    <w:right w:val="nil"/>
                  </w:tcBorders>
                  <w:vAlign w:val="center"/>
                </w:tcPr>
                <w:p>
                  <w:pPr>
                    <w:adjustRightInd w:val="0"/>
                    <w:snapToGrid w:val="0"/>
                    <w:jc w:val="center"/>
                    <w:rPr>
                      <w:szCs w:val="21"/>
                    </w:rPr>
                  </w:pPr>
                  <w:r>
                    <w:t>31.</w:t>
                  </w:r>
                  <w:r>
                    <w:rPr>
                      <w:rFonts w:hint="eastAsia"/>
                    </w:rPr>
                    <w:t>699882°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3" w:type="dxa"/>
                  <w:tcBorders>
                    <w:top w:val="single" w:color="auto" w:sz="4" w:space="0"/>
                    <w:left w:val="nil"/>
                    <w:bottom w:val="single" w:color="auto" w:sz="4" w:space="0"/>
                    <w:right w:val="single" w:color="auto" w:sz="4" w:space="0"/>
                  </w:tcBorders>
                  <w:vAlign w:val="center"/>
                </w:tcPr>
                <w:p>
                  <w:pPr>
                    <w:adjustRightInd w:val="0"/>
                    <w:snapToGrid w:val="0"/>
                    <w:jc w:val="center"/>
                    <w:rPr>
                      <w:szCs w:val="21"/>
                    </w:rPr>
                  </w:pPr>
                  <w:r>
                    <w:t>主要危险物质及分布</w:t>
                  </w:r>
                </w:p>
              </w:tc>
              <w:tc>
                <w:tcPr>
                  <w:tcW w:w="6386" w:type="dxa"/>
                  <w:gridSpan w:val="4"/>
                  <w:tcBorders>
                    <w:top w:val="single" w:color="auto" w:sz="4" w:space="0"/>
                    <w:left w:val="single" w:color="auto" w:sz="4" w:space="0"/>
                    <w:bottom w:val="single" w:color="auto" w:sz="4" w:space="0"/>
                    <w:right w:val="nil"/>
                  </w:tcBorders>
                  <w:vAlign w:val="center"/>
                </w:tcPr>
                <w:p>
                  <w:pPr>
                    <w:adjustRightInd w:val="0"/>
                    <w:snapToGrid w:val="0"/>
                    <w:jc w:val="center"/>
                    <w:rPr>
                      <w:rFonts w:hAnsi="宋体"/>
                    </w:rPr>
                  </w:pPr>
                  <w:r>
                    <w:t>主要危险物质：</w:t>
                  </w:r>
                  <w:r>
                    <w:rPr>
                      <w:rFonts w:hint="eastAsia"/>
                    </w:rPr>
                    <w:t>切削油、润滑油、废切削油、废包装桶等</w:t>
                  </w:r>
                  <w:r>
                    <w:t>；</w:t>
                  </w:r>
                </w:p>
                <w:p>
                  <w:pPr>
                    <w:adjustRightInd w:val="0"/>
                    <w:snapToGrid w:val="0"/>
                    <w:jc w:val="center"/>
                    <w:rPr>
                      <w:szCs w:val="21"/>
                    </w:rPr>
                  </w:pPr>
                  <w:r>
                    <w:t>分布情况：</w:t>
                  </w:r>
                  <w:r>
                    <w:rPr>
                      <w:rFonts w:hint="eastAsia"/>
                    </w:rPr>
                    <w:t>仓库、</w:t>
                  </w:r>
                  <w:r>
                    <w:t>危废仓库</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13" w:type="dxa"/>
                  <w:tcBorders>
                    <w:top w:val="single" w:color="auto" w:sz="4" w:space="0"/>
                    <w:left w:val="nil"/>
                    <w:bottom w:val="single" w:color="auto" w:sz="4" w:space="0"/>
                    <w:right w:val="single" w:color="auto" w:sz="4" w:space="0"/>
                  </w:tcBorders>
                  <w:vAlign w:val="center"/>
                </w:tcPr>
                <w:p>
                  <w:pPr>
                    <w:adjustRightInd w:val="0"/>
                    <w:snapToGrid w:val="0"/>
                    <w:jc w:val="center"/>
                    <w:rPr>
                      <w:szCs w:val="21"/>
                    </w:rPr>
                  </w:pPr>
                  <w:r>
                    <w:rPr>
                      <w:rFonts w:hAnsi="宋体"/>
                    </w:rPr>
                    <w:t>环境影响途径及危害后果（大气、地表水、地下水等）</w:t>
                  </w:r>
                </w:p>
              </w:tc>
              <w:tc>
                <w:tcPr>
                  <w:tcW w:w="6386" w:type="dxa"/>
                  <w:gridSpan w:val="4"/>
                  <w:tcBorders>
                    <w:top w:val="single" w:color="auto" w:sz="4" w:space="0"/>
                    <w:left w:val="single" w:color="auto" w:sz="4" w:space="0"/>
                    <w:bottom w:val="single" w:color="auto" w:sz="4" w:space="0"/>
                    <w:right w:val="nil"/>
                  </w:tcBorders>
                  <w:vAlign w:val="center"/>
                </w:tcPr>
                <w:p>
                  <w:pPr>
                    <w:adjustRightInd w:val="0"/>
                    <w:snapToGrid w:val="0"/>
                    <w:jc w:val="center"/>
                  </w:pPr>
                  <w:r>
                    <w:rPr>
                      <w:rFonts w:hint="eastAsia"/>
                    </w:rPr>
                    <w:t>仓库内暂存切削油、润滑油，</w:t>
                  </w:r>
                  <w:r>
                    <w:t>危废仓库中暂存废</w:t>
                  </w:r>
                  <w:r>
                    <w:rPr>
                      <w:rFonts w:hint="eastAsia"/>
                    </w:rPr>
                    <w:t>切削油、废包装桶等，</w:t>
                  </w:r>
                  <w:r>
                    <w:t>若遇明火或高热，会发生火灾爆炸事故，危害从业人员的身体健康，并会对周围地表水体、大气造成一定的影响</w:t>
                  </w:r>
                  <w:r>
                    <w:rPr>
                      <w:rFonts w:hint="eastAsia"/>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113" w:type="dxa"/>
                  <w:tcBorders>
                    <w:top w:val="single" w:color="auto" w:sz="4" w:space="0"/>
                    <w:left w:val="nil"/>
                    <w:bottom w:val="single" w:color="auto" w:sz="4" w:space="0"/>
                    <w:right w:val="single" w:color="auto" w:sz="4" w:space="0"/>
                  </w:tcBorders>
                  <w:vAlign w:val="center"/>
                </w:tcPr>
                <w:p>
                  <w:pPr>
                    <w:adjustRightInd w:val="0"/>
                    <w:snapToGrid w:val="0"/>
                    <w:jc w:val="center"/>
                    <w:rPr>
                      <w:szCs w:val="21"/>
                    </w:rPr>
                  </w:pPr>
                  <w:r>
                    <w:rPr>
                      <w:rFonts w:hAnsi="宋体"/>
                    </w:rPr>
                    <w:t>风险防范措施要求</w:t>
                  </w:r>
                </w:p>
              </w:tc>
              <w:tc>
                <w:tcPr>
                  <w:tcW w:w="6386" w:type="dxa"/>
                  <w:gridSpan w:val="4"/>
                  <w:tcBorders>
                    <w:top w:val="single" w:color="auto" w:sz="4" w:space="0"/>
                    <w:left w:val="single" w:color="auto" w:sz="4" w:space="0"/>
                    <w:bottom w:val="single" w:color="auto" w:sz="4" w:space="0"/>
                    <w:right w:val="nil"/>
                  </w:tcBorders>
                  <w:vAlign w:val="center"/>
                </w:tcPr>
                <w:p>
                  <w:pPr>
                    <w:adjustRightInd w:val="0"/>
                    <w:snapToGrid w:val="0"/>
                    <w:jc w:val="center"/>
                    <w:rPr>
                      <w:szCs w:val="21"/>
                    </w:rPr>
                  </w:pPr>
                  <w:r>
                    <w:t>设置专人定期检查车间、仓库及危废仓库内的暂存情况；加强车间通风；定期检查厂内各风险防范措施的完善情况，设置应急物资，建立健全应急防范机制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499" w:type="dxa"/>
                  <w:gridSpan w:val="5"/>
                  <w:tcBorders>
                    <w:top w:val="single" w:color="auto" w:sz="4" w:space="0"/>
                    <w:left w:val="nil"/>
                    <w:bottom w:val="single" w:color="auto" w:sz="12" w:space="0"/>
                    <w:right w:val="nil"/>
                  </w:tcBorders>
                  <w:vAlign w:val="center"/>
                </w:tcPr>
                <w:p>
                  <w:pPr>
                    <w:adjustRightInd w:val="0"/>
                    <w:snapToGrid w:val="0"/>
                    <w:jc w:val="center"/>
                    <w:rPr>
                      <w:szCs w:val="21"/>
                    </w:rPr>
                  </w:pPr>
                  <w:r>
                    <w:rPr>
                      <w:rFonts w:hAnsi="宋体"/>
                    </w:rPr>
                    <w:t>填表说明（列出相关信息及评价说明）：本项目</w:t>
                  </w:r>
                  <w:r>
                    <w:t>Q&lt;1</w:t>
                  </w:r>
                  <w:r>
                    <w:rPr>
                      <w:rFonts w:hAnsi="宋体"/>
                    </w:rPr>
                    <w:t>，环境风险势能直接</w:t>
                  </w:r>
                  <w:r>
                    <w:t>判断为</w:t>
                  </w:r>
                  <w:r>
                    <w:rPr>
                      <w:rFonts w:hAnsi="宋体"/>
                    </w:rPr>
                    <w:t>Ⅰ</w:t>
                  </w:r>
                  <w:r>
                    <w:t>等级</w:t>
                  </w:r>
                </w:p>
              </w:tc>
            </w:tr>
          </w:tbl>
          <w:p>
            <w:pPr>
              <w:adjustRightInd w:val="0"/>
              <w:snapToGrid w:val="0"/>
              <w:spacing w:line="360" w:lineRule="auto"/>
              <w:rPr>
                <w:b/>
                <w:bCs/>
                <w:sz w:val="24"/>
              </w:rPr>
            </w:pPr>
            <w:r>
              <w:rPr>
                <w:rFonts w:hint="eastAsia"/>
                <w:b/>
                <w:bCs/>
                <w:sz w:val="24"/>
              </w:rPr>
              <w:t>9、电磁辐射</w:t>
            </w:r>
          </w:p>
          <w:p>
            <w:pPr>
              <w:adjustRightInd w:val="0"/>
              <w:snapToGrid w:val="0"/>
              <w:spacing w:line="360" w:lineRule="auto"/>
              <w:ind w:firstLine="480" w:firstLineChars="200"/>
              <w:rPr>
                <w:rFonts w:ascii="宋体" w:hAnsi="宋体" w:cs="宋体"/>
                <w:sz w:val="24"/>
              </w:rPr>
            </w:pPr>
            <w:r>
              <w:rPr>
                <w:rFonts w:hint="eastAsia"/>
                <w:bCs/>
                <w:sz w:val="24"/>
                <w:szCs w:val="22"/>
              </w:rPr>
              <w:t>本项目不涉及电磁辐射</w:t>
            </w:r>
            <w:r>
              <w:rPr>
                <w:rFonts w:hint="eastAsia" w:ascii="宋体" w:hAnsi="宋体" w:cs="宋体"/>
                <w:sz w:val="24"/>
              </w:rPr>
              <w:t>。</w:t>
            </w: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p>
            <w:pPr>
              <w:pStyle w:val="2"/>
              <w:ind w:left="-84" w:firstLine="560"/>
            </w:pPr>
          </w:p>
        </w:tc>
      </w:tr>
    </w:tbl>
    <w:p>
      <w:pPr>
        <w:adjustRightInd w:val="0"/>
        <w:snapToGrid w:val="0"/>
        <w:spacing w:line="360" w:lineRule="auto"/>
        <w:rPr>
          <w:rFonts w:ascii="宋体" w:cs="宋体"/>
          <w:b/>
          <w:kern w:val="0"/>
          <w:sz w:val="28"/>
          <w:szCs w:val="28"/>
        </w:rPr>
        <w:sectPr>
          <w:pgSz w:w="11907" w:h="16840"/>
          <w:pgMar w:top="1701" w:right="1531" w:bottom="1701" w:left="1531" w:header="851" w:footer="851" w:gutter="0"/>
          <w:cols w:space="720" w:num="1"/>
          <w:docGrid w:linePitch="312" w:charSpace="0"/>
        </w:sectPr>
      </w:pPr>
    </w:p>
    <w:p>
      <w:pPr>
        <w:pStyle w:val="19"/>
        <w:spacing w:before="0" w:beforeAutospacing="0" w:after="0" w:afterAutospacing="0"/>
        <w:jc w:val="center"/>
        <w:outlineLvl w:val="0"/>
        <w:rPr>
          <w:rFonts w:ascii="黑体" w:hAnsi="黑体" w:eastAsia="黑体"/>
          <w:snapToGrid w:val="0"/>
          <w:sz w:val="30"/>
          <w:szCs w:val="30"/>
        </w:rPr>
      </w:pPr>
      <w:bookmarkStart w:id="12" w:name="_Toc104299250"/>
      <w:bookmarkStart w:id="13" w:name="_Toc104298943"/>
      <w:r>
        <w:rPr>
          <w:rFonts w:hint="eastAsia" w:ascii="黑体" w:hAnsi="黑体" w:eastAsia="黑体"/>
          <w:snapToGrid w:val="0"/>
          <w:sz w:val="30"/>
          <w:szCs w:val="30"/>
        </w:rPr>
        <w:t>五、</w:t>
      </w:r>
      <w:bookmarkStart w:id="14" w:name="_Hlk54167917"/>
      <w:r>
        <w:rPr>
          <w:rFonts w:hint="eastAsia" w:ascii="黑体" w:hAnsi="黑体" w:eastAsia="黑体"/>
          <w:snapToGrid w:val="0"/>
          <w:sz w:val="30"/>
          <w:szCs w:val="30"/>
        </w:rPr>
        <w:t>环境保护措施监督检查清单</w:t>
      </w:r>
      <w:bookmarkEnd w:id="12"/>
      <w:bookmarkEnd w:id="13"/>
      <w:bookmarkEnd w:id="14"/>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8"/>
        <w:gridCol w:w="1701"/>
        <w:gridCol w:w="1417"/>
        <w:gridCol w:w="2126"/>
        <w:gridCol w:w="20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tcBorders>
              <w:tl2br w:val="single" w:color="auto" w:sz="4" w:space="0"/>
            </w:tcBorders>
          </w:tcPr>
          <w:p>
            <w:pPr>
              <w:adjustRightInd w:val="0"/>
              <w:snapToGrid w:val="0"/>
              <w:ind w:firstLine="840"/>
              <w:rPr>
                <w:rFonts w:ascii="宋体" w:hAnsi="宋体" w:cs="宋体"/>
                <w:szCs w:val="21"/>
              </w:rPr>
            </w:pPr>
            <w:r>
              <w:rPr>
                <w:rFonts w:hint="eastAsia" w:ascii="宋体" w:hAnsi="宋体" w:cs="宋体"/>
                <w:szCs w:val="21"/>
              </w:rPr>
              <w:t>内容</w:t>
            </w:r>
          </w:p>
          <w:p>
            <w:pPr>
              <w:adjustRightInd w:val="0"/>
              <w:snapToGrid w:val="0"/>
              <w:rPr>
                <w:rFonts w:ascii="宋体" w:hAnsi="宋体" w:cs="宋体"/>
                <w:szCs w:val="21"/>
              </w:rPr>
            </w:pPr>
            <w:r>
              <w:rPr>
                <w:rFonts w:hint="eastAsia" w:ascii="宋体" w:hAnsi="宋体" w:cs="宋体"/>
                <w:szCs w:val="21"/>
              </w:rPr>
              <w:t>要素</w:t>
            </w:r>
          </w:p>
        </w:tc>
        <w:tc>
          <w:tcPr>
            <w:tcW w:w="1701" w:type="dxa"/>
            <w:vAlign w:val="center"/>
          </w:tcPr>
          <w:p>
            <w:pPr>
              <w:adjustRightInd w:val="0"/>
              <w:snapToGrid w:val="0"/>
              <w:jc w:val="center"/>
              <w:rPr>
                <w:rFonts w:ascii="宋体" w:hAnsi="宋体" w:cs="宋体"/>
                <w:szCs w:val="21"/>
              </w:rPr>
            </w:pPr>
            <w:r>
              <w:rPr>
                <w:rFonts w:hint="eastAsia" w:ascii="宋体" w:hAnsi="宋体" w:cs="宋体"/>
                <w:szCs w:val="21"/>
              </w:rPr>
              <w:t>排放口(编号、名称)/污染源</w:t>
            </w:r>
          </w:p>
        </w:tc>
        <w:tc>
          <w:tcPr>
            <w:tcW w:w="1417" w:type="dxa"/>
            <w:vAlign w:val="center"/>
          </w:tcPr>
          <w:p>
            <w:pPr>
              <w:adjustRightInd w:val="0"/>
              <w:snapToGrid w:val="0"/>
              <w:jc w:val="center"/>
              <w:rPr>
                <w:rFonts w:ascii="宋体" w:hAnsi="宋体" w:cs="宋体"/>
                <w:szCs w:val="21"/>
              </w:rPr>
            </w:pPr>
            <w:r>
              <w:rPr>
                <w:rFonts w:hint="eastAsia" w:ascii="宋体" w:hAnsi="宋体" w:cs="宋体"/>
                <w:szCs w:val="21"/>
              </w:rPr>
              <w:t>污染物项目</w:t>
            </w:r>
          </w:p>
        </w:tc>
        <w:tc>
          <w:tcPr>
            <w:tcW w:w="2126" w:type="dxa"/>
            <w:vAlign w:val="center"/>
          </w:tcPr>
          <w:p>
            <w:pPr>
              <w:adjustRightInd w:val="0"/>
              <w:snapToGrid w:val="0"/>
              <w:jc w:val="center"/>
              <w:rPr>
                <w:rFonts w:ascii="宋体" w:hAnsi="宋体" w:cs="宋体"/>
                <w:szCs w:val="21"/>
              </w:rPr>
            </w:pPr>
            <w:r>
              <w:rPr>
                <w:rFonts w:hint="eastAsia" w:ascii="宋体" w:hAnsi="宋体" w:cs="宋体"/>
                <w:szCs w:val="21"/>
              </w:rPr>
              <w:t>环境保护措施</w:t>
            </w:r>
          </w:p>
        </w:tc>
        <w:tc>
          <w:tcPr>
            <w:tcW w:w="2018" w:type="dxa"/>
            <w:vAlign w:val="center"/>
          </w:tcPr>
          <w:p>
            <w:pPr>
              <w:adjustRightInd w:val="0"/>
              <w:snapToGrid w:val="0"/>
              <w:jc w:val="center"/>
              <w:rPr>
                <w:rFonts w:ascii="宋体" w:hAnsi="宋体" w:cs="宋体"/>
                <w:szCs w:val="21"/>
              </w:rPr>
            </w:pPr>
            <w:r>
              <w:rPr>
                <w:rFonts w:hint="eastAsia" w:ascii="宋体" w:hAnsi="宋体" w:cs="宋体"/>
                <w:szCs w:val="21"/>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Merge w:val="restart"/>
            <w:vAlign w:val="center"/>
          </w:tcPr>
          <w:p>
            <w:pPr>
              <w:adjustRightInd w:val="0"/>
              <w:snapToGrid w:val="0"/>
              <w:jc w:val="center"/>
              <w:rPr>
                <w:rFonts w:ascii="宋体" w:hAnsi="宋体" w:cs="宋体"/>
                <w:sz w:val="22"/>
                <w:szCs w:val="21"/>
              </w:rPr>
            </w:pPr>
            <w:r>
              <w:rPr>
                <w:rFonts w:hint="eastAsia" w:ascii="宋体" w:hAnsi="宋体" w:cs="宋体"/>
                <w:sz w:val="22"/>
                <w:szCs w:val="21"/>
              </w:rPr>
              <w:t>大气环境</w:t>
            </w:r>
          </w:p>
        </w:tc>
        <w:tc>
          <w:tcPr>
            <w:tcW w:w="1701" w:type="dxa"/>
            <w:vAlign w:val="center"/>
          </w:tcPr>
          <w:p>
            <w:pPr>
              <w:snapToGrid w:val="0"/>
              <w:jc w:val="center"/>
              <w:rPr>
                <w:rFonts w:hint="default" w:eastAsia="宋体"/>
                <w:szCs w:val="21"/>
                <w:lang w:val="en-US" w:eastAsia="zh-CN"/>
              </w:rPr>
            </w:pPr>
            <w:r>
              <w:rPr>
                <w:rFonts w:hint="eastAsia" w:hAnsi="宋体"/>
                <w:lang w:val="en-US" w:eastAsia="zh-CN"/>
              </w:rPr>
              <w:t>FQ-1</w:t>
            </w:r>
          </w:p>
        </w:tc>
        <w:tc>
          <w:tcPr>
            <w:tcW w:w="1417" w:type="dxa"/>
            <w:vAlign w:val="center"/>
          </w:tcPr>
          <w:p>
            <w:pPr>
              <w:snapToGrid w:val="0"/>
              <w:jc w:val="center"/>
              <w:rPr>
                <w:rFonts w:hAnsi="宋体"/>
              </w:rPr>
            </w:pPr>
            <w:r>
              <w:rPr>
                <w:rFonts w:hint="eastAsia" w:hAnsi="宋体"/>
              </w:rPr>
              <w:t>食堂油烟</w:t>
            </w:r>
          </w:p>
        </w:tc>
        <w:tc>
          <w:tcPr>
            <w:tcW w:w="2126" w:type="dxa"/>
            <w:vAlign w:val="center"/>
          </w:tcPr>
          <w:p>
            <w:pPr>
              <w:snapToGrid w:val="0"/>
              <w:jc w:val="center"/>
              <w:rPr>
                <w:szCs w:val="21"/>
              </w:rPr>
            </w:pPr>
            <w:r>
              <w:rPr>
                <w:rFonts w:hint="eastAsia"/>
                <w:szCs w:val="21"/>
              </w:rPr>
              <w:t>经油烟净化装置处理后通过1根8米高排气筒（FQ-1）排放</w:t>
            </w:r>
          </w:p>
        </w:tc>
        <w:tc>
          <w:tcPr>
            <w:tcW w:w="2018" w:type="dxa"/>
            <w:tcBorders>
              <w:top w:val="single" w:color="auto" w:sz="2" w:space="0"/>
            </w:tcBorders>
            <w:vAlign w:val="center"/>
          </w:tcPr>
          <w:p>
            <w:pPr>
              <w:adjustRightInd w:val="0"/>
              <w:snapToGrid w:val="0"/>
              <w:jc w:val="center"/>
            </w:pPr>
            <w:r>
              <w:rPr>
                <w:rFonts w:hint="eastAsia"/>
              </w:rPr>
              <w:t>《饮食业油烟排放标准（试行）》（GB18483-2001）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Merge w:val="continue"/>
            <w:vAlign w:val="center"/>
          </w:tcPr>
          <w:p>
            <w:pPr>
              <w:adjustRightInd w:val="0"/>
              <w:snapToGrid w:val="0"/>
              <w:jc w:val="center"/>
              <w:rPr>
                <w:rFonts w:ascii="宋体" w:hAnsi="宋体" w:cs="宋体"/>
                <w:sz w:val="22"/>
                <w:szCs w:val="21"/>
              </w:rPr>
            </w:pPr>
          </w:p>
        </w:tc>
        <w:tc>
          <w:tcPr>
            <w:tcW w:w="1701" w:type="dxa"/>
            <w:vAlign w:val="center"/>
          </w:tcPr>
          <w:p>
            <w:pPr>
              <w:snapToGrid w:val="0"/>
              <w:jc w:val="center"/>
              <w:rPr>
                <w:rFonts w:ascii="宋体" w:hAnsi="宋体"/>
                <w:sz w:val="22"/>
                <w:szCs w:val="21"/>
              </w:rPr>
            </w:pPr>
            <w:r>
              <w:rPr>
                <w:rFonts w:hint="eastAsia" w:ascii="宋体" w:hAnsi="宋体"/>
                <w:sz w:val="22"/>
              </w:rPr>
              <w:t>无组织废气</w:t>
            </w:r>
          </w:p>
        </w:tc>
        <w:tc>
          <w:tcPr>
            <w:tcW w:w="1417" w:type="dxa"/>
            <w:vAlign w:val="center"/>
          </w:tcPr>
          <w:p>
            <w:pPr>
              <w:adjustRightInd w:val="0"/>
              <w:snapToGrid w:val="0"/>
              <w:jc w:val="center"/>
              <w:rPr>
                <w:szCs w:val="21"/>
              </w:rPr>
            </w:pPr>
            <w:r>
              <w:rPr>
                <w:rFonts w:hint="eastAsia"/>
                <w:szCs w:val="21"/>
              </w:rPr>
              <w:t>焊接烟尘</w:t>
            </w:r>
          </w:p>
        </w:tc>
        <w:tc>
          <w:tcPr>
            <w:tcW w:w="2126" w:type="dxa"/>
            <w:vAlign w:val="center"/>
          </w:tcPr>
          <w:p>
            <w:pPr>
              <w:adjustRightInd w:val="0"/>
              <w:snapToGrid w:val="0"/>
              <w:jc w:val="center"/>
              <w:rPr>
                <w:rFonts w:ascii="宋体" w:hAnsi="宋体" w:cs="宋体"/>
                <w:szCs w:val="21"/>
              </w:rPr>
            </w:pPr>
            <w:r>
              <w:rPr>
                <w:rFonts w:hint="eastAsia" w:ascii="宋体" w:hAnsi="宋体" w:cs="宋体"/>
                <w:szCs w:val="21"/>
              </w:rPr>
              <w:t>焊接烟尘经移动式滤芯除尘器处理后无组织排放</w:t>
            </w:r>
          </w:p>
        </w:tc>
        <w:tc>
          <w:tcPr>
            <w:tcW w:w="2018" w:type="dxa"/>
            <w:tcBorders>
              <w:top w:val="single" w:color="auto" w:sz="2" w:space="0"/>
            </w:tcBorders>
            <w:vAlign w:val="center"/>
          </w:tcPr>
          <w:p>
            <w:pPr>
              <w:adjustRightInd w:val="0"/>
              <w:snapToGrid w:val="0"/>
              <w:jc w:val="center"/>
              <w:rPr>
                <w:szCs w:val="21"/>
              </w:rPr>
            </w:pPr>
            <w:r>
              <w:rPr>
                <w:rFonts w:hint="eastAsia"/>
                <w:szCs w:val="21"/>
              </w:rPr>
              <w:t>《大气污染物综合排放标准》（DB32/4041-2021）中表3标准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Align w:val="center"/>
          </w:tcPr>
          <w:p>
            <w:pPr>
              <w:adjustRightInd w:val="0"/>
              <w:snapToGrid w:val="0"/>
              <w:jc w:val="center"/>
              <w:rPr>
                <w:rFonts w:ascii="宋体" w:hAnsi="宋体" w:cs="宋体"/>
                <w:szCs w:val="21"/>
              </w:rPr>
            </w:pPr>
            <w:r>
              <w:rPr>
                <w:rFonts w:hint="eastAsia" w:ascii="宋体" w:hAnsi="宋体" w:cs="宋体"/>
                <w:szCs w:val="21"/>
              </w:rPr>
              <w:t>地表水环境</w:t>
            </w:r>
          </w:p>
        </w:tc>
        <w:tc>
          <w:tcPr>
            <w:tcW w:w="1701" w:type="dxa"/>
            <w:vAlign w:val="center"/>
          </w:tcPr>
          <w:p>
            <w:pPr>
              <w:adjustRightInd w:val="0"/>
              <w:snapToGrid w:val="0"/>
              <w:jc w:val="center"/>
              <w:rPr>
                <w:rFonts w:ascii="宋体" w:hAnsi="宋体"/>
                <w:szCs w:val="21"/>
              </w:rPr>
            </w:pPr>
            <w:r>
              <w:rPr>
                <w:rFonts w:hint="eastAsia" w:ascii="宋体" w:hAnsi="宋体"/>
              </w:rPr>
              <w:t>生活污水和食堂废水</w:t>
            </w:r>
          </w:p>
        </w:tc>
        <w:tc>
          <w:tcPr>
            <w:tcW w:w="1417" w:type="dxa"/>
            <w:vAlign w:val="center"/>
          </w:tcPr>
          <w:p>
            <w:pPr>
              <w:adjustRightInd w:val="0"/>
              <w:snapToGrid w:val="0"/>
              <w:jc w:val="center"/>
              <w:rPr>
                <w:rFonts w:ascii="宋体" w:hAnsi="宋体"/>
                <w:szCs w:val="21"/>
              </w:rPr>
            </w:pPr>
            <w:r>
              <w:rPr>
                <w:rFonts w:hint="eastAsia"/>
              </w:rPr>
              <w:t>COD</w:t>
            </w:r>
            <w:r>
              <w:rPr>
                <w:rFonts w:hint="eastAsia" w:ascii="宋体" w:hAnsi="宋体"/>
              </w:rPr>
              <w:t>、</w:t>
            </w:r>
            <w:r>
              <w:rPr>
                <w:rFonts w:hint="eastAsia"/>
              </w:rPr>
              <w:t>SS</w:t>
            </w:r>
            <w:r>
              <w:rPr>
                <w:rFonts w:hint="eastAsia" w:ascii="宋体" w:hAnsi="宋体"/>
              </w:rPr>
              <w:t>、</w:t>
            </w:r>
            <w:r>
              <w:rPr>
                <w:rFonts w:hint="eastAsia"/>
              </w:rPr>
              <w:t>NH</w:t>
            </w:r>
            <w:r>
              <w:rPr>
                <w:rFonts w:hint="eastAsia"/>
                <w:vertAlign w:val="subscript"/>
              </w:rPr>
              <w:t>3</w:t>
            </w:r>
            <w:r>
              <w:rPr>
                <w:rFonts w:hint="eastAsia" w:ascii="宋体" w:hAnsi="宋体"/>
              </w:rPr>
              <w:t>-</w:t>
            </w:r>
            <w:r>
              <w:rPr>
                <w:rFonts w:hint="eastAsia"/>
              </w:rPr>
              <w:t>N</w:t>
            </w:r>
            <w:r>
              <w:rPr>
                <w:rFonts w:hint="eastAsia" w:ascii="宋体" w:hAnsi="宋体"/>
              </w:rPr>
              <w:t>、</w:t>
            </w:r>
            <w:r>
              <w:rPr>
                <w:rFonts w:hint="eastAsia"/>
              </w:rPr>
              <w:t>TP</w:t>
            </w:r>
            <w:r>
              <w:rPr>
                <w:rFonts w:hint="eastAsia" w:ascii="宋体" w:hAnsi="宋体"/>
              </w:rPr>
              <w:t>、</w:t>
            </w:r>
            <w:r>
              <w:rPr>
                <w:rFonts w:hint="eastAsia"/>
              </w:rPr>
              <w:t>TN、动植物油</w:t>
            </w:r>
          </w:p>
        </w:tc>
        <w:tc>
          <w:tcPr>
            <w:tcW w:w="2126" w:type="dxa"/>
            <w:vAlign w:val="center"/>
          </w:tcPr>
          <w:p>
            <w:pPr>
              <w:adjustRightInd w:val="0"/>
              <w:snapToGrid w:val="0"/>
              <w:jc w:val="center"/>
              <w:rPr>
                <w:rFonts w:ascii="宋体" w:hAnsi="宋体"/>
                <w:szCs w:val="21"/>
              </w:rPr>
            </w:pPr>
            <w:r>
              <w:rPr>
                <w:rFonts w:hint="eastAsia" w:ascii="宋体" w:hAnsi="宋体"/>
              </w:rPr>
              <w:t>依托出租方</w:t>
            </w:r>
            <w:r>
              <w:t>污水管网排入</w:t>
            </w:r>
            <w:r>
              <w:rPr>
                <w:rFonts w:hint="eastAsia"/>
              </w:rPr>
              <w:t>武南</w:t>
            </w:r>
            <w:r>
              <w:t>污水处理厂集中处理</w:t>
            </w:r>
          </w:p>
        </w:tc>
        <w:tc>
          <w:tcPr>
            <w:tcW w:w="2018" w:type="dxa"/>
            <w:vAlign w:val="center"/>
          </w:tcPr>
          <w:p>
            <w:pPr>
              <w:adjustRightInd w:val="0"/>
              <w:snapToGrid w:val="0"/>
              <w:jc w:val="center"/>
              <w:rPr>
                <w:rFonts w:ascii="宋体" w:hAnsi="宋体"/>
                <w:szCs w:val="21"/>
              </w:rPr>
            </w:pPr>
            <w:r>
              <w:rPr>
                <w:szCs w:val="21"/>
              </w:rPr>
              <w:t>污水排入城镇下水道水质标准》（GB/T31962-2015）表1中B级标</w:t>
            </w:r>
            <w:r>
              <w:rPr>
                <w:rFonts w:hint="eastAsia" w:ascii="宋体" w:hAnsi="宋体" w:cs="宋体"/>
                <w:szCs w:val="21"/>
              </w:rPr>
              <w:t>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Align w:val="center"/>
          </w:tcPr>
          <w:p>
            <w:pPr>
              <w:adjustRightInd w:val="0"/>
              <w:snapToGrid w:val="0"/>
              <w:jc w:val="center"/>
              <w:rPr>
                <w:rFonts w:ascii="宋体" w:hAnsi="宋体" w:cs="宋体"/>
                <w:szCs w:val="21"/>
              </w:rPr>
            </w:pPr>
            <w:r>
              <w:rPr>
                <w:rFonts w:hint="eastAsia" w:ascii="宋体" w:hAnsi="宋体" w:cs="宋体"/>
                <w:szCs w:val="21"/>
              </w:rPr>
              <w:t>声环境</w:t>
            </w:r>
          </w:p>
        </w:tc>
        <w:tc>
          <w:tcPr>
            <w:tcW w:w="1701" w:type="dxa"/>
            <w:vAlign w:val="center"/>
          </w:tcPr>
          <w:p>
            <w:pPr>
              <w:jc w:val="center"/>
              <w:rPr>
                <w:szCs w:val="21"/>
              </w:rPr>
            </w:pPr>
            <w:r>
              <w:rPr>
                <w:szCs w:val="21"/>
              </w:rPr>
              <w:t>机械设备</w:t>
            </w:r>
          </w:p>
        </w:tc>
        <w:tc>
          <w:tcPr>
            <w:tcW w:w="1417" w:type="dxa"/>
            <w:vAlign w:val="center"/>
          </w:tcPr>
          <w:p>
            <w:pPr>
              <w:jc w:val="center"/>
              <w:rPr>
                <w:szCs w:val="21"/>
              </w:rPr>
            </w:pPr>
            <w:r>
              <w:rPr>
                <w:szCs w:val="21"/>
              </w:rPr>
              <w:t>噪声</w:t>
            </w:r>
          </w:p>
        </w:tc>
        <w:tc>
          <w:tcPr>
            <w:tcW w:w="2126" w:type="dxa"/>
            <w:vAlign w:val="center"/>
          </w:tcPr>
          <w:p>
            <w:pPr>
              <w:jc w:val="center"/>
              <w:rPr>
                <w:szCs w:val="21"/>
              </w:rPr>
            </w:pPr>
            <w:r>
              <w:rPr>
                <w:szCs w:val="21"/>
              </w:rPr>
              <w:t>合理布局、减振、厂房隔声、距离衰减等措施</w:t>
            </w:r>
          </w:p>
        </w:tc>
        <w:tc>
          <w:tcPr>
            <w:tcW w:w="2018" w:type="dxa"/>
            <w:vAlign w:val="center"/>
          </w:tcPr>
          <w:p>
            <w:pPr>
              <w:adjustRightInd w:val="0"/>
              <w:snapToGrid w:val="0"/>
              <w:jc w:val="center"/>
              <w:rPr>
                <w:rFonts w:ascii="宋体" w:hAnsi="宋体" w:cs="宋体"/>
                <w:szCs w:val="21"/>
              </w:rPr>
            </w:pPr>
            <w:r>
              <w:rPr>
                <w:szCs w:val="21"/>
              </w:rPr>
              <w:t>《工业企业厂界环境噪声排放标准》（GB12348-2008）中2类标准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38" w:type="dxa"/>
            <w:vAlign w:val="center"/>
          </w:tcPr>
          <w:p>
            <w:pPr>
              <w:adjustRightInd w:val="0"/>
              <w:snapToGrid w:val="0"/>
              <w:jc w:val="center"/>
              <w:rPr>
                <w:rFonts w:ascii="宋体" w:hAnsi="宋体" w:cs="宋体"/>
                <w:szCs w:val="21"/>
              </w:rPr>
            </w:pPr>
            <w:r>
              <w:rPr>
                <w:rFonts w:hint="eastAsia" w:ascii="宋体" w:hAnsi="宋体" w:cs="宋体"/>
                <w:szCs w:val="21"/>
              </w:rPr>
              <w:t>电磁辐射</w:t>
            </w:r>
          </w:p>
        </w:tc>
        <w:tc>
          <w:tcPr>
            <w:tcW w:w="1701" w:type="dxa"/>
            <w:vAlign w:val="center"/>
          </w:tcPr>
          <w:p>
            <w:pPr>
              <w:adjustRightInd w:val="0"/>
              <w:snapToGrid w:val="0"/>
              <w:jc w:val="center"/>
              <w:rPr>
                <w:rFonts w:ascii="宋体" w:hAnsi="宋体" w:cs="宋体"/>
                <w:szCs w:val="21"/>
              </w:rPr>
            </w:pPr>
            <w:r>
              <w:rPr>
                <w:rFonts w:hint="eastAsia" w:ascii="宋体" w:hAnsi="宋体" w:cs="宋体"/>
                <w:szCs w:val="21"/>
              </w:rPr>
              <w:t>/</w:t>
            </w:r>
          </w:p>
        </w:tc>
        <w:tc>
          <w:tcPr>
            <w:tcW w:w="1417" w:type="dxa"/>
            <w:vAlign w:val="center"/>
          </w:tcPr>
          <w:p>
            <w:pPr>
              <w:adjustRightInd w:val="0"/>
              <w:snapToGrid w:val="0"/>
              <w:jc w:val="center"/>
              <w:rPr>
                <w:rFonts w:ascii="宋体" w:hAnsi="宋体" w:cs="宋体"/>
                <w:szCs w:val="21"/>
              </w:rPr>
            </w:pPr>
            <w:r>
              <w:rPr>
                <w:rFonts w:hint="eastAsia" w:ascii="宋体" w:hAnsi="宋体" w:cs="宋体"/>
                <w:szCs w:val="21"/>
              </w:rPr>
              <w:t>/</w:t>
            </w:r>
          </w:p>
        </w:tc>
        <w:tc>
          <w:tcPr>
            <w:tcW w:w="2126" w:type="dxa"/>
            <w:vAlign w:val="center"/>
          </w:tcPr>
          <w:p>
            <w:pPr>
              <w:adjustRightInd w:val="0"/>
              <w:snapToGrid w:val="0"/>
              <w:jc w:val="center"/>
              <w:rPr>
                <w:rFonts w:ascii="宋体" w:hAnsi="宋体" w:cs="宋体"/>
                <w:szCs w:val="21"/>
              </w:rPr>
            </w:pPr>
            <w:r>
              <w:rPr>
                <w:rFonts w:hint="eastAsia" w:ascii="宋体" w:hAnsi="宋体" w:cs="宋体"/>
                <w:szCs w:val="21"/>
              </w:rPr>
              <w:t>/</w:t>
            </w:r>
          </w:p>
        </w:tc>
        <w:tc>
          <w:tcPr>
            <w:tcW w:w="2018" w:type="dxa"/>
            <w:vAlign w:val="center"/>
          </w:tcPr>
          <w:p>
            <w:pPr>
              <w:adjustRightInd w:val="0"/>
              <w:snapToGrid w:val="0"/>
              <w:jc w:val="center"/>
              <w:rPr>
                <w:rFonts w:ascii="宋体" w:hAnsi="宋体" w:cs="宋体"/>
                <w:szCs w:val="21"/>
              </w:rPr>
            </w:pPr>
            <w:r>
              <w:rPr>
                <w:rFonts w:hint="eastAsia" w:ascii="宋体" w:hAnsi="宋体" w:cs="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8" w:hRule="atLeast"/>
          <w:jc w:val="center"/>
        </w:trPr>
        <w:tc>
          <w:tcPr>
            <w:tcW w:w="1538" w:type="dxa"/>
            <w:vAlign w:val="center"/>
          </w:tcPr>
          <w:p>
            <w:pPr>
              <w:adjustRightInd w:val="0"/>
              <w:snapToGrid w:val="0"/>
              <w:jc w:val="center"/>
              <w:rPr>
                <w:rFonts w:ascii="宋体" w:hAnsi="宋体" w:cs="宋体"/>
                <w:szCs w:val="21"/>
              </w:rPr>
            </w:pPr>
            <w:r>
              <w:rPr>
                <w:rFonts w:hint="eastAsia" w:ascii="宋体" w:hAnsi="宋体" w:cs="宋体"/>
                <w:szCs w:val="21"/>
              </w:rPr>
              <w:t>固体废物</w:t>
            </w:r>
          </w:p>
        </w:tc>
        <w:tc>
          <w:tcPr>
            <w:tcW w:w="7262" w:type="dxa"/>
            <w:gridSpan w:val="4"/>
            <w:vAlign w:val="center"/>
          </w:tcPr>
          <w:p>
            <w:pPr>
              <w:adjustRightInd w:val="0"/>
              <w:snapToGrid w:val="0"/>
              <w:ind w:firstLine="420" w:firstLineChars="200"/>
              <w:jc w:val="left"/>
            </w:pPr>
            <w:r>
              <w:rPr>
                <w:rFonts w:hint="eastAsia"/>
              </w:rPr>
              <w:t>（1）</w:t>
            </w:r>
            <w:r>
              <w:t>固废贮存场所（设施）污染防治措施：</w:t>
            </w:r>
          </w:p>
          <w:p>
            <w:pPr>
              <w:adjustRightInd w:val="0"/>
              <w:snapToGrid w:val="0"/>
              <w:ind w:firstLine="420" w:firstLineChars="200"/>
              <w:jc w:val="left"/>
            </w:pPr>
            <w:r>
              <w:t>本项目建设一般固废</w:t>
            </w:r>
            <w:r>
              <w:rPr>
                <w:rFonts w:hint="eastAsia"/>
              </w:rPr>
              <w:t>仓库</w:t>
            </w:r>
            <w:r>
              <w:t>和</w:t>
            </w:r>
            <w:r>
              <w:rPr>
                <w:rFonts w:hint="eastAsia"/>
              </w:rPr>
              <w:t>危废仓库</w:t>
            </w:r>
            <w:r>
              <w:t>各1处。一般工业固体废物按照《一般工业固体废物贮存和填埋污染控制标准》（GB18599-2020）中的相关规定执行；危废贮存场地按照《危险废物贮存污染控制标准》（GB18597-2001）及其修改单要求进行设计和建设。</w:t>
            </w:r>
          </w:p>
          <w:p>
            <w:pPr>
              <w:adjustRightInd w:val="0"/>
              <w:snapToGrid w:val="0"/>
              <w:ind w:firstLine="420" w:firstLineChars="200"/>
              <w:jc w:val="left"/>
            </w:pPr>
            <w:r>
              <w:rPr>
                <w:rFonts w:hint="eastAsia"/>
              </w:rPr>
              <w:t>（2）</w:t>
            </w:r>
            <w:r>
              <w:t>运输过程的污染防治措施</w:t>
            </w:r>
          </w:p>
          <w:p>
            <w:pPr>
              <w:adjustRightInd w:val="0"/>
              <w:snapToGrid w:val="0"/>
              <w:ind w:firstLine="420" w:firstLineChars="200"/>
              <w:jc w:val="left"/>
            </w:pPr>
            <w:r>
              <w:t>危险废物必须及时运送至有资质的单位处置，运输过程必须符合国家及江苏省对危险废物的运输要求；从事危险废物收集、贮存、运输经营活动的单位应具有危险废物经营许可证，并按照其许可证的经营范围组织实施；承担危险废物运输的单位应获得交通运输部门颁发的危险货物运输资质。</w:t>
            </w:r>
          </w:p>
          <w:p>
            <w:pPr>
              <w:adjustRightInd w:val="0"/>
              <w:snapToGrid w:val="0"/>
              <w:ind w:firstLine="420" w:firstLineChars="200"/>
              <w:jc w:val="left"/>
            </w:pPr>
            <w:r>
              <w:rPr>
                <w:rFonts w:hint="eastAsia"/>
              </w:rPr>
              <w:t>（3）</w:t>
            </w:r>
            <w:r>
              <w:t>固体废物处理处置方案</w:t>
            </w:r>
          </w:p>
          <w:p>
            <w:pPr>
              <w:adjustRightInd w:val="0"/>
              <w:snapToGrid w:val="0"/>
              <w:ind w:firstLine="420" w:firstLineChars="200"/>
              <w:jc w:val="left"/>
            </w:pPr>
            <w:r>
              <w:t>一般固废：边角料、</w:t>
            </w:r>
            <w:r>
              <w:rPr>
                <w:rFonts w:hint="eastAsia"/>
              </w:rPr>
              <w:t>不合格品、废滤芯（含收集粉尘）</w:t>
            </w:r>
            <w:r>
              <w:t>收集后外售</w:t>
            </w:r>
            <w:r>
              <w:rPr>
                <w:rFonts w:hint="eastAsia"/>
              </w:rPr>
              <w:t>综合利用</w:t>
            </w:r>
            <w:r>
              <w:t>；</w:t>
            </w:r>
            <w:r>
              <w:rPr>
                <w:rFonts w:hint="eastAsia"/>
              </w:rPr>
              <w:t>餐厨垃圾委托有专业单位集中处理；</w:t>
            </w:r>
          </w:p>
          <w:p>
            <w:pPr>
              <w:adjustRightInd w:val="0"/>
              <w:snapToGrid w:val="0"/>
              <w:ind w:firstLine="420" w:firstLineChars="200"/>
              <w:jc w:val="left"/>
            </w:pPr>
            <w:r>
              <w:t>危险固废：废包装桶、废切削油</w:t>
            </w:r>
            <w:r>
              <w:rPr>
                <w:rFonts w:hint="eastAsia"/>
              </w:rPr>
              <w:t>、清洗废液</w:t>
            </w:r>
            <w:r>
              <w:t>定期委托有资质单位处置</w:t>
            </w:r>
            <w:r>
              <w:rPr>
                <w:rFonts w:hint="eastAsia"/>
              </w:rPr>
              <w:t>，含油抹布手套委托环卫清运</w:t>
            </w:r>
            <w:r>
              <w:t>；</w:t>
            </w:r>
          </w:p>
          <w:p>
            <w:pPr>
              <w:adjustRightInd w:val="0"/>
              <w:snapToGrid w:val="0"/>
              <w:ind w:firstLine="420" w:firstLineChars="200"/>
              <w:rPr>
                <w:szCs w:val="21"/>
              </w:rPr>
            </w:pPr>
            <w:r>
              <w:t>生活垃圾：生活垃圾委托环卫清运。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538" w:type="dxa"/>
            <w:vAlign w:val="center"/>
          </w:tcPr>
          <w:p>
            <w:pPr>
              <w:adjustRightInd w:val="0"/>
              <w:snapToGrid w:val="0"/>
              <w:jc w:val="center"/>
              <w:rPr>
                <w:rFonts w:ascii="宋体" w:hAnsi="宋体" w:cs="宋体"/>
                <w:szCs w:val="21"/>
              </w:rPr>
            </w:pPr>
            <w:r>
              <w:rPr>
                <w:rFonts w:hint="eastAsia" w:ascii="宋体" w:hAnsi="宋体" w:cs="宋体"/>
                <w:szCs w:val="21"/>
              </w:rPr>
              <w:t>土壤及地下水</w:t>
            </w:r>
          </w:p>
          <w:p>
            <w:pPr>
              <w:adjustRightInd w:val="0"/>
              <w:snapToGrid w:val="0"/>
              <w:jc w:val="center"/>
              <w:rPr>
                <w:rFonts w:ascii="宋体" w:hAnsi="宋体" w:cs="宋体"/>
                <w:szCs w:val="21"/>
              </w:rPr>
            </w:pPr>
            <w:r>
              <w:rPr>
                <w:rFonts w:hint="eastAsia" w:ascii="宋体" w:hAnsi="宋体" w:cs="宋体"/>
                <w:szCs w:val="21"/>
              </w:rPr>
              <w:t>污染防治措施</w:t>
            </w:r>
          </w:p>
        </w:tc>
        <w:tc>
          <w:tcPr>
            <w:tcW w:w="7262" w:type="dxa"/>
            <w:gridSpan w:val="4"/>
            <w:vAlign w:val="center"/>
          </w:tcPr>
          <w:p>
            <w:pPr>
              <w:adjustRightInd w:val="0"/>
              <w:snapToGrid w:val="0"/>
              <w:ind w:firstLine="420" w:firstLineChars="200"/>
              <w:rPr>
                <w:rFonts w:ascii="宋体" w:hAnsi="宋体" w:cs="宋体"/>
                <w:szCs w:val="21"/>
              </w:rPr>
            </w:pPr>
            <w:r>
              <w:rPr>
                <w:szCs w:val="21"/>
              </w:rPr>
              <w:t>危废</w:t>
            </w:r>
            <w:r>
              <w:rPr>
                <w:rFonts w:hint="eastAsia"/>
                <w:szCs w:val="21"/>
              </w:rPr>
              <w:t>仓库</w:t>
            </w:r>
            <w:r>
              <w:rPr>
                <w:szCs w:val="21"/>
              </w:rPr>
              <w:t>内地面、墙裙采用防腐、防渗处理，危废通过密闭的包装物包装后暂存在危废堆场内，定期委外处置，定期有专人巡视，故不会造成泄漏下渗，污染土壤、地下水。车间地面、应急池等进行硬化处理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1538" w:type="dxa"/>
            <w:vAlign w:val="center"/>
          </w:tcPr>
          <w:p>
            <w:pPr>
              <w:adjustRightInd w:val="0"/>
              <w:snapToGrid w:val="0"/>
              <w:jc w:val="center"/>
              <w:rPr>
                <w:rFonts w:ascii="宋体" w:hAnsi="宋体" w:cs="宋体"/>
                <w:szCs w:val="21"/>
              </w:rPr>
            </w:pPr>
            <w:r>
              <w:rPr>
                <w:rFonts w:hint="eastAsia" w:ascii="宋体" w:hAnsi="宋体" w:cs="宋体"/>
                <w:szCs w:val="21"/>
              </w:rPr>
              <w:t>生态保护措施</w:t>
            </w:r>
          </w:p>
        </w:tc>
        <w:tc>
          <w:tcPr>
            <w:tcW w:w="7262" w:type="dxa"/>
            <w:gridSpan w:val="4"/>
            <w:vAlign w:val="center"/>
          </w:tcPr>
          <w:p>
            <w:pPr>
              <w:adjustRightInd w:val="0"/>
              <w:snapToGrid w:val="0"/>
              <w:ind w:firstLine="420" w:firstLineChars="200"/>
              <w:jc w:val="left"/>
              <w:rPr>
                <w:szCs w:val="21"/>
              </w:rPr>
            </w:pPr>
            <w:r>
              <w:rPr>
                <w:szCs w:val="21"/>
              </w:rPr>
              <w:t>本项目用地范围内不含生态保护目标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538" w:type="dxa"/>
            <w:vAlign w:val="center"/>
          </w:tcPr>
          <w:p>
            <w:pPr>
              <w:adjustRightInd w:val="0"/>
              <w:snapToGrid w:val="0"/>
              <w:jc w:val="center"/>
              <w:rPr>
                <w:rFonts w:ascii="宋体" w:hAnsi="宋体" w:cs="宋体"/>
                <w:spacing w:val="-8"/>
                <w:szCs w:val="21"/>
              </w:rPr>
            </w:pPr>
            <w:r>
              <w:rPr>
                <w:rFonts w:hint="eastAsia" w:ascii="宋体" w:hAnsi="宋体" w:cs="宋体"/>
                <w:spacing w:val="-8"/>
                <w:szCs w:val="21"/>
              </w:rPr>
              <w:t>环境风险</w:t>
            </w:r>
          </w:p>
          <w:p>
            <w:pPr>
              <w:adjustRightInd w:val="0"/>
              <w:snapToGrid w:val="0"/>
              <w:jc w:val="center"/>
              <w:rPr>
                <w:rFonts w:ascii="宋体" w:hAnsi="宋体" w:cs="宋体"/>
                <w:spacing w:val="-8"/>
                <w:szCs w:val="21"/>
              </w:rPr>
            </w:pPr>
            <w:r>
              <w:rPr>
                <w:rFonts w:hint="eastAsia" w:ascii="宋体" w:hAnsi="宋体" w:cs="宋体"/>
                <w:spacing w:val="-8"/>
                <w:szCs w:val="21"/>
              </w:rPr>
              <w:t>防范措施</w:t>
            </w:r>
          </w:p>
        </w:tc>
        <w:tc>
          <w:tcPr>
            <w:tcW w:w="7262" w:type="dxa"/>
            <w:gridSpan w:val="4"/>
            <w:vAlign w:val="center"/>
          </w:tcPr>
          <w:p>
            <w:pPr>
              <w:adjustRightInd w:val="0"/>
              <w:snapToGrid w:val="0"/>
              <w:ind w:firstLine="420" w:firstLineChars="200"/>
              <w:jc w:val="left"/>
              <w:rPr>
                <w:szCs w:val="21"/>
              </w:rPr>
            </w:pPr>
            <w:r>
              <w:rPr>
                <w:szCs w:val="21"/>
              </w:rPr>
              <w:t>1、建立健全各种有关消防与安全生产的规章制度，建立岗位责任制。仓库、生产车间严禁明火，禁火区设置明显标志牌。</w:t>
            </w:r>
          </w:p>
          <w:p>
            <w:pPr>
              <w:adjustRightInd w:val="0"/>
              <w:snapToGrid w:val="0"/>
              <w:ind w:firstLine="420" w:firstLineChars="200"/>
              <w:jc w:val="left"/>
              <w:rPr>
                <w:szCs w:val="21"/>
              </w:rPr>
            </w:pPr>
            <w:r>
              <w:rPr>
                <w:szCs w:val="21"/>
              </w:rPr>
              <w:t>2、配置足量的灭火器及室内消防箱等消防设施，由专人保管和监护，并保持完好状态。</w:t>
            </w:r>
          </w:p>
          <w:p>
            <w:pPr>
              <w:adjustRightInd w:val="0"/>
              <w:snapToGrid w:val="0"/>
              <w:ind w:firstLine="420" w:firstLineChars="200"/>
              <w:jc w:val="left"/>
              <w:rPr>
                <w:szCs w:val="21"/>
              </w:rPr>
            </w:pPr>
            <w:r>
              <w:rPr>
                <w:szCs w:val="21"/>
              </w:rPr>
              <w:t>3、进行定期的培训和训练。对有火灾危险的场所设置自动报警系统，一旦发生火灾，立即做出应急反应。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7" w:hRule="atLeast"/>
          <w:jc w:val="center"/>
        </w:trPr>
        <w:tc>
          <w:tcPr>
            <w:tcW w:w="1538" w:type="dxa"/>
            <w:vAlign w:val="center"/>
          </w:tcPr>
          <w:p>
            <w:pPr>
              <w:adjustRightInd w:val="0"/>
              <w:snapToGrid w:val="0"/>
              <w:jc w:val="center"/>
              <w:rPr>
                <w:rFonts w:ascii="宋体" w:hAnsi="宋体" w:cs="宋体"/>
                <w:spacing w:val="-8"/>
                <w:szCs w:val="21"/>
              </w:rPr>
            </w:pPr>
            <w:r>
              <w:rPr>
                <w:rFonts w:hint="eastAsia" w:ascii="宋体" w:hAnsi="宋体" w:cs="宋体"/>
                <w:spacing w:val="-8"/>
                <w:szCs w:val="21"/>
              </w:rPr>
              <w:t>其他环境</w:t>
            </w:r>
          </w:p>
          <w:p>
            <w:pPr>
              <w:adjustRightInd w:val="0"/>
              <w:snapToGrid w:val="0"/>
              <w:jc w:val="center"/>
              <w:rPr>
                <w:rFonts w:ascii="宋体" w:hAnsi="宋体" w:cs="宋体"/>
                <w:spacing w:val="-8"/>
                <w:szCs w:val="21"/>
              </w:rPr>
            </w:pPr>
            <w:r>
              <w:rPr>
                <w:rFonts w:hint="eastAsia" w:ascii="宋体" w:hAnsi="宋体" w:cs="宋体"/>
                <w:spacing w:val="-8"/>
                <w:szCs w:val="21"/>
              </w:rPr>
              <w:t>管理要求</w:t>
            </w:r>
          </w:p>
        </w:tc>
        <w:tc>
          <w:tcPr>
            <w:tcW w:w="7262" w:type="dxa"/>
            <w:gridSpan w:val="4"/>
            <w:vAlign w:val="center"/>
          </w:tcPr>
          <w:p>
            <w:pPr>
              <w:spacing w:line="276" w:lineRule="auto"/>
              <w:ind w:firstLine="420" w:firstLineChars="200"/>
              <w:jc w:val="left"/>
              <w:rPr>
                <w:szCs w:val="21"/>
              </w:rPr>
            </w:pPr>
            <w:r>
              <w:rPr>
                <w:szCs w:val="21"/>
              </w:rPr>
              <w:t>（1）保持与环境保护主管机构的密切联系，及时了解国家、地方对本项目的有关环境保护的法律、法规和其它要求，及时向环境保护主管机构反映与项目有关的污染因素、存在的问题、采取的污染控制对策等环境保护方面的内容，听取环境保护主管机构的批示意见；</w:t>
            </w:r>
          </w:p>
          <w:p>
            <w:pPr>
              <w:spacing w:line="276" w:lineRule="auto"/>
              <w:ind w:firstLine="420" w:firstLineChars="200"/>
              <w:jc w:val="left"/>
              <w:rPr>
                <w:szCs w:val="21"/>
              </w:rPr>
            </w:pPr>
            <w:r>
              <w:rPr>
                <w:szCs w:val="21"/>
              </w:rPr>
              <w:t>（2）及时将国家、地方与本项目环境保护有关的法律、法规和其它要求向单位负责人汇报，及时向本单位有关机构、人员进行通报，组织职工进行环境保护方面的教育、培训，提高环保意识；</w:t>
            </w:r>
          </w:p>
          <w:p>
            <w:pPr>
              <w:spacing w:line="276" w:lineRule="auto"/>
              <w:ind w:firstLine="420" w:firstLineChars="200"/>
              <w:jc w:val="left"/>
              <w:rPr>
                <w:szCs w:val="21"/>
              </w:rPr>
            </w:pPr>
            <w:r>
              <w:rPr>
                <w:szCs w:val="21"/>
              </w:rPr>
              <w:t>（3）及时向单位负责人汇报与本项目有关的污染因素、存在问题、采取的污染控制对策、实施情况等，提出改进建议；</w:t>
            </w:r>
          </w:p>
          <w:p>
            <w:pPr>
              <w:spacing w:line="276" w:lineRule="auto"/>
              <w:ind w:firstLine="420" w:firstLineChars="200"/>
              <w:jc w:val="left"/>
              <w:rPr>
                <w:szCs w:val="21"/>
              </w:rPr>
            </w:pPr>
            <w:r>
              <w:rPr>
                <w:szCs w:val="21"/>
              </w:rPr>
              <w:t>（4）负责制定、监督实施本单位的有关环境保护管理规章制度，负责实施污染控制措施、管理污染治理设施，并进行详细的记录、以备检查；</w:t>
            </w:r>
          </w:p>
          <w:p>
            <w:pPr>
              <w:spacing w:line="276" w:lineRule="auto"/>
              <w:ind w:firstLine="420" w:firstLineChars="200"/>
              <w:jc w:val="left"/>
              <w:rPr>
                <w:szCs w:val="21"/>
              </w:rPr>
            </w:pPr>
            <w:r>
              <w:rPr>
                <w:szCs w:val="21"/>
              </w:rPr>
              <w:t>（5）按照本报告提出的各项环境保护措施，编制详细的环境保护措施落实计划，明确各污染源位置、环境影响、环境保护措施、落实责任机构（人）等，并将该环境保护计划以书面形式发放给相关人员，以便于各项措施的有效落实；</w:t>
            </w:r>
          </w:p>
          <w:p>
            <w:pPr>
              <w:spacing w:line="276" w:lineRule="auto"/>
              <w:ind w:firstLine="420" w:firstLineChars="200"/>
              <w:jc w:val="left"/>
              <w:rPr>
                <w:szCs w:val="21"/>
              </w:rPr>
            </w:pPr>
            <w:r>
              <w:rPr>
                <w:szCs w:val="21"/>
              </w:rPr>
              <w:t>（6）按《江苏省排污口设置及规范化整治管理办法》(苏环控[97]122号)要求，对废气排口、固定噪声污染源、固废临时堆场进行规范化设置。</w:t>
            </w:r>
          </w:p>
          <w:p>
            <w:pPr>
              <w:spacing w:line="276" w:lineRule="auto"/>
              <w:ind w:firstLine="420" w:firstLineChars="200"/>
              <w:jc w:val="left"/>
              <w:rPr>
                <w:szCs w:val="21"/>
              </w:rPr>
            </w:pPr>
            <w:r>
              <w:rPr>
                <w:szCs w:val="21"/>
              </w:rPr>
              <w:t>（7）根据《企业事业单位环境信息公开办法》（环境保护部令第31号）及《关于印发排污许可证管理暂行规定的通知》（环水体[2016]186号）要求，向社会公开如下信息：</w:t>
            </w:r>
          </w:p>
          <w:p>
            <w:pPr>
              <w:spacing w:line="276" w:lineRule="auto"/>
              <w:ind w:firstLine="420" w:firstLineChars="200"/>
              <w:jc w:val="left"/>
              <w:rPr>
                <w:szCs w:val="21"/>
              </w:rPr>
            </w:pPr>
            <w:r>
              <w:rPr>
                <w:szCs w:val="21"/>
              </w:rPr>
              <w:t>①基础信息，包括单位名称、组织机构代码、法定代表人、生产地址、联系方式，以及生产经营和管理服务的主要内容、产品及规模；</w:t>
            </w:r>
          </w:p>
          <w:p>
            <w:pPr>
              <w:spacing w:line="276" w:lineRule="auto"/>
              <w:ind w:firstLine="420" w:firstLineChars="200"/>
              <w:jc w:val="left"/>
              <w:rPr>
                <w:szCs w:val="21"/>
              </w:rPr>
            </w:pPr>
            <w:r>
              <w:rPr>
                <w:szCs w:val="21"/>
              </w:rPr>
              <w:t>②排污信息，包括主要污染物及特征污染物的名称、排放方式、排放口数量和分布情况、排放浓度和总量、超标情况，以及执行的污染物排放标准、核定的排放总量；</w:t>
            </w:r>
          </w:p>
          <w:p>
            <w:pPr>
              <w:spacing w:line="276" w:lineRule="auto"/>
              <w:ind w:firstLine="420" w:firstLineChars="200"/>
              <w:jc w:val="left"/>
              <w:rPr>
                <w:szCs w:val="21"/>
              </w:rPr>
            </w:pPr>
            <w:r>
              <w:rPr>
                <w:szCs w:val="21"/>
              </w:rPr>
              <w:t>③防治污染设施的建设和运行情况；</w:t>
            </w:r>
          </w:p>
          <w:p>
            <w:pPr>
              <w:spacing w:line="276" w:lineRule="auto"/>
              <w:ind w:firstLine="420" w:firstLineChars="200"/>
              <w:jc w:val="left"/>
              <w:rPr>
                <w:szCs w:val="21"/>
              </w:rPr>
            </w:pPr>
            <w:r>
              <w:rPr>
                <w:szCs w:val="21"/>
              </w:rPr>
              <w:t>④建设项目环境影响评价及其他环境保护行政许可情况；</w:t>
            </w:r>
          </w:p>
          <w:p>
            <w:pPr>
              <w:adjustRightInd w:val="0"/>
              <w:snapToGrid w:val="0"/>
              <w:ind w:firstLine="420" w:firstLineChars="200"/>
              <w:rPr>
                <w:rFonts w:ascii="宋体" w:hAnsi="宋体" w:cs="宋体"/>
                <w:szCs w:val="21"/>
              </w:rPr>
            </w:pPr>
            <w:r>
              <w:rPr>
                <w:szCs w:val="21"/>
              </w:rPr>
              <w:t>⑤编制突发环境事件应急预案。</w:t>
            </w:r>
          </w:p>
        </w:tc>
      </w:tr>
    </w:tbl>
    <w:p>
      <w:pPr>
        <w:pStyle w:val="19"/>
        <w:spacing w:before="0" w:beforeAutospacing="0" w:after="0" w:afterAutospacing="0"/>
        <w:jc w:val="center"/>
        <w:outlineLvl w:val="0"/>
        <w:rPr>
          <w:rFonts w:ascii="黑体" w:hAnsi="黑体" w:eastAsia="黑体"/>
          <w:snapToGrid w:val="0"/>
          <w:sz w:val="30"/>
          <w:szCs w:val="30"/>
        </w:rPr>
      </w:pPr>
      <w:r>
        <w:rPr>
          <w:snapToGrid w:val="0"/>
        </w:rPr>
        <w:br w:type="page"/>
      </w:r>
      <w:bookmarkStart w:id="15" w:name="_Toc104299251"/>
      <w:bookmarkStart w:id="16" w:name="_Toc104298944"/>
      <w:r>
        <w:rPr>
          <w:rFonts w:hint="eastAsia" w:ascii="黑体" w:hAnsi="黑体" w:eastAsia="黑体"/>
          <w:snapToGrid w:val="0"/>
          <w:sz w:val="30"/>
          <w:szCs w:val="30"/>
        </w:rPr>
        <w:t>六、结论</w:t>
      </w:r>
      <w:bookmarkEnd w:id="15"/>
      <w:bookmarkEnd w:id="16"/>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tcPr>
          <w:p>
            <w:pPr>
              <w:spacing w:line="360" w:lineRule="auto"/>
              <w:ind w:firstLine="480" w:firstLineChars="200"/>
              <w:rPr>
                <w:sz w:val="24"/>
              </w:rPr>
            </w:pPr>
            <w:r>
              <w:rPr>
                <w:rFonts w:ascii="宋体" w:hAnsi="宋体" w:cs="宋体"/>
                <w:sz w:val="24"/>
              </w:rPr>
              <w:t>本项目符合国家及地方相关法律法规、产业政策和城市总体规划。项目建成运行后将产生一定程度的废气、废水、固废及噪声的污染，全面落实本评价拟定的各项环境保护措施，项目对周围环境的影响可以控制在国家有关标准和要求的允许范围以内，各污染物能够满足国家和地方规定的污染物排放标准，不改变当地的环境质量功能属性。因此，建设单位在落实本报告提出的各项污染防治措施的前提下，项目的建设是可行的。</w:t>
            </w:r>
          </w:p>
        </w:tc>
      </w:tr>
    </w:tbl>
    <w:p>
      <w:pPr>
        <w:rPr>
          <w:rFonts w:ascii="宋体"/>
        </w:rPr>
        <w:sectPr>
          <w:pgSz w:w="11906" w:h="16838"/>
          <w:pgMar w:top="1701" w:right="1531" w:bottom="1701" w:left="1531" w:header="851" w:footer="851" w:gutter="0"/>
          <w:cols w:space="720" w:num="1"/>
          <w:docGrid w:linePitch="312" w:charSpace="0"/>
        </w:sectPr>
      </w:pPr>
    </w:p>
    <w:p>
      <w:pPr>
        <w:pStyle w:val="19"/>
        <w:adjustRightInd w:val="0"/>
        <w:spacing w:before="0" w:beforeAutospacing="0" w:after="0" w:afterAutospacing="0"/>
        <w:contextualSpacing/>
        <w:outlineLvl w:val="0"/>
        <w:rPr>
          <w:rFonts w:ascii="黑体" w:hAnsi="黑体" w:eastAsia="黑体"/>
          <w:snapToGrid w:val="0"/>
          <w:sz w:val="32"/>
          <w:szCs w:val="32"/>
        </w:rPr>
      </w:pPr>
      <w:bookmarkStart w:id="17" w:name="_Toc104298945"/>
      <w:bookmarkStart w:id="18" w:name="_Toc104299252"/>
      <w:r>
        <w:rPr>
          <w:rFonts w:hint="eastAsia" w:ascii="黑体" w:hAnsi="黑体" w:eastAsia="黑体"/>
          <w:snapToGrid w:val="0"/>
          <w:sz w:val="32"/>
          <w:szCs w:val="32"/>
        </w:rPr>
        <w:t>附表</w:t>
      </w:r>
      <w:bookmarkEnd w:id="17"/>
      <w:bookmarkEnd w:id="18"/>
    </w:p>
    <w:p>
      <w:pPr>
        <w:pStyle w:val="19"/>
        <w:adjustRightInd w:val="0"/>
        <w:spacing w:before="0" w:beforeAutospacing="0" w:after="0" w:afterAutospacing="0"/>
        <w:contextualSpacing/>
        <w:jc w:val="center"/>
        <w:outlineLvl w:val="0"/>
        <w:rPr>
          <w:rFonts w:ascii="方正小标宋_GBK" w:hAnsi="黑体" w:eastAsia="方正小标宋_GBK"/>
          <w:snapToGrid w:val="0"/>
          <w:sz w:val="38"/>
          <w:szCs w:val="38"/>
        </w:rPr>
      </w:pPr>
      <w:bookmarkStart w:id="19" w:name="_Toc104298946"/>
      <w:bookmarkStart w:id="20" w:name="_Toc104299253"/>
      <w:r>
        <w:rPr>
          <w:rFonts w:hint="eastAsia" w:ascii="方正小标宋_GBK" w:hAnsi="黑体" w:eastAsia="方正小标宋_GBK"/>
          <w:snapToGrid w:val="0"/>
          <w:sz w:val="38"/>
          <w:szCs w:val="38"/>
        </w:rPr>
        <w:t>建设项目污染物排放量汇总表（t/a）</w:t>
      </w:r>
      <w:bookmarkEnd w:id="19"/>
      <w:bookmarkEnd w:id="20"/>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88"/>
        <w:gridCol w:w="1417"/>
        <w:gridCol w:w="1701"/>
        <w:gridCol w:w="1276"/>
        <w:gridCol w:w="1701"/>
        <w:gridCol w:w="1559"/>
        <w:gridCol w:w="1761"/>
        <w:gridCol w:w="1641"/>
        <w:gridCol w:w="1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tcBorders>
              <w:tl2br w:val="single" w:color="auto" w:sz="4" w:space="0"/>
            </w:tcBorders>
            <w:tcMar>
              <w:left w:w="28" w:type="dxa"/>
              <w:right w:w="28" w:type="dxa"/>
            </w:tcMar>
            <w:vAlign w:val="center"/>
          </w:tcPr>
          <w:p>
            <w:pPr>
              <w:pStyle w:val="37"/>
              <w:spacing w:beforeLines="0" w:afterLines="0" w:line="240" w:lineRule="auto"/>
              <w:jc w:val="right"/>
              <w:rPr>
                <w:rFonts w:ascii="Times New Roman" w:eastAsia="黑体"/>
                <w:snapToGrid w:val="0"/>
                <w:color w:val="000000"/>
                <w:spacing w:val="-6"/>
                <w:kern w:val="21"/>
                <w:szCs w:val="21"/>
              </w:rPr>
            </w:pPr>
            <w:r>
              <w:rPr>
                <w:rFonts w:ascii="Times New Roman" w:eastAsia="黑体"/>
                <w:snapToGrid w:val="0"/>
                <w:color w:val="000000"/>
                <w:spacing w:val="-6"/>
                <w:kern w:val="21"/>
                <w:szCs w:val="21"/>
              </w:rPr>
              <w:t>项目</w:t>
            </w:r>
          </w:p>
          <w:p>
            <w:pPr>
              <w:pStyle w:val="37"/>
              <w:spacing w:beforeLines="0" w:afterLines="0" w:line="240" w:lineRule="auto"/>
              <w:jc w:val="left"/>
              <w:rPr>
                <w:rFonts w:ascii="Times New Roman" w:eastAsia="黑体"/>
                <w:snapToGrid w:val="0"/>
                <w:color w:val="000000"/>
                <w:spacing w:val="-6"/>
                <w:kern w:val="21"/>
                <w:szCs w:val="21"/>
              </w:rPr>
            </w:pPr>
            <w:r>
              <w:rPr>
                <w:rFonts w:ascii="Times New Roman" w:eastAsia="黑体"/>
                <w:snapToGrid w:val="0"/>
                <w:color w:val="000000"/>
                <w:spacing w:val="-6"/>
                <w:kern w:val="21"/>
                <w:szCs w:val="21"/>
              </w:rPr>
              <w:t>分类</w:t>
            </w:r>
          </w:p>
        </w:tc>
        <w:tc>
          <w:tcPr>
            <w:tcW w:w="1417" w:type="dxa"/>
            <w:tcMar>
              <w:left w:w="28" w:type="dxa"/>
              <w:right w:w="28" w:type="dxa"/>
            </w:tcMar>
            <w:vAlign w:val="center"/>
          </w:tcPr>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t>污染物名称</w:t>
            </w:r>
          </w:p>
        </w:tc>
        <w:tc>
          <w:tcPr>
            <w:tcW w:w="1701" w:type="dxa"/>
            <w:tcMar>
              <w:left w:w="28" w:type="dxa"/>
              <w:right w:w="28" w:type="dxa"/>
            </w:tcMar>
            <w:vAlign w:val="center"/>
          </w:tcPr>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t>现有工程</w:t>
            </w:r>
          </w:p>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t>排放量（固体废物产生量）</w:t>
            </w: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1 \* GB3 \* MERGEFORMAT </w:instrText>
            </w:r>
            <w:r>
              <w:rPr>
                <w:rFonts w:ascii="Times New Roman" w:eastAsia="黑体"/>
                <w:snapToGrid w:val="0"/>
                <w:color w:val="000000"/>
                <w:spacing w:val="-6"/>
                <w:kern w:val="21"/>
                <w:szCs w:val="21"/>
              </w:rPr>
              <w:fldChar w:fldCharType="separate"/>
            </w:r>
            <w:r>
              <w:rPr>
                <w:rFonts w:hint="eastAsia" w:hAnsi="宋体" w:cs="宋体"/>
                <w:kern w:val="2"/>
                <w:szCs w:val="21"/>
              </w:rPr>
              <w:t>①</w:t>
            </w:r>
            <w:r>
              <w:rPr>
                <w:rFonts w:ascii="Times New Roman" w:eastAsia="黑体"/>
                <w:snapToGrid w:val="0"/>
                <w:color w:val="000000"/>
                <w:spacing w:val="-6"/>
                <w:kern w:val="21"/>
                <w:szCs w:val="21"/>
              </w:rPr>
              <w:fldChar w:fldCharType="end"/>
            </w:r>
          </w:p>
        </w:tc>
        <w:tc>
          <w:tcPr>
            <w:tcW w:w="1276" w:type="dxa"/>
            <w:tcMar>
              <w:left w:w="28" w:type="dxa"/>
              <w:right w:w="28" w:type="dxa"/>
            </w:tcMar>
            <w:vAlign w:val="center"/>
          </w:tcPr>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t>现有工程</w:t>
            </w:r>
          </w:p>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t>许可排放量</w:t>
            </w:r>
          </w:p>
          <w:p>
            <w:pPr>
              <w:pStyle w:val="37"/>
              <w:spacing w:beforeLines="0" w:afterLines="0"/>
              <w:rPr>
                <w:rFonts w:ascii="Times New Roman" w:eastAsia="黑体"/>
                <w:snapToGrid w:val="0"/>
                <w:color w:val="000000"/>
                <w:spacing w:val="-6"/>
                <w:kern w:val="21"/>
                <w:szCs w:val="21"/>
              </w:rPr>
            </w:pP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2 \* GB3 \* MERGEFORMAT </w:instrText>
            </w:r>
            <w:r>
              <w:rPr>
                <w:rFonts w:ascii="Times New Roman" w:eastAsia="黑体"/>
                <w:snapToGrid w:val="0"/>
                <w:color w:val="000000"/>
                <w:spacing w:val="-6"/>
                <w:kern w:val="21"/>
                <w:szCs w:val="21"/>
              </w:rPr>
              <w:fldChar w:fldCharType="separate"/>
            </w:r>
            <w:r>
              <w:rPr>
                <w:rFonts w:hint="eastAsia" w:hAnsi="宋体" w:cs="宋体"/>
                <w:snapToGrid w:val="0"/>
                <w:color w:val="000000"/>
                <w:spacing w:val="-6"/>
                <w:kern w:val="21"/>
                <w:szCs w:val="21"/>
              </w:rPr>
              <w:t>②</w:t>
            </w:r>
            <w:r>
              <w:rPr>
                <w:rFonts w:ascii="Times New Roman" w:eastAsia="黑体"/>
                <w:snapToGrid w:val="0"/>
                <w:color w:val="000000"/>
                <w:spacing w:val="-6"/>
                <w:kern w:val="21"/>
                <w:szCs w:val="21"/>
              </w:rPr>
              <w:fldChar w:fldCharType="end"/>
            </w:r>
          </w:p>
        </w:tc>
        <w:tc>
          <w:tcPr>
            <w:tcW w:w="1701" w:type="dxa"/>
            <w:tcMar>
              <w:left w:w="28" w:type="dxa"/>
              <w:right w:w="28" w:type="dxa"/>
            </w:tcMar>
            <w:vAlign w:val="center"/>
          </w:tcPr>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t>在建工程</w:t>
            </w:r>
          </w:p>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t>排放量（固体废物产生量）</w:t>
            </w: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3 \* GB3 \* MERGEFORMAT </w:instrText>
            </w:r>
            <w:r>
              <w:rPr>
                <w:rFonts w:ascii="Times New Roman" w:eastAsia="黑体"/>
                <w:snapToGrid w:val="0"/>
                <w:color w:val="000000"/>
                <w:spacing w:val="-6"/>
                <w:kern w:val="21"/>
                <w:szCs w:val="21"/>
              </w:rPr>
              <w:fldChar w:fldCharType="separate"/>
            </w:r>
            <w:r>
              <w:rPr>
                <w:rFonts w:hint="eastAsia" w:hAnsi="宋体" w:cs="宋体"/>
                <w:kern w:val="2"/>
                <w:szCs w:val="21"/>
              </w:rPr>
              <w:t>③</w:t>
            </w:r>
            <w:r>
              <w:rPr>
                <w:rFonts w:ascii="Times New Roman" w:eastAsia="黑体"/>
                <w:snapToGrid w:val="0"/>
                <w:color w:val="000000"/>
                <w:spacing w:val="-6"/>
                <w:kern w:val="21"/>
                <w:szCs w:val="21"/>
              </w:rPr>
              <w:fldChar w:fldCharType="end"/>
            </w:r>
          </w:p>
        </w:tc>
        <w:tc>
          <w:tcPr>
            <w:tcW w:w="1559" w:type="dxa"/>
            <w:tcMar>
              <w:left w:w="28" w:type="dxa"/>
              <w:right w:w="28" w:type="dxa"/>
            </w:tcMar>
            <w:vAlign w:val="center"/>
          </w:tcPr>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t>本项目</w:t>
            </w:r>
          </w:p>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t>排放量（固体废物产生量）</w:t>
            </w: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4 \* GB3 \* MERGEFORMAT </w:instrText>
            </w:r>
            <w:r>
              <w:rPr>
                <w:rFonts w:ascii="Times New Roman" w:eastAsia="黑体"/>
                <w:snapToGrid w:val="0"/>
                <w:color w:val="000000"/>
                <w:spacing w:val="-6"/>
                <w:kern w:val="21"/>
                <w:szCs w:val="21"/>
              </w:rPr>
              <w:fldChar w:fldCharType="separate"/>
            </w:r>
            <w:r>
              <w:rPr>
                <w:rFonts w:hint="eastAsia" w:hAnsi="宋体" w:cs="宋体"/>
                <w:kern w:val="2"/>
                <w:szCs w:val="21"/>
              </w:rPr>
              <w:t>④</w:t>
            </w:r>
            <w:r>
              <w:rPr>
                <w:rFonts w:ascii="Times New Roman" w:eastAsia="黑体"/>
                <w:snapToGrid w:val="0"/>
                <w:color w:val="000000"/>
                <w:spacing w:val="-6"/>
                <w:kern w:val="21"/>
                <w:szCs w:val="21"/>
              </w:rPr>
              <w:fldChar w:fldCharType="end"/>
            </w:r>
          </w:p>
        </w:tc>
        <w:tc>
          <w:tcPr>
            <w:tcW w:w="1761" w:type="dxa"/>
            <w:tcMar>
              <w:left w:w="28" w:type="dxa"/>
              <w:right w:w="28" w:type="dxa"/>
            </w:tcMar>
            <w:vAlign w:val="center"/>
          </w:tcPr>
          <w:p>
            <w:pPr>
              <w:pStyle w:val="37"/>
              <w:spacing w:beforeLines="0" w:afterLines="0" w:line="240" w:lineRule="auto"/>
              <w:rPr>
                <w:rFonts w:ascii="Times New Roman" w:eastAsia="黑体"/>
                <w:snapToGrid w:val="0"/>
                <w:color w:val="000000"/>
                <w:spacing w:val="-16"/>
                <w:kern w:val="21"/>
                <w:szCs w:val="21"/>
              </w:rPr>
            </w:pPr>
            <w:r>
              <w:rPr>
                <w:rFonts w:ascii="Times New Roman" w:eastAsia="黑体"/>
                <w:snapToGrid w:val="0"/>
                <w:color w:val="000000"/>
                <w:spacing w:val="-16"/>
                <w:kern w:val="21"/>
                <w:szCs w:val="21"/>
              </w:rPr>
              <w:t>以新带老削减量</w:t>
            </w:r>
          </w:p>
          <w:p>
            <w:pPr>
              <w:pStyle w:val="37"/>
              <w:spacing w:beforeLines="0" w:afterLines="0" w:line="240" w:lineRule="auto"/>
              <w:rPr>
                <w:rFonts w:ascii="Times New Roman" w:eastAsia="黑体"/>
                <w:snapToGrid w:val="0"/>
                <w:color w:val="000000"/>
                <w:spacing w:val="-16"/>
                <w:kern w:val="21"/>
                <w:szCs w:val="21"/>
              </w:rPr>
            </w:pPr>
            <w:r>
              <w:rPr>
                <w:rFonts w:ascii="Times New Roman" w:eastAsia="黑体"/>
                <w:snapToGrid w:val="0"/>
                <w:color w:val="000000"/>
                <w:spacing w:val="-16"/>
                <w:kern w:val="21"/>
                <w:szCs w:val="21"/>
              </w:rPr>
              <w:t>（新建项目不填）</w:t>
            </w:r>
            <w:r>
              <w:rPr>
                <w:rFonts w:ascii="Times New Roman" w:eastAsia="黑体"/>
                <w:snapToGrid w:val="0"/>
                <w:color w:val="000000"/>
                <w:spacing w:val="-16"/>
                <w:kern w:val="21"/>
                <w:szCs w:val="21"/>
              </w:rPr>
              <w:fldChar w:fldCharType="begin"/>
            </w:r>
            <w:r>
              <w:rPr>
                <w:rFonts w:ascii="Times New Roman" w:eastAsia="黑体"/>
                <w:snapToGrid w:val="0"/>
                <w:color w:val="000000"/>
                <w:spacing w:val="-16"/>
                <w:kern w:val="21"/>
                <w:szCs w:val="21"/>
              </w:rPr>
              <w:instrText xml:space="preserve"> = 5 \* GB3 \* MERGEFORMAT </w:instrText>
            </w:r>
            <w:r>
              <w:rPr>
                <w:rFonts w:ascii="Times New Roman" w:eastAsia="黑体"/>
                <w:snapToGrid w:val="0"/>
                <w:color w:val="000000"/>
                <w:spacing w:val="-16"/>
                <w:kern w:val="21"/>
                <w:szCs w:val="21"/>
              </w:rPr>
              <w:fldChar w:fldCharType="separate"/>
            </w:r>
            <w:r>
              <w:rPr>
                <w:rFonts w:hint="eastAsia" w:hAnsi="宋体" w:cs="宋体"/>
                <w:kern w:val="2"/>
                <w:szCs w:val="21"/>
              </w:rPr>
              <w:t>⑤</w:t>
            </w:r>
            <w:r>
              <w:rPr>
                <w:rFonts w:ascii="Times New Roman" w:eastAsia="黑体"/>
                <w:snapToGrid w:val="0"/>
                <w:color w:val="000000"/>
                <w:spacing w:val="-16"/>
                <w:kern w:val="21"/>
                <w:szCs w:val="21"/>
              </w:rPr>
              <w:fldChar w:fldCharType="end"/>
            </w:r>
          </w:p>
        </w:tc>
        <w:tc>
          <w:tcPr>
            <w:tcW w:w="1641" w:type="dxa"/>
            <w:tcMar>
              <w:left w:w="28" w:type="dxa"/>
              <w:right w:w="28" w:type="dxa"/>
            </w:tcMar>
            <w:vAlign w:val="center"/>
          </w:tcPr>
          <w:p>
            <w:pPr>
              <w:pStyle w:val="37"/>
              <w:spacing w:beforeLines="0" w:afterLines="0" w:line="240" w:lineRule="auto"/>
              <w:rPr>
                <w:rFonts w:ascii="Times New Roman" w:eastAsia="黑体"/>
                <w:snapToGrid w:val="0"/>
                <w:color w:val="000000"/>
                <w:spacing w:val="-16"/>
                <w:kern w:val="21"/>
                <w:szCs w:val="21"/>
              </w:rPr>
            </w:pPr>
            <w:r>
              <w:rPr>
                <w:rFonts w:ascii="Times New Roman" w:eastAsia="黑体"/>
                <w:snapToGrid w:val="0"/>
                <w:color w:val="000000"/>
                <w:spacing w:val="-16"/>
                <w:kern w:val="21"/>
                <w:szCs w:val="21"/>
              </w:rPr>
              <w:t>本项目建成后</w:t>
            </w:r>
          </w:p>
          <w:p>
            <w:pPr>
              <w:pStyle w:val="37"/>
              <w:spacing w:beforeLines="0" w:afterLines="0" w:line="240" w:lineRule="auto"/>
              <w:rPr>
                <w:rFonts w:ascii="Times New Roman" w:eastAsia="黑体"/>
                <w:snapToGrid w:val="0"/>
                <w:color w:val="000000"/>
                <w:spacing w:val="-16"/>
                <w:kern w:val="21"/>
                <w:szCs w:val="21"/>
              </w:rPr>
            </w:pPr>
            <w:r>
              <w:rPr>
                <w:rFonts w:ascii="Times New Roman" w:eastAsia="黑体"/>
                <w:snapToGrid w:val="0"/>
                <w:color w:val="000000"/>
                <w:spacing w:val="-16"/>
                <w:kern w:val="21"/>
                <w:szCs w:val="21"/>
              </w:rPr>
              <w:t>全厂排放量（固体废物产生量）</w:t>
            </w:r>
            <w:r>
              <w:rPr>
                <w:rFonts w:ascii="Times New Roman" w:eastAsia="黑体"/>
                <w:snapToGrid w:val="0"/>
                <w:color w:val="000000"/>
                <w:spacing w:val="-16"/>
                <w:kern w:val="21"/>
                <w:szCs w:val="21"/>
              </w:rPr>
              <w:fldChar w:fldCharType="begin"/>
            </w:r>
            <w:r>
              <w:rPr>
                <w:rFonts w:ascii="Times New Roman" w:eastAsia="黑体"/>
                <w:snapToGrid w:val="0"/>
                <w:color w:val="000000"/>
                <w:spacing w:val="-16"/>
                <w:kern w:val="21"/>
                <w:szCs w:val="21"/>
              </w:rPr>
              <w:instrText xml:space="preserve"> = 6 \* GB3 \* MERGEFORMAT </w:instrText>
            </w:r>
            <w:r>
              <w:rPr>
                <w:rFonts w:ascii="Times New Roman" w:eastAsia="黑体"/>
                <w:snapToGrid w:val="0"/>
                <w:color w:val="000000"/>
                <w:spacing w:val="-16"/>
                <w:kern w:val="21"/>
                <w:szCs w:val="21"/>
              </w:rPr>
              <w:fldChar w:fldCharType="separate"/>
            </w:r>
            <w:r>
              <w:rPr>
                <w:rFonts w:hint="eastAsia" w:hAnsi="宋体" w:cs="宋体"/>
                <w:kern w:val="2"/>
                <w:szCs w:val="21"/>
              </w:rPr>
              <w:t>⑥</w:t>
            </w:r>
            <w:r>
              <w:rPr>
                <w:rFonts w:ascii="Times New Roman" w:eastAsia="黑体"/>
                <w:snapToGrid w:val="0"/>
                <w:color w:val="000000"/>
                <w:spacing w:val="-16"/>
                <w:kern w:val="21"/>
                <w:szCs w:val="21"/>
              </w:rPr>
              <w:fldChar w:fldCharType="end"/>
            </w:r>
          </w:p>
        </w:tc>
        <w:tc>
          <w:tcPr>
            <w:tcW w:w="1144" w:type="dxa"/>
            <w:tcMar>
              <w:left w:w="28" w:type="dxa"/>
              <w:right w:w="28" w:type="dxa"/>
            </w:tcMar>
            <w:vAlign w:val="center"/>
          </w:tcPr>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t>变化量</w:t>
            </w:r>
          </w:p>
          <w:p>
            <w:pPr>
              <w:pStyle w:val="37"/>
              <w:spacing w:beforeLines="0" w:afterLines="0" w:line="240" w:lineRule="auto"/>
              <w:rPr>
                <w:rFonts w:ascii="Times New Roman" w:eastAsia="黑体"/>
                <w:snapToGrid w:val="0"/>
                <w:color w:val="000000"/>
                <w:spacing w:val="-6"/>
                <w:kern w:val="21"/>
                <w:szCs w:val="21"/>
              </w:rPr>
            </w:pPr>
            <w:r>
              <w:rPr>
                <w:rFonts w:ascii="Times New Roman" w:eastAsia="黑体"/>
                <w:snapToGrid w:val="0"/>
                <w:color w:val="000000"/>
                <w:spacing w:val="-6"/>
                <w:kern w:val="21"/>
                <w:szCs w:val="21"/>
              </w:rPr>
              <w:fldChar w:fldCharType="begin"/>
            </w:r>
            <w:r>
              <w:rPr>
                <w:rFonts w:ascii="Times New Roman" w:eastAsia="黑体"/>
                <w:snapToGrid w:val="0"/>
                <w:color w:val="000000"/>
                <w:spacing w:val="-6"/>
                <w:kern w:val="21"/>
                <w:szCs w:val="21"/>
              </w:rPr>
              <w:instrText xml:space="preserve"> = 7 \* GB3 \* MERGEFORMAT </w:instrText>
            </w:r>
            <w:r>
              <w:rPr>
                <w:rFonts w:ascii="Times New Roman" w:eastAsia="黑体"/>
                <w:snapToGrid w:val="0"/>
                <w:color w:val="000000"/>
                <w:spacing w:val="-6"/>
                <w:kern w:val="21"/>
                <w:szCs w:val="21"/>
              </w:rPr>
              <w:fldChar w:fldCharType="separate"/>
            </w:r>
            <w:r>
              <w:rPr>
                <w:rFonts w:hint="eastAsia" w:hAnsi="宋体" w:cs="宋体"/>
                <w:kern w:val="2"/>
                <w:szCs w:val="21"/>
              </w:rPr>
              <w:t>⑦</w:t>
            </w:r>
            <w:r>
              <w:rPr>
                <w:rFonts w:ascii="Times New Roman" w:eastAsia="黑体"/>
                <w:snapToGrid w:val="0"/>
                <w:color w:val="000000"/>
                <w:spacing w:val="-6"/>
                <w:kern w:val="21"/>
                <w:szCs w:val="21"/>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restart"/>
            <w:vAlign w:val="center"/>
          </w:tcPr>
          <w:p>
            <w:pPr>
              <w:pStyle w:val="37"/>
              <w:spacing w:beforeLines="0" w:afterLines="0" w:line="240" w:lineRule="auto"/>
              <w:rPr>
                <w:rFonts w:ascii="Times New Roman"/>
                <w:snapToGrid w:val="0"/>
                <w:color w:val="000000"/>
                <w:kern w:val="21"/>
                <w:szCs w:val="21"/>
              </w:rPr>
            </w:pPr>
            <w:r>
              <w:rPr>
                <w:rFonts w:ascii="Times New Roman"/>
                <w:snapToGrid w:val="0"/>
                <w:color w:val="000000"/>
                <w:kern w:val="21"/>
                <w:szCs w:val="21"/>
              </w:rPr>
              <w:t>废水</w:t>
            </w:r>
          </w:p>
        </w:tc>
        <w:tc>
          <w:tcPr>
            <w:tcW w:w="1417" w:type="dxa"/>
            <w:vAlign w:val="center"/>
          </w:tcPr>
          <w:p>
            <w:pPr>
              <w:adjustRightInd w:val="0"/>
              <w:snapToGrid w:val="0"/>
              <w:jc w:val="center"/>
              <w:rPr>
                <w:szCs w:val="21"/>
              </w:rPr>
            </w:pPr>
            <w:r>
              <w:rPr>
                <w:szCs w:val="21"/>
              </w:rPr>
              <w:t>水量</w:t>
            </w:r>
          </w:p>
        </w:tc>
        <w:tc>
          <w:tcPr>
            <w:tcW w:w="1701" w:type="dxa"/>
            <w:vAlign w:val="center"/>
          </w:tcPr>
          <w:p>
            <w:pPr>
              <w:adjustRightInd w:val="0"/>
              <w:snapToGrid w:val="0"/>
              <w:jc w:val="center"/>
              <w:rPr>
                <w:szCs w:val="21"/>
              </w:rPr>
            </w:pPr>
            <w:r>
              <w:rPr>
                <w:szCs w:val="21"/>
              </w:rPr>
              <w:t>/</w:t>
            </w:r>
          </w:p>
        </w:tc>
        <w:tc>
          <w:tcPr>
            <w:tcW w:w="1276" w:type="dxa"/>
            <w:vAlign w:val="center"/>
          </w:tcPr>
          <w:p>
            <w:pPr>
              <w:adjustRightInd w:val="0"/>
              <w:snapToGrid w:val="0"/>
              <w:jc w:val="center"/>
              <w:rPr>
                <w:szCs w:val="21"/>
              </w:rPr>
            </w:pPr>
            <w:r>
              <w:rPr>
                <w:szCs w:val="21"/>
              </w:rPr>
              <w:t>/</w:t>
            </w:r>
          </w:p>
        </w:tc>
        <w:tc>
          <w:tcPr>
            <w:tcW w:w="1701" w:type="dxa"/>
            <w:vAlign w:val="center"/>
          </w:tcPr>
          <w:p>
            <w:pPr>
              <w:adjustRightInd w:val="0"/>
              <w:snapToGrid w:val="0"/>
              <w:jc w:val="center"/>
              <w:rPr>
                <w:szCs w:val="21"/>
              </w:rPr>
            </w:pPr>
            <w:r>
              <w:rPr>
                <w:szCs w:val="21"/>
              </w:rPr>
              <w:t>/</w:t>
            </w:r>
          </w:p>
        </w:tc>
        <w:tc>
          <w:tcPr>
            <w:tcW w:w="1559" w:type="dxa"/>
            <w:vAlign w:val="center"/>
          </w:tcPr>
          <w:p>
            <w:pPr>
              <w:jc w:val="center"/>
              <w:rPr>
                <w:szCs w:val="21"/>
              </w:rPr>
            </w:pPr>
            <w:r>
              <w:rPr>
                <w:rFonts w:hint="eastAsia"/>
                <w:szCs w:val="21"/>
              </w:rPr>
              <w:t>528</w:t>
            </w:r>
          </w:p>
        </w:tc>
        <w:tc>
          <w:tcPr>
            <w:tcW w:w="1761" w:type="dxa"/>
            <w:vAlign w:val="center"/>
          </w:tcPr>
          <w:p>
            <w:pPr>
              <w:jc w:val="center"/>
            </w:pPr>
            <w:r>
              <w:rPr>
                <w:rFonts w:hint="eastAsia"/>
              </w:rPr>
              <w:t>/</w:t>
            </w:r>
          </w:p>
        </w:tc>
        <w:tc>
          <w:tcPr>
            <w:tcW w:w="1641" w:type="dxa"/>
            <w:vAlign w:val="center"/>
          </w:tcPr>
          <w:p>
            <w:pPr>
              <w:jc w:val="center"/>
              <w:rPr>
                <w:szCs w:val="21"/>
              </w:rPr>
            </w:pPr>
            <w:r>
              <w:rPr>
                <w:rFonts w:hint="eastAsia"/>
                <w:szCs w:val="21"/>
              </w:rPr>
              <w:t>528</w:t>
            </w:r>
          </w:p>
        </w:tc>
        <w:tc>
          <w:tcPr>
            <w:tcW w:w="1144" w:type="dxa"/>
            <w:vAlign w:val="center"/>
          </w:tcPr>
          <w:p>
            <w:pPr>
              <w:jc w:val="center"/>
              <w:rPr>
                <w:szCs w:val="21"/>
              </w:rPr>
            </w:pPr>
            <w:r>
              <w:rPr>
                <w:rFonts w:hint="eastAsia"/>
                <w:szCs w:val="21"/>
              </w:rPr>
              <w:t>+528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adjustRightInd w:val="0"/>
              <w:snapToGrid w:val="0"/>
              <w:jc w:val="center"/>
              <w:rPr>
                <w:szCs w:val="21"/>
              </w:rPr>
            </w:pPr>
            <w:r>
              <w:rPr>
                <w:szCs w:val="21"/>
              </w:rPr>
              <w:t>COD</w:t>
            </w:r>
          </w:p>
        </w:tc>
        <w:tc>
          <w:tcPr>
            <w:tcW w:w="1701" w:type="dxa"/>
            <w:vAlign w:val="center"/>
          </w:tcPr>
          <w:p>
            <w:pPr>
              <w:adjustRightInd w:val="0"/>
              <w:snapToGrid w:val="0"/>
              <w:jc w:val="center"/>
              <w:rPr>
                <w:szCs w:val="21"/>
              </w:rPr>
            </w:pPr>
            <w:r>
              <w:rPr>
                <w:szCs w:val="21"/>
              </w:rPr>
              <w:t>/</w:t>
            </w:r>
          </w:p>
        </w:tc>
        <w:tc>
          <w:tcPr>
            <w:tcW w:w="1276" w:type="dxa"/>
            <w:vAlign w:val="center"/>
          </w:tcPr>
          <w:p>
            <w:pPr>
              <w:adjustRightInd w:val="0"/>
              <w:snapToGrid w:val="0"/>
              <w:jc w:val="center"/>
              <w:rPr>
                <w:szCs w:val="21"/>
              </w:rPr>
            </w:pPr>
            <w:r>
              <w:rPr>
                <w:szCs w:val="21"/>
              </w:rPr>
              <w:t>/</w:t>
            </w:r>
          </w:p>
        </w:tc>
        <w:tc>
          <w:tcPr>
            <w:tcW w:w="1701" w:type="dxa"/>
            <w:vAlign w:val="center"/>
          </w:tcPr>
          <w:p>
            <w:pPr>
              <w:adjustRightInd w:val="0"/>
              <w:snapToGrid w:val="0"/>
              <w:jc w:val="center"/>
              <w:rPr>
                <w:szCs w:val="21"/>
              </w:rPr>
            </w:pPr>
            <w:r>
              <w:rPr>
                <w:szCs w:val="21"/>
              </w:rPr>
              <w:t>/</w:t>
            </w:r>
          </w:p>
        </w:tc>
        <w:tc>
          <w:tcPr>
            <w:tcW w:w="1559" w:type="dxa"/>
            <w:vAlign w:val="center"/>
          </w:tcPr>
          <w:p>
            <w:pPr>
              <w:widowControl/>
              <w:jc w:val="center"/>
              <w:rPr>
                <w:szCs w:val="21"/>
              </w:rPr>
            </w:pPr>
            <w:r>
              <w:rPr>
                <w:rFonts w:hint="eastAsia"/>
                <w:szCs w:val="21"/>
              </w:rPr>
              <w:t>0.211</w:t>
            </w:r>
          </w:p>
        </w:tc>
        <w:tc>
          <w:tcPr>
            <w:tcW w:w="1761" w:type="dxa"/>
            <w:vAlign w:val="center"/>
          </w:tcPr>
          <w:p>
            <w:pPr>
              <w:jc w:val="center"/>
            </w:pPr>
            <w:r>
              <w:rPr>
                <w:rFonts w:hint="eastAsia"/>
              </w:rPr>
              <w:t>/</w:t>
            </w:r>
          </w:p>
        </w:tc>
        <w:tc>
          <w:tcPr>
            <w:tcW w:w="1641" w:type="dxa"/>
            <w:vAlign w:val="center"/>
          </w:tcPr>
          <w:p>
            <w:pPr>
              <w:widowControl/>
              <w:jc w:val="center"/>
              <w:rPr>
                <w:szCs w:val="21"/>
              </w:rPr>
            </w:pPr>
            <w:r>
              <w:rPr>
                <w:rFonts w:hint="eastAsia"/>
                <w:szCs w:val="21"/>
              </w:rPr>
              <w:t>0.211</w:t>
            </w:r>
          </w:p>
        </w:tc>
        <w:tc>
          <w:tcPr>
            <w:tcW w:w="1144" w:type="dxa"/>
            <w:vAlign w:val="center"/>
          </w:tcPr>
          <w:p>
            <w:pPr>
              <w:widowControl/>
              <w:jc w:val="center"/>
              <w:rPr>
                <w:szCs w:val="21"/>
              </w:rPr>
            </w:pPr>
            <w:r>
              <w:rPr>
                <w:rFonts w:hint="eastAsia"/>
                <w:szCs w:val="21"/>
              </w:rPr>
              <w:t>+0.211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adjustRightInd w:val="0"/>
              <w:snapToGrid w:val="0"/>
              <w:jc w:val="center"/>
              <w:rPr>
                <w:szCs w:val="21"/>
              </w:rPr>
            </w:pPr>
            <w:r>
              <w:rPr>
                <w:szCs w:val="21"/>
              </w:rPr>
              <w:t>SS</w:t>
            </w:r>
          </w:p>
        </w:tc>
        <w:tc>
          <w:tcPr>
            <w:tcW w:w="1701" w:type="dxa"/>
            <w:vAlign w:val="center"/>
          </w:tcPr>
          <w:p>
            <w:pPr>
              <w:adjustRightInd w:val="0"/>
              <w:snapToGrid w:val="0"/>
              <w:jc w:val="center"/>
              <w:rPr>
                <w:szCs w:val="21"/>
              </w:rPr>
            </w:pPr>
            <w:r>
              <w:rPr>
                <w:szCs w:val="21"/>
              </w:rPr>
              <w:t>/</w:t>
            </w:r>
          </w:p>
        </w:tc>
        <w:tc>
          <w:tcPr>
            <w:tcW w:w="1276" w:type="dxa"/>
            <w:vAlign w:val="center"/>
          </w:tcPr>
          <w:p>
            <w:pPr>
              <w:adjustRightInd w:val="0"/>
              <w:snapToGrid w:val="0"/>
              <w:jc w:val="center"/>
              <w:rPr>
                <w:szCs w:val="21"/>
              </w:rPr>
            </w:pPr>
            <w:r>
              <w:rPr>
                <w:szCs w:val="21"/>
              </w:rPr>
              <w:t>/</w:t>
            </w:r>
          </w:p>
        </w:tc>
        <w:tc>
          <w:tcPr>
            <w:tcW w:w="1701" w:type="dxa"/>
            <w:vAlign w:val="center"/>
          </w:tcPr>
          <w:p>
            <w:pPr>
              <w:adjustRightInd w:val="0"/>
              <w:snapToGrid w:val="0"/>
              <w:jc w:val="center"/>
              <w:rPr>
                <w:szCs w:val="21"/>
              </w:rPr>
            </w:pPr>
            <w:r>
              <w:rPr>
                <w:szCs w:val="21"/>
              </w:rPr>
              <w:t>/</w:t>
            </w:r>
          </w:p>
        </w:tc>
        <w:tc>
          <w:tcPr>
            <w:tcW w:w="1559" w:type="dxa"/>
            <w:vAlign w:val="center"/>
          </w:tcPr>
          <w:p>
            <w:pPr>
              <w:widowControl/>
              <w:jc w:val="center"/>
              <w:rPr>
                <w:szCs w:val="21"/>
              </w:rPr>
            </w:pPr>
            <w:r>
              <w:rPr>
                <w:rFonts w:hint="eastAsia"/>
                <w:szCs w:val="21"/>
              </w:rPr>
              <w:t>0.158</w:t>
            </w:r>
          </w:p>
        </w:tc>
        <w:tc>
          <w:tcPr>
            <w:tcW w:w="1761" w:type="dxa"/>
            <w:vAlign w:val="center"/>
          </w:tcPr>
          <w:p>
            <w:pPr>
              <w:jc w:val="center"/>
            </w:pPr>
            <w:r>
              <w:rPr>
                <w:rFonts w:hint="eastAsia"/>
              </w:rPr>
              <w:t>/</w:t>
            </w:r>
          </w:p>
        </w:tc>
        <w:tc>
          <w:tcPr>
            <w:tcW w:w="1641" w:type="dxa"/>
            <w:vAlign w:val="center"/>
          </w:tcPr>
          <w:p>
            <w:pPr>
              <w:widowControl/>
              <w:jc w:val="center"/>
              <w:rPr>
                <w:szCs w:val="21"/>
              </w:rPr>
            </w:pPr>
            <w:r>
              <w:rPr>
                <w:rFonts w:hint="eastAsia"/>
                <w:szCs w:val="21"/>
              </w:rPr>
              <w:t>0.158</w:t>
            </w:r>
          </w:p>
        </w:tc>
        <w:tc>
          <w:tcPr>
            <w:tcW w:w="1144" w:type="dxa"/>
            <w:vAlign w:val="center"/>
          </w:tcPr>
          <w:p>
            <w:pPr>
              <w:widowControl/>
              <w:jc w:val="center"/>
              <w:rPr>
                <w:szCs w:val="21"/>
              </w:rPr>
            </w:pPr>
            <w:r>
              <w:rPr>
                <w:rFonts w:hint="eastAsia"/>
                <w:szCs w:val="21"/>
              </w:rPr>
              <w:t>+0.158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adjustRightInd w:val="0"/>
              <w:snapToGrid w:val="0"/>
              <w:jc w:val="center"/>
              <w:rPr>
                <w:szCs w:val="21"/>
              </w:rPr>
            </w:pPr>
            <w:r>
              <w:rPr>
                <w:szCs w:val="21"/>
              </w:rPr>
              <w:t>TN</w:t>
            </w:r>
          </w:p>
        </w:tc>
        <w:tc>
          <w:tcPr>
            <w:tcW w:w="1701" w:type="dxa"/>
            <w:vAlign w:val="center"/>
          </w:tcPr>
          <w:p>
            <w:pPr>
              <w:adjustRightInd w:val="0"/>
              <w:snapToGrid w:val="0"/>
              <w:jc w:val="center"/>
              <w:rPr>
                <w:szCs w:val="21"/>
              </w:rPr>
            </w:pPr>
            <w:r>
              <w:rPr>
                <w:szCs w:val="21"/>
              </w:rPr>
              <w:t>/</w:t>
            </w:r>
          </w:p>
        </w:tc>
        <w:tc>
          <w:tcPr>
            <w:tcW w:w="1276" w:type="dxa"/>
            <w:vAlign w:val="center"/>
          </w:tcPr>
          <w:p>
            <w:pPr>
              <w:adjustRightInd w:val="0"/>
              <w:snapToGrid w:val="0"/>
              <w:jc w:val="center"/>
              <w:rPr>
                <w:szCs w:val="21"/>
              </w:rPr>
            </w:pPr>
            <w:r>
              <w:rPr>
                <w:szCs w:val="21"/>
              </w:rPr>
              <w:t>/</w:t>
            </w:r>
          </w:p>
        </w:tc>
        <w:tc>
          <w:tcPr>
            <w:tcW w:w="1701" w:type="dxa"/>
            <w:vAlign w:val="center"/>
          </w:tcPr>
          <w:p>
            <w:pPr>
              <w:adjustRightInd w:val="0"/>
              <w:snapToGrid w:val="0"/>
              <w:jc w:val="center"/>
              <w:rPr>
                <w:szCs w:val="21"/>
              </w:rPr>
            </w:pPr>
            <w:r>
              <w:rPr>
                <w:szCs w:val="21"/>
              </w:rPr>
              <w:t>/</w:t>
            </w:r>
          </w:p>
        </w:tc>
        <w:tc>
          <w:tcPr>
            <w:tcW w:w="1559" w:type="dxa"/>
            <w:vAlign w:val="center"/>
          </w:tcPr>
          <w:p>
            <w:pPr>
              <w:widowControl/>
              <w:jc w:val="center"/>
              <w:rPr>
                <w:szCs w:val="21"/>
              </w:rPr>
            </w:pPr>
            <w:r>
              <w:rPr>
                <w:rFonts w:hint="eastAsia"/>
                <w:szCs w:val="21"/>
              </w:rPr>
              <w:t>0.0264</w:t>
            </w:r>
          </w:p>
        </w:tc>
        <w:tc>
          <w:tcPr>
            <w:tcW w:w="1761" w:type="dxa"/>
            <w:vAlign w:val="center"/>
          </w:tcPr>
          <w:p>
            <w:pPr>
              <w:jc w:val="center"/>
            </w:pPr>
            <w:r>
              <w:rPr>
                <w:rFonts w:hint="eastAsia"/>
              </w:rPr>
              <w:t>/</w:t>
            </w:r>
          </w:p>
        </w:tc>
        <w:tc>
          <w:tcPr>
            <w:tcW w:w="1641" w:type="dxa"/>
            <w:vAlign w:val="center"/>
          </w:tcPr>
          <w:p>
            <w:pPr>
              <w:widowControl/>
              <w:jc w:val="center"/>
              <w:rPr>
                <w:szCs w:val="21"/>
              </w:rPr>
            </w:pPr>
            <w:r>
              <w:rPr>
                <w:rFonts w:hint="eastAsia"/>
                <w:szCs w:val="21"/>
              </w:rPr>
              <w:t>0.0264</w:t>
            </w:r>
          </w:p>
        </w:tc>
        <w:tc>
          <w:tcPr>
            <w:tcW w:w="1144" w:type="dxa"/>
            <w:vAlign w:val="center"/>
          </w:tcPr>
          <w:p>
            <w:pPr>
              <w:widowControl/>
              <w:jc w:val="center"/>
              <w:rPr>
                <w:szCs w:val="21"/>
              </w:rPr>
            </w:pPr>
            <w:r>
              <w:rPr>
                <w:rFonts w:hint="eastAsia"/>
                <w:szCs w:val="21"/>
              </w:rPr>
              <w:t>+0.0264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adjustRightInd w:val="0"/>
              <w:snapToGrid w:val="0"/>
              <w:jc w:val="center"/>
              <w:rPr>
                <w:szCs w:val="21"/>
              </w:rPr>
            </w:pPr>
            <w:r>
              <w:rPr>
                <w:szCs w:val="21"/>
              </w:rPr>
              <w:t>NH</w:t>
            </w:r>
            <w:r>
              <w:rPr>
                <w:szCs w:val="21"/>
                <w:vertAlign w:val="subscript"/>
              </w:rPr>
              <w:t>3</w:t>
            </w:r>
            <w:r>
              <w:rPr>
                <w:szCs w:val="21"/>
              </w:rPr>
              <w:t>-N</w:t>
            </w:r>
          </w:p>
        </w:tc>
        <w:tc>
          <w:tcPr>
            <w:tcW w:w="1701" w:type="dxa"/>
            <w:vAlign w:val="center"/>
          </w:tcPr>
          <w:p>
            <w:pPr>
              <w:adjustRightInd w:val="0"/>
              <w:snapToGrid w:val="0"/>
              <w:jc w:val="center"/>
              <w:rPr>
                <w:szCs w:val="21"/>
              </w:rPr>
            </w:pPr>
            <w:r>
              <w:rPr>
                <w:szCs w:val="21"/>
              </w:rPr>
              <w:t>/</w:t>
            </w:r>
          </w:p>
        </w:tc>
        <w:tc>
          <w:tcPr>
            <w:tcW w:w="1276" w:type="dxa"/>
            <w:vAlign w:val="center"/>
          </w:tcPr>
          <w:p>
            <w:pPr>
              <w:adjustRightInd w:val="0"/>
              <w:snapToGrid w:val="0"/>
              <w:jc w:val="center"/>
              <w:rPr>
                <w:szCs w:val="21"/>
              </w:rPr>
            </w:pPr>
            <w:r>
              <w:rPr>
                <w:szCs w:val="21"/>
              </w:rPr>
              <w:t>/</w:t>
            </w:r>
          </w:p>
        </w:tc>
        <w:tc>
          <w:tcPr>
            <w:tcW w:w="1701" w:type="dxa"/>
            <w:vAlign w:val="center"/>
          </w:tcPr>
          <w:p>
            <w:pPr>
              <w:adjustRightInd w:val="0"/>
              <w:snapToGrid w:val="0"/>
              <w:jc w:val="center"/>
              <w:rPr>
                <w:szCs w:val="21"/>
              </w:rPr>
            </w:pPr>
            <w:r>
              <w:rPr>
                <w:szCs w:val="21"/>
              </w:rPr>
              <w:t>/</w:t>
            </w:r>
          </w:p>
        </w:tc>
        <w:tc>
          <w:tcPr>
            <w:tcW w:w="1559" w:type="dxa"/>
            <w:vAlign w:val="center"/>
          </w:tcPr>
          <w:p>
            <w:pPr>
              <w:widowControl/>
              <w:jc w:val="center"/>
              <w:rPr>
                <w:szCs w:val="21"/>
              </w:rPr>
            </w:pPr>
            <w:r>
              <w:rPr>
                <w:rFonts w:hint="eastAsia"/>
                <w:szCs w:val="21"/>
              </w:rPr>
              <w:t>0.0132</w:t>
            </w:r>
          </w:p>
        </w:tc>
        <w:tc>
          <w:tcPr>
            <w:tcW w:w="1761" w:type="dxa"/>
            <w:vAlign w:val="center"/>
          </w:tcPr>
          <w:p>
            <w:pPr>
              <w:jc w:val="center"/>
            </w:pPr>
            <w:r>
              <w:rPr>
                <w:rFonts w:hint="eastAsia"/>
              </w:rPr>
              <w:t>/</w:t>
            </w:r>
          </w:p>
        </w:tc>
        <w:tc>
          <w:tcPr>
            <w:tcW w:w="1641" w:type="dxa"/>
            <w:vAlign w:val="center"/>
          </w:tcPr>
          <w:p>
            <w:pPr>
              <w:widowControl/>
              <w:jc w:val="center"/>
              <w:rPr>
                <w:szCs w:val="21"/>
              </w:rPr>
            </w:pPr>
            <w:r>
              <w:rPr>
                <w:rFonts w:hint="eastAsia"/>
                <w:szCs w:val="21"/>
              </w:rPr>
              <w:t>0.0132</w:t>
            </w:r>
          </w:p>
        </w:tc>
        <w:tc>
          <w:tcPr>
            <w:tcW w:w="1144" w:type="dxa"/>
            <w:vAlign w:val="center"/>
          </w:tcPr>
          <w:p>
            <w:pPr>
              <w:widowControl/>
              <w:jc w:val="center"/>
              <w:rPr>
                <w:szCs w:val="21"/>
              </w:rPr>
            </w:pPr>
            <w:r>
              <w:rPr>
                <w:rFonts w:hint="eastAsia"/>
                <w:szCs w:val="21"/>
              </w:rPr>
              <w:t>+0.0132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adjustRightInd w:val="0"/>
              <w:snapToGrid w:val="0"/>
              <w:jc w:val="center"/>
              <w:rPr>
                <w:szCs w:val="21"/>
              </w:rPr>
            </w:pPr>
            <w:r>
              <w:rPr>
                <w:szCs w:val="21"/>
              </w:rPr>
              <w:t>TP</w:t>
            </w:r>
          </w:p>
        </w:tc>
        <w:tc>
          <w:tcPr>
            <w:tcW w:w="1701" w:type="dxa"/>
            <w:vAlign w:val="center"/>
          </w:tcPr>
          <w:p>
            <w:pPr>
              <w:adjustRightInd w:val="0"/>
              <w:snapToGrid w:val="0"/>
              <w:jc w:val="center"/>
              <w:rPr>
                <w:szCs w:val="21"/>
              </w:rPr>
            </w:pPr>
            <w:r>
              <w:rPr>
                <w:szCs w:val="21"/>
              </w:rPr>
              <w:t>/</w:t>
            </w:r>
          </w:p>
        </w:tc>
        <w:tc>
          <w:tcPr>
            <w:tcW w:w="1276" w:type="dxa"/>
            <w:vAlign w:val="center"/>
          </w:tcPr>
          <w:p>
            <w:pPr>
              <w:adjustRightInd w:val="0"/>
              <w:snapToGrid w:val="0"/>
              <w:jc w:val="center"/>
              <w:rPr>
                <w:szCs w:val="21"/>
              </w:rPr>
            </w:pPr>
            <w:r>
              <w:rPr>
                <w:szCs w:val="21"/>
              </w:rPr>
              <w:t>/</w:t>
            </w:r>
          </w:p>
        </w:tc>
        <w:tc>
          <w:tcPr>
            <w:tcW w:w="1701" w:type="dxa"/>
            <w:vAlign w:val="center"/>
          </w:tcPr>
          <w:p>
            <w:pPr>
              <w:adjustRightInd w:val="0"/>
              <w:snapToGrid w:val="0"/>
              <w:jc w:val="center"/>
              <w:rPr>
                <w:szCs w:val="21"/>
              </w:rPr>
            </w:pPr>
            <w:r>
              <w:rPr>
                <w:szCs w:val="21"/>
              </w:rPr>
              <w:t>/</w:t>
            </w:r>
          </w:p>
        </w:tc>
        <w:tc>
          <w:tcPr>
            <w:tcW w:w="1559" w:type="dxa"/>
            <w:vAlign w:val="center"/>
          </w:tcPr>
          <w:p>
            <w:pPr>
              <w:widowControl/>
              <w:jc w:val="center"/>
              <w:rPr>
                <w:szCs w:val="21"/>
              </w:rPr>
            </w:pPr>
            <w:r>
              <w:rPr>
                <w:rFonts w:hint="eastAsia"/>
                <w:szCs w:val="21"/>
              </w:rPr>
              <w:t>0.00264</w:t>
            </w:r>
          </w:p>
        </w:tc>
        <w:tc>
          <w:tcPr>
            <w:tcW w:w="1761" w:type="dxa"/>
            <w:vAlign w:val="center"/>
          </w:tcPr>
          <w:p>
            <w:pPr>
              <w:jc w:val="center"/>
            </w:pPr>
            <w:r>
              <w:rPr>
                <w:rFonts w:hint="eastAsia"/>
              </w:rPr>
              <w:t>/</w:t>
            </w:r>
          </w:p>
        </w:tc>
        <w:tc>
          <w:tcPr>
            <w:tcW w:w="1641" w:type="dxa"/>
            <w:vAlign w:val="center"/>
          </w:tcPr>
          <w:p>
            <w:pPr>
              <w:widowControl/>
              <w:jc w:val="center"/>
              <w:rPr>
                <w:szCs w:val="21"/>
              </w:rPr>
            </w:pPr>
            <w:r>
              <w:rPr>
                <w:rFonts w:hint="eastAsia"/>
                <w:szCs w:val="21"/>
              </w:rPr>
              <w:t>0.00264</w:t>
            </w:r>
          </w:p>
        </w:tc>
        <w:tc>
          <w:tcPr>
            <w:tcW w:w="1144" w:type="dxa"/>
            <w:vAlign w:val="center"/>
          </w:tcPr>
          <w:p>
            <w:pPr>
              <w:widowControl/>
              <w:jc w:val="center"/>
              <w:rPr>
                <w:szCs w:val="21"/>
              </w:rPr>
            </w:pPr>
            <w:r>
              <w:rPr>
                <w:rFonts w:hint="eastAsia"/>
                <w:szCs w:val="21"/>
              </w:rPr>
              <w:t>+0.00264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adjustRightInd w:val="0"/>
              <w:snapToGrid w:val="0"/>
              <w:jc w:val="center"/>
              <w:rPr>
                <w:szCs w:val="21"/>
              </w:rPr>
            </w:pPr>
            <w:r>
              <w:rPr>
                <w:rFonts w:hint="eastAsia"/>
                <w:szCs w:val="21"/>
              </w:rPr>
              <w:t>动植物油</w:t>
            </w:r>
          </w:p>
        </w:tc>
        <w:tc>
          <w:tcPr>
            <w:tcW w:w="1701" w:type="dxa"/>
            <w:vAlign w:val="center"/>
          </w:tcPr>
          <w:p>
            <w:pPr>
              <w:adjustRightInd w:val="0"/>
              <w:snapToGrid w:val="0"/>
              <w:jc w:val="center"/>
              <w:rPr>
                <w:szCs w:val="21"/>
              </w:rPr>
            </w:pPr>
            <w:r>
              <w:rPr>
                <w:rFonts w:hint="eastAsia"/>
                <w:szCs w:val="21"/>
              </w:rPr>
              <w:t>/</w:t>
            </w:r>
          </w:p>
        </w:tc>
        <w:tc>
          <w:tcPr>
            <w:tcW w:w="1276" w:type="dxa"/>
            <w:vAlign w:val="center"/>
          </w:tcPr>
          <w:p>
            <w:pPr>
              <w:adjustRightInd w:val="0"/>
              <w:snapToGrid w:val="0"/>
              <w:jc w:val="center"/>
              <w:rPr>
                <w:szCs w:val="21"/>
              </w:rPr>
            </w:pPr>
            <w:r>
              <w:rPr>
                <w:rFonts w:hint="eastAsia"/>
                <w:szCs w:val="21"/>
              </w:rPr>
              <w:t>/</w:t>
            </w:r>
          </w:p>
        </w:tc>
        <w:tc>
          <w:tcPr>
            <w:tcW w:w="1701" w:type="dxa"/>
            <w:vAlign w:val="center"/>
          </w:tcPr>
          <w:p>
            <w:pPr>
              <w:adjustRightInd w:val="0"/>
              <w:snapToGrid w:val="0"/>
              <w:jc w:val="center"/>
              <w:rPr>
                <w:szCs w:val="21"/>
              </w:rPr>
            </w:pPr>
            <w:r>
              <w:rPr>
                <w:rFonts w:hint="eastAsia"/>
                <w:szCs w:val="21"/>
              </w:rPr>
              <w:t>/</w:t>
            </w:r>
          </w:p>
        </w:tc>
        <w:tc>
          <w:tcPr>
            <w:tcW w:w="1559" w:type="dxa"/>
            <w:vAlign w:val="center"/>
          </w:tcPr>
          <w:p>
            <w:pPr>
              <w:widowControl/>
              <w:jc w:val="center"/>
              <w:rPr>
                <w:szCs w:val="21"/>
              </w:rPr>
            </w:pPr>
            <w:r>
              <w:rPr>
                <w:rFonts w:hint="eastAsia"/>
                <w:szCs w:val="21"/>
              </w:rPr>
              <w:t>0.00384</w:t>
            </w:r>
          </w:p>
        </w:tc>
        <w:tc>
          <w:tcPr>
            <w:tcW w:w="1761" w:type="dxa"/>
            <w:vAlign w:val="center"/>
          </w:tcPr>
          <w:p>
            <w:pPr>
              <w:jc w:val="center"/>
            </w:pPr>
            <w:r>
              <w:rPr>
                <w:rFonts w:hint="eastAsia"/>
              </w:rPr>
              <w:t>/</w:t>
            </w:r>
          </w:p>
        </w:tc>
        <w:tc>
          <w:tcPr>
            <w:tcW w:w="1641" w:type="dxa"/>
            <w:vAlign w:val="center"/>
          </w:tcPr>
          <w:p>
            <w:pPr>
              <w:widowControl/>
              <w:jc w:val="center"/>
              <w:rPr>
                <w:szCs w:val="21"/>
              </w:rPr>
            </w:pPr>
            <w:r>
              <w:rPr>
                <w:rFonts w:hint="eastAsia"/>
                <w:szCs w:val="21"/>
              </w:rPr>
              <w:t>0.00384</w:t>
            </w:r>
          </w:p>
        </w:tc>
        <w:tc>
          <w:tcPr>
            <w:tcW w:w="1144" w:type="dxa"/>
            <w:vAlign w:val="center"/>
          </w:tcPr>
          <w:p>
            <w:pPr>
              <w:widowControl/>
              <w:jc w:val="center"/>
              <w:rPr>
                <w:szCs w:val="21"/>
              </w:rPr>
            </w:pPr>
            <w:r>
              <w:rPr>
                <w:rFonts w:hint="eastAsia"/>
                <w:szCs w:val="21"/>
              </w:rPr>
              <w:t>+0.00384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restart"/>
            <w:vAlign w:val="center"/>
          </w:tcPr>
          <w:p>
            <w:pPr>
              <w:pStyle w:val="37"/>
              <w:spacing w:beforeLines="0" w:afterLines="0" w:line="240" w:lineRule="auto"/>
              <w:rPr>
                <w:rFonts w:ascii="Times New Roman"/>
                <w:snapToGrid w:val="0"/>
                <w:color w:val="000000"/>
                <w:kern w:val="21"/>
                <w:szCs w:val="21"/>
              </w:rPr>
            </w:pPr>
            <w:r>
              <w:rPr>
                <w:rFonts w:ascii="Times New Roman"/>
                <w:snapToGrid w:val="0"/>
                <w:color w:val="000000"/>
                <w:kern w:val="21"/>
                <w:szCs w:val="21"/>
              </w:rPr>
              <w:t>一般工业</w:t>
            </w:r>
          </w:p>
          <w:p>
            <w:pPr>
              <w:pStyle w:val="37"/>
              <w:spacing w:before="24" w:after="24"/>
              <w:rPr>
                <w:rFonts w:ascii="Times New Roman"/>
                <w:snapToGrid w:val="0"/>
                <w:color w:val="000000"/>
                <w:kern w:val="21"/>
                <w:szCs w:val="21"/>
              </w:rPr>
            </w:pPr>
            <w:r>
              <w:rPr>
                <w:rFonts w:ascii="Times New Roman"/>
                <w:snapToGrid w:val="0"/>
                <w:color w:val="000000"/>
                <w:kern w:val="21"/>
                <w:szCs w:val="21"/>
              </w:rPr>
              <w:t>固体废物</w:t>
            </w:r>
          </w:p>
        </w:tc>
        <w:tc>
          <w:tcPr>
            <w:tcW w:w="1417" w:type="dxa"/>
            <w:vAlign w:val="center"/>
          </w:tcPr>
          <w:p>
            <w:pPr>
              <w:adjustRightInd w:val="0"/>
              <w:snapToGrid w:val="0"/>
              <w:jc w:val="center"/>
              <w:rPr>
                <w:szCs w:val="21"/>
              </w:rPr>
            </w:pPr>
            <w:r>
              <w:rPr>
                <w:rFonts w:hint="eastAsia"/>
                <w:szCs w:val="21"/>
              </w:rPr>
              <w:t>边角料</w:t>
            </w:r>
          </w:p>
        </w:tc>
        <w:tc>
          <w:tcPr>
            <w:tcW w:w="1701" w:type="dxa"/>
            <w:vAlign w:val="center"/>
          </w:tcPr>
          <w:p>
            <w:pPr>
              <w:adjustRightInd w:val="0"/>
              <w:snapToGrid w:val="0"/>
              <w:jc w:val="center"/>
              <w:rPr>
                <w:szCs w:val="21"/>
              </w:rPr>
            </w:pPr>
            <w:r>
              <w:rPr>
                <w:szCs w:val="21"/>
              </w:rPr>
              <w:t>/</w:t>
            </w:r>
          </w:p>
        </w:tc>
        <w:tc>
          <w:tcPr>
            <w:tcW w:w="1276" w:type="dxa"/>
            <w:vAlign w:val="center"/>
          </w:tcPr>
          <w:p>
            <w:pPr>
              <w:adjustRightInd w:val="0"/>
              <w:snapToGrid w:val="0"/>
              <w:jc w:val="center"/>
              <w:rPr>
                <w:szCs w:val="21"/>
              </w:rPr>
            </w:pPr>
            <w:r>
              <w:rPr>
                <w:szCs w:val="21"/>
              </w:rPr>
              <w:t>/</w:t>
            </w:r>
          </w:p>
        </w:tc>
        <w:tc>
          <w:tcPr>
            <w:tcW w:w="1701" w:type="dxa"/>
            <w:vAlign w:val="center"/>
          </w:tcPr>
          <w:p>
            <w:pPr>
              <w:adjustRightInd w:val="0"/>
              <w:snapToGrid w:val="0"/>
              <w:jc w:val="center"/>
              <w:rPr>
                <w:szCs w:val="21"/>
              </w:rPr>
            </w:pPr>
            <w:r>
              <w:rPr>
                <w:szCs w:val="21"/>
              </w:rPr>
              <w:t>/</w:t>
            </w:r>
          </w:p>
        </w:tc>
        <w:tc>
          <w:tcPr>
            <w:tcW w:w="1559"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7</w:t>
            </w:r>
          </w:p>
        </w:tc>
        <w:tc>
          <w:tcPr>
            <w:tcW w:w="1761" w:type="dxa"/>
            <w:vAlign w:val="center"/>
          </w:tcPr>
          <w:p>
            <w:pPr>
              <w:jc w:val="center"/>
            </w:pPr>
            <w:r>
              <w:rPr>
                <w:rFonts w:hint="eastAsia"/>
              </w:rPr>
              <w:t>/</w:t>
            </w:r>
          </w:p>
        </w:tc>
        <w:tc>
          <w:tcPr>
            <w:tcW w:w="1641"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7</w:t>
            </w:r>
          </w:p>
        </w:tc>
        <w:tc>
          <w:tcPr>
            <w:tcW w:w="1144"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adjustRightInd w:val="0"/>
              <w:snapToGrid w:val="0"/>
              <w:jc w:val="center"/>
              <w:rPr>
                <w:szCs w:val="21"/>
              </w:rPr>
            </w:pPr>
            <w:r>
              <w:rPr>
                <w:rFonts w:hint="eastAsia"/>
                <w:szCs w:val="21"/>
              </w:rPr>
              <w:t>不合格品</w:t>
            </w:r>
          </w:p>
        </w:tc>
        <w:tc>
          <w:tcPr>
            <w:tcW w:w="1701" w:type="dxa"/>
            <w:vAlign w:val="center"/>
          </w:tcPr>
          <w:p>
            <w:pPr>
              <w:adjustRightInd w:val="0"/>
              <w:snapToGrid w:val="0"/>
              <w:jc w:val="center"/>
              <w:rPr>
                <w:szCs w:val="21"/>
              </w:rPr>
            </w:pPr>
            <w:r>
              <w:rPr>
                <w:szCs w:val="21"/>
              </w:rPr>
              <w:t>/</w:t>
            </w:r>
          </w:p>
        </w:tc>
        <w:tc>
          <w:tcPr>
            <w:tcW w:w="1276" w:type="dxa"/>
            <w:vAlign w:val="center"/>
          </w:tcPr>
          <w:p>
            <w:pPr>
              <w:adjustRightInd w:val="0"/>
              <w:snapToGrid w:val="0"/>
              <w:jc w:val="center"/>
              <w:rPr>
                <w:szCs w:val="21"/>
              </w:rPr>
            </w:pPr>
            <w:r>
              <w:rPr>
                <w:szCs w:val="21"/>
              </w:rPr>
              <w:t>/</w:t>
            </w:r>
          </w:p>
        </w:tc>
        <w:tc>
          <w:tcPr>
            <w:tcW w:w="1701" w:type="dxa"/>
            <w:vAlign w:val="center"/>
          </w:tcPr>
          <w:p>
            <w:pPr>
              <w:adjustRightInd w:val="0"/>
              <w:snapToGrid w:val="0"/>
              <w:jc w:val="center"/>
              <w:rPr>
                <w:szCs w:val="21"/>
              </w:rPr>
            </w:pPr>
            <w:r>
              <w:rPr>
                <w:szCs w:val="21"/>
              </w:rPr>
              <w:t>/</w:t>
            </w:r>
          </w:p>
        </w:tc>
        <w:tc>
          <w:tcPr>
            <w:tcW w:w="1559"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1</w:t>
            </w:r>
          </w:p>
        </w:tc>
        <w:tc>
          <w:tcPr>
            <w:tcW w:w="1761" w:type="dxa"/>
            <w:vAlign w:val="center"/>
          </w:tcPr>
          <w:p>
            <w:pPr>
              <w:jc w:val="center"/>
            </w:pPr>
            <w:r>
              <w:rPr>
                <w:rFonts w:hint="eastAsia"/>
              </w:rPr>
              <w:t>/</w:t>
            </w:r>
          </w:p>
        </w:tc>
        <w:tc>
          <w:tcPr>
            <w:tcW w:w="1641"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1</w:t>
            </w:r>
          </w:p>
        </w:tc>
        <w:tc>
          <w:tcPr>
            <w:tcW w:w="1144"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adjustRightInd w:val="0"/>
              <w:snapToGrid w:val="0"/>
              <w:jc w:val="center"/>
              <w:rPr>
                <w:szCs w:val="21"/>
              </w:rPr>
            </w:pPr>
            <w:r>
              <w:rPr>
                <w:rFonts w:hint="eastAsia"/>
                <w:szCs w:val="21"/>
              </w:rPr>
              <w:t>废滤芯（含收集粉尘）</w:t>
            </w:r>
          </w:p>
        </w:tc>
        <w:tc>
          <w:tcPr>
            <w:tcW w:w="1701" w:type="dxa"/>
            <w:vAlign w:val="center"/>
          </w:tcPr>
          <w:p>
            <w:pPr>
              <w:adjustRightInd w:val="0"/>
              <w:snapToGrid w:val="0"/>
              <w:jc w:val="center"/>
              <w:rPr>
                <w:szCs w:val="21"/>
              </w:rPr>
            </w:pPr>
            <w:r>
              <w:rPr>
                <w:rFonts w:hint="eastAsia"/>
                <w:szCs w:val="21"/>
              </w:rPr>
              <w:t>/</w:t>
            </w:r>
          </w:p>
        </w:tc>
        <w:tc>
          <w:tcPr>
            <w:tcW w:w="1276" w:type="dxa"/>
            <w:vAlign w:val="center"/>
          </w:tcPr>
          <w:p>
            <w:pPr>
              <w:adjustRightInd w:val="0"/>
              <w:snapToGrid w:val="0"/>
              <w:jc w:val="center"/>
              <w:rPr>
                <w:szCs w:val="21"/>
              </w:rPr>
            </w:pPr>
            <w:r>
              <w:rPr>
                <w:rFonts w:hint="eastAsia"/>
                <w:szCs w:val="21"/>
              </w:rPr>
              <w:t>/</w:t>
            </w:r>
          </w:p>
        </w:tc>
        <w:tc>
          <w:tcPr>
            <w:tcW w:w="1701" w:type="dxa"/>
            <w:vAlign w:val="center"/>
          </w:tcPr>
          <w:p>
            <w:pPr>
              <w:adjustRightInd w:val="0"/>
              <w:snapToGrid w:val="0"/>
              <w:jc w:val="center"/>
              <w:rPr>
                <w:szCs w:val="21"/>
              </w:rPr>
            </w:pPr>
            <w:r>
              <w:rPr>
                <w:rFonts w:hint="eastAsia"/>
                <w:szCs w:val="21"/>
              </w:rPr>
              <w:t>/</w:t>
            </w:r>
          </w:p>
        </w:tc>
        <w:tc>
          <w:tcPr>
            <w:tcW w:w="1559"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0.01</w:t>
            </w:r>
          </w:p>
        </w:tc>
        <w:tc>
          <w:tcPr>
            <w:tcW w:w="1761" w:type="dxa"/>
            <w:vAlign w:val="center"/>
          </w:tcPr>
          <w:p>
            <w:pPr>
              <w:jc w:val="center"/>
            </w:pPr>
            <w:r>
              <w:rPr>
                <w:rFonts w:hint="eastAsia"/>
              </w:rPr>
              <w:t>/</w:t>
            </w:r>
          </w:p>
        </w:tc>
        <w:tc>
          <w:tcPr>
            <w:tcW w:w="1641"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0.01</w:t>
            </w:r>
          </w:p>
        </w:tc>
        <w:tc>
          <w:tcPr>
            <w:tcW w:w="1144"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adjustRightInd w:val="0"/>
              <w:snapToGrid w:val="0"/>
              <w:jc w:val="center"/>
              <w:rPr>
                <w:szCs w:val="21"/>
              </w:rPr>
            </w:pPr>
            <w:r>
              <w:rPr>
                <w:rFonts w:hint="eastAsia"/>
                <w:szCs w:val="21"/>
              </w:rPr>
              <w:t>餐厨垃圾</w:t>
            </w:r>
          </w:p>
        </w:tc>
        <w:tc>
          <w:tcPr>
            <w:tcW w:w="1701" w:type="dxa"/>
            <w:vAlign w:val="center"/>
          </w:tcPr>
          <w:p>
            <w:pPr>
              <w:adjustRightInd w:val="0"/>
              <w:snapToGrid w:val="0"/>
              <w:jc w:val="center"/>
              <w:rPr>
                <w:szCs w:val="21"/>
              </w:rPr>
            </w:pPr>
            <w:r>
              <w:rPr>
                <w:rFonts w:hint="eastAsia"/>
                <w:szCs w:val="21"/>
              </w:rPr>
              <w:t>/</w:t>
            </w:r>
          </w:p>
        </w:tc>
        <w:tc>
          <w:tcPr>
            <w:tcW w:w="1276" w:type="dxa"/>
            <w:vAlign w:val="center"/>
          </w:tcPr>
          <w:p>
            <w:pPr>
              <w:adjustRightInd w:val="0"/>
              <w:snapToGrid w:val="0"/>
              <w:jc w:val="center"/>
              <w:rPr>
                <w:szCs w:val="21"/>
              </w:rPr>
            </w:pPr>
            <w:r>
              <w:rPr>
                <w:rFonts w:hint="eastAsia"/>
                <w:szCs w:val="21"/>
              </w:rPr>
              <w:t>/</w:t>
            </w:r>
          </w:p>
        </w:tc>
        <w:tc>
          <w:tcPr>
            <w:tcW w:w="1701" w:type="dxa"/>
            <w:vAlign w:val="center"/>
          </w:tcPr>
          <w:p>
            <w:pPr>
              <w:adjustRightInd w:val="0"/>
              <w:snapToGrid w:val="0"/>
              <w:jc w:val="center"/>
              <w:rPr>
                <w:szCs w:val="21"/>
              </w:rPr>
            </w:pPr>
            <w:r>
              <w:rPr>
                <w:rFonts w:hint="eastAsia"/>
                <w:szCs w:val="21"/>
              </w:rPr>
              <w:t>/</w:t>
            </w:r>
          </w:p>
        </w:tc>
        <w:tc>
          <w:tcPr>
            <w:tcW w:w="1559"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3</w:t>
            </w:r>
          </w:p>
        </w:tc>
        <w:tc>
          <w:tcPr>
            <w:tcW w:w="1761" w:type="dxa"/>
            <w:vAlign w:val="center"/>
          </w:tcPr>
          <w:p>
            <w:pPr>
              <w:jc w:val="center"/>
            </w:pPr>
            <w:r>
              <w:rPr>
                <w:rFonts w:hint="eastAsia"/>
              </w:rPr>
              <w:t>/</w:t>
            </w:r>
          </w:p>
        </w:tc>
        <w:tc>
          <w:tcPr>
            <w:tcW w:w="1641"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3</w:t>
            </w:r>
          </w:p>
        </w:tc>
        <w:tc>
          <w:tcPr>
            <w:tcW w:w="1144"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restart"/>
            <w:vAlign w:val="center"/>
          </w:tcPr>
          <w:p>
            <w:pPr>
              <w:pStyle w:val="37"/>
              <w:spacing w:beforeLines="0" w:afterLines="0" w:line="240" w:lineRule="auto"/>
              <w:rPr>
                <w:rFonts w:ascii="Times New Roman"/>
                <w:snapToGrid w:val="0"/>
                <w:color w:val="000000"/>
                <w:kern w:val="21"/>
                <w:szCs w:val="21"/>
              </w:rPr>
            </w:pPr>
            <w:r>
              <w:rPr>
                <w:rFonts w:ascii="Times New Roman"/>
                <w:snapToGrid w:val="0"/>
                <w:color w:val="000000"/>
                <w:kern w:val="21"/>
                <w:szCs w:val="21"/>
              </w:rPr>
              <w:t>危险废物</w:t>
            </w:r>
          </w:p>
        </w:tc>
        <w:tc>
          <w:tcPr>
            <w:tcW w:w="1417" w:type="dxa"/>
            <w:vAlign w:val="center"/>
          </w:tcPr>
          <w:p>
            <w:pPr>
              <w:snapToGrid w:val="0"/>
              <w:jc w:val="center"/>
              <w:rPr>
                <w:szCs w:val="21"/>
              </w:rPr>
            </w:pPr>
            <w:r>
              <w:rPr>
                <w:szCs w:val="21"/>
              </w:rPr>
              <w:t>废包装桶</w:t>
            </w:r>
          </w:p>
        </w:tc>
        <w:tc>
          <w:tcPr>
            <w:tcW w:w="1701" w:type="dxa"/>
            <w:vAlign w:val="center"/>
          </w:tcPr>
          <w:p>
            <w:pPr>
              <w:adjustRightInd w:val="0"/>
              <w:snapToGrid w:val="0"/>
              <w:jc w:val="center"/>
              <w:rPr>
                <w:szCs w:val="21"/>
              </w:rPr>
            </w:pPr>
            <w:r>
              <w:rPr>
                <w:szCs w:val="21"/>
              </w:rPr>
              <w:t>/</w:t>
            </w:r>
          </w:p>
        </w:tc>
        <w:tc>
          <w:tcPr>
            <w:tcW w:w="1276" w:type="dxa"/>
            <w:vAlign w:val="center"/>
          </w:tcPr>
          <w:p>
            <w:pPr>
              <w:adjustRightInd w:val="0"/>
              <w:snapToGrid w:val="0"/>
              <w:jc w:val="center"/>
              <w:rPr>
                <w:szCs w:val="21"/>
              </w:rPr>
            </w:pPr>
            <w:r>
              <w:rPr>
                <w:szCs w:val="21"/>
              </w:rPr>
              <w:t>/</w:t>
            </w:r>
          </w:p>
        </w:tc>
        <w:tc>
          <w:tcPr>
            <w:tcW w:w="1701" w:type="dxa"/>
            <w:vAlign w:val="center"/>
          </w:tcPr>
          <w:p>
            <w:pPr>
              <w:adjustRightInd w:val="0"/>
              <w:snapToGrid w:val="0"/>
              <w:jc w:val="center"/>
              <w:rPr>
                <w:szCs w:val="21"/>
              </w:rPr>
            </w:pPr>
            <w:r>
              <w:rPr>
                <w:szCs w:val="21"/>
              </w:rPr>
              <w:t>/</w:t>
            </w:r>
          </w:p>
        </w:tc>
        <w:tc>
          <w:tcPr>
            <w:tcW w:w="1559"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0.25</w:t>
            </w:r>
          </w:p>
        </w:tc>
        <w:tc>
          <w:tcPr>
            <w:tcW w:w="1761" w:type="dxa"/>
            <w:vAlign w:val="center"/>
          </w:tcPr>
          <w:p>
            <w:pPr>
              <w:jc w:val="center"/>
            </w:pPr>
            <w:r>
              <w:rPr>
                <w:rFonts w:hint="eastAsia"/>
              </w:rPr>
              <w:t>/</w:t>
            </w:r>
          </w:p>
        </w:tc>
        <w:tc>
          <w:tcPr>
            <w:tcW w:w="1641"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0.25</w:t>
            </w:r>
          </w:p>
        </w:tc>
        <w:tc>
          <w:tcPr>
            <w:tcW w:w="1144"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pStyle w:val="5"/>
              <w:snapToGrid w:val="0"/>
              <w:ind w:firstLine="0"/>
              <w:jc w:val="center"/>
              <w:rPr>
                <w:rFonts w:ascii="Times New Roman" w:hAnsi="Times New Roman"/>
                <w:szCs w:val="21"/>
              </w:rPr>
            </w:pPr>
            <w:r>
              <w:rPr>
                <w:rFonts w:ascii="Times New Roman"/>
                <w:szCs w:val="21"/>
              </w:rPr>
              <w:t>废切削油</w:t>
            </w:r>
          </w:p>
        </w:tc>
        <w:tc>
          <w:tcPr>
            <w:tcW w:w="1701" w:type="dxa"/>
            <w:vAlign w:val="center"/>
          </w:tcPr>
          <w:p>
            <w:pPr>
              <w:adjustRightInd w:val="0"/>
              <w:snapToGrid w:val="0"/>
              <w:jc w:val="center"/>
              <w:rPr>
                <w:szCs w:val="21"/>
              </w:rPr>
            </w:pPr>
            <w:r>
              <w:rPr>
                <w:rFonts w:hint="eastAsia"/>
                <w:szCs w:val="21"/>
              </w:rPr>
              <w:t>/</w:t>
            </w:r>
          </w:p>
        </w:tc>
        <w:tc>
          <w:tcPr>
            <w:tcW w:w="1276" w:type="dxa"/>
            <w:vAlign w:val="center"/>
          </w:tcPr>
          <w:p>
            <w:pPr>
              <w:adjustRightInd w:val="0"/>
              <w:snapToGrid w:val="0"/>
              <w:jc w:val="center"/>
              <w:rPr>
                <w:szCs w:val="21"/>
              </w:rPr>
            </w:pPr>
            <w:r>
              <w:rPr>
                <w:rFonts w:hint="eastAsia"/>
                <w:szCs w:val="21"/>
              </w:rPr>
              <w:t>/</w:t>
            </w:r>
          </w:p>
        </w:tc>
        <w:tc>
          <w:tcPr>
            <w:tcW w:w="1701" w:type="dxa"/>
            <w:vAlign w:val="center"/>
          </w:tcPr>
          <w:p>
            <w:pPr>
              <w:adjustRightInd w:val="0"/>
              <w:snapToGrid w:val="0"/>
              <w:jc w:val="center"/>
              <w:rPr>
                <w:szCs w:val="21"/>
              </w:rPr>
            </w:pPr>
            <w:r>
              <w:rPr>
                <w:rFonts w:hint="eastAsia"/>
                <w:szCs w:val="21"/>
              </w:rPr>
              <w:t>/</w:t>
            </w:r>
          </w:p>
        </w:tc>
        <w:tc>
          <w:tcPr>
            <w:tcW w:w="1559"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0.2</w:t>
            </w:r>
          </w:p>
        </w:tc>
        <w:tc>
          <w:tcPr>
            <w:tcW w:w="1761" w:type="dxa"/>
            <w:vAlign w:val="center"/>
          </w:tcPr>
          <w:p>
            <w:pPr>
              <w:jc w:val="center"/>
            </w:pPr>
            <w:r>
              <w:rPr>
                <w:rFonts w:hint="eastAsia"/>
              </w:rPr>
              <w:t>/</w:t>
            </w:r>
          </w:p>
        </w:tc>
        <w:tc>
          <w:tcPr>
            <w:tcW w:w="1641"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0.2</w:t>
            </w:r>
          </w:p>
        </w:tc>
        <w:tc>
          <w:tcPr>
            <w:tcW w:w="1144"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pStyle w:val="5"/>
              <w:snapToGrid w:val="0"/>
              <w:ind w:firstLine="0"/>
              <w:jc w:val="center"/>
              <w:rPr>
                <w:rFonts w:ascii="Times New Roman" w:hAnsi="Times New Roman"/>
                <w:szCs w:val="21"/>
              </w:rPr>
            </w:pPr>
            <w:r>
              <w:rPr>
                <w:rFonts w:ascii="Times New Roman"/>
                <w:szCs w:val="21"/>
              </w:rPr>
              <w:t>清洗废液</w:t>
            </w:r>
          </w:p>
        </w:tc>
        <w:tc>
          <w:tcPr>
            <w:tcW w:w="1701" w:type="dxa"/>
            <w:vAlign w:val="center"/>
          </w:tcPr>
          <w:p>
            <w:pPr>
              <w:adjustRightInd w:val="0"/>
              <w:snapToGrid w:val="0"/>
              <w:jc w:val="center"/>
              <w:rPr>
                <w:szCs w:val="21"/>
              </w:rPr>
            </w:pPr>
            <w:r>
              <w:rPr>
                <w:rFonts w:hint="eastAsia"/>
                <w:szCs w:val="21"/>
              </w:rPr>
              <w:t>/</w:t>
            </w:r>
          </w:p>
        </w:tc>
        <w:tc>
          <w:tcPr>
            <w:tcW w:w="1276" w:type="dxa"/>
            <w:vAlign w:val="center"/>
          </w:tcPr>
          <w:p>
            <w:pPr>
              <w:adjustRightInd w:val="0"/>
              <w:snapToGrid w:val="0"/>
              <w:jc w:val="center"/>
              <w:rPr>
                <w:szCs w:val="21"/>
              </w:rPr>
            </w:pPr>
            <w:r>
              <w:rPr>
                <w:rFonts w:hint="eastAsia"/>
                <w:szCs w:val="21"/>
              </w:rPr>
              <w:t>/</w:t>
            </w:r>
          </w:p>
        </w:tc>
        <w:tc>
          <w:tcPr>
            <w:tcW w:w="1701" w:type="dxa"/>
            <w:vAlign w:val="center"/>
          </w:tcPr>
          <w:p>
            <w:pPr>
              <w:adjustRightInd w:val="0"/>
              <w:snapToGrid w:val="0"/>
              <w:jc w:val="center"/>
              <w:rPr>
                <w:szCs w:val="21"/>
              </w:rPr>
            </w:pPr>
            <w:r>
              <w:rPr>
                <w:rFonts w:hint="eastAsia"/>
                <w:szCs w:val="21"/>
              </w:rPr>
              <w:t>/</w:t>
            </w:r>
          </w:p>
        </w:tc>
        <w:tc>
          <w:tcPr>
            <w:tcW w:w="1559"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1.908</w:t>
            </w:r>
          </w:p>
        </w:tc>
        <w:tc>
          <w:tcPr>
            <w:tcW w:w="1761" w:type="dxa"/>
            <w:vAlign w:val="center"/>
          </w:tcPr>
          <w:p>
            <w:pPr>
              <w:jc w:val="center"/>
            </w:pPr>
            <w:r>
              <w:rPr>
                <w:rFonts w:hint="eastAsia"/>
              </w:rPr>
              <w:t>/</w:t>
            </w:r>
          </w:p>
        </w:tc>
        <w:tc>
          <w:tcPr>
            <w:tcW w:w="1641"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1.908</w:t>
            </w:r>
          </w:p>
        </w:tc>
        <w:tc>
          <w:tcPr>
            <w:tcW w:w="1144"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+1.908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Merge w:val="continue"/>
            <w:vAlign w:val="center"/>
          </w:tcPr>
          <w:p>
            <w:pPr>
              <w:pStyle w:val="37"/>
              <w:spacing w:beforeLines="0" w:afterLines="0" w:line="240" w:lineRule="auto"/>
              <w:rPr>
                <w:rFonts w:ascii="Times New Roman"/>
                <w:snapToGrid w:val="0"/>
                <w:color w:val="000000"/>
                <w:kern w:val="21"/>
                <w:szCs w:val="21"/>
              </w:rPr>
            </w:pPr>
          </w:p>
        </w:tc>
        <w:tc>
          <w:tcPr>
            <w:tcW w:w="1417" w:type="dxa"/>
            <w:vAlign w:val="center"/>
          </w:tcPr>
          <w:p>
            <w:pPr>
              <w:pStyle w:val="5"/>
              <w:snapToGrid w:val="0"/>
              <w:ind w:firstLine="0"/>
              <w:jc w:val="center"/>
              <w:rPr>
                <w:rFonts w:ascii="Times New Roman" w:hAnsi="Times New Roman"/>
                <w:szCs w:val="21"/>
              </w:rPr>
            </w:pPr>
            <w:r>
              <w:rPr>
                <w:rFonts w:ascii="Times New Roman"/>
                <w:szCs w:val="21"/>
              </w:rPr>
              <w:t>含油抹布手套</w:t>
            </w:r>
          </w:p>
        </w:tc>
        <w:tc>
          <w:tcPr>
            <w:tcW w:w="1701" w:type="dxa"/>
            <w:vAlign w:val="center"/>
          </w:tcPr>
          <w:p>
            <w:pPr>
              <w:adjustRightInd w:val="0"/>
              <w:snapToGrid w:val="0"/>
              <w:jc w:val="center"/>
              <w:rPr>
                <w:szCs w:val="21"/>
              </w:rPr>
            </w:pPr>
            <w:r>
              <w:rPr>
                <w:rFonts w:hint="eastAsia"/>
                <w:szCs w:val="21"/>
              </w:rPr>
              <w:t>/</w:t>
            </w:r>
          </w:p>
        </w:tc>
        <w:tc>
          <w:tcPr>
            <w:tcW w:w="1276" w:type="dxa"/>
            <w:vAlign w:val="center"/>
          </w:tcPr>
          <w:p>
            <w:pPr>
              <w:adjustRightInd w:val="0"/>
              <w:snapToGrid w:val="0"/>
              <w:jc w:val="center"/>
              <w:rPr>
                <w:szCs w:val="21"/>
              </w:rPr>
            </w:pPr>
            <w:r>
              <w:rPr>
                <w:rFonts w:hint="eastAsia"/>
                <w:szCs w:val="21"/>
              </w:rPr>
              <w:t>/</w:t>
            </w:r>
          </w:p>
        </w:tc>
        <w:tc>
          <w:tcPr>
            <w:tcW w:w="1701" w:type="dxa"/>
            <w:vAlign w:val="center"/>
          </w:tcPr>
          <w:p>
            <w:pPr>
              <w:adjustRightInd w:val="0"/>
              <w:snapToGrid w:val="0"/>
              <w:jc w:val="center"/>
              <w:rPr>
                <w:szCs w:val="21"/>
              </w:rPr>
            </w:pPr>
            <w:r>
              <w:rPr>
                <w:rFonts w:hint="eastAsia"/>
                <w:szCs w:val="21"/>
              </w:rPr>
              <w:t>/</w:t>
            </w:r>
          </w:p>
        </w:tc>
        <w:tc>
          <w:tcPr>
            <w:tcW w:w="1559"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0.05</w:t>
            </w:r>
          </w:p>
        </w:tc>
        <w:tc>
          <w:tcPr>
            <w:tcW w:w="1761" w:type="dxa"/>
            <w:vAlign w:val="center"/>
          </w:tcPr>
          <w:p>
            <w:pPr>
              <w:jc w:val="center"/>
            </w:pPr>
            <w:r>
              <w:rPr>
                <w:rFonts w:hint="eastAsia"/>
              </w:rPr>
              <w:t>/</w:t>
            </w:r>
          </w:p>
        </w:tc>
        <w:tc>
          <w:tcPr>
            <w:tcW w:w="1641"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0.05</w:t>
            </w:r>
          </w:p>
        </w:tc>
        <w:tc>
          <w:tcPr>
            <w:tcW w:w="1144"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88" w:type="dxa"/>
            <w:vAlign w:val="center"/>
          </w:tcPr>
          <w:p>
            <w:pPr>
              <w:pStyle w:val="37"/>
              <w:spacing w:beforeLines="0" w:afterLines="0" w:line="240" w:lineRule="auto"/>
              <w:rPr>
                <w:rFonts w:ascii="Times New Roman"/>
                <w:snapToGrid w:val="0"/>
                <w:color w:val="000000"/>
                <w:kern w:val="21"/>
                <w:szCs w:val="21"/>
              </w:rPr>
            </w:pPr>
            <w:r>
              <w:rPr>
                <w:rFonts w:ascii="Times New Roman"/>
                <w:snapToGrid w:val="0"/>
                <w:color w:val="000000"/>
                <w:kern w:val="21"/>
                <w:szCs w:val="21"/>
              </w:rPr>
              <w:t>生活垃圾</w:t>
            </w:r>
          </w:p>
        </w:tc>
        <w:tc>
          <w:tcPr>
            <w:tcW w:w="1417" w:type="dxa"/>
            <w:vAlign w:val="center"/>
          </w:tcPr>
          <w:p>
            <w:pPr>
              <w:adjustRightInd w:val="0"/>
              <w:snapToGrid w:val="0"/>
              <w:jc w:val="center"/>
              <w:rPr>
                <w:szCs w:val="21"/>
              </w:rPr>
            </w:pPr>
            <w:r>
              <w:rPr>
                <w:szCs w:val="21"/>
              </w:rPr>
              <w:t>生活垃圾</w:t>
            </w:r>
          </w:p>
        </w:tc>
        <w:tc>
          <w:tcPr>
            <w:tcW w:w="1701" w:type="dxa"/>
            <w:vAlign w:val="center"/>
          </w:tcPr>
          <w:p>
            <w:pPr>
              <w:adjustRightInd w:val="0"/>
              <w:snapToGrid w:val="0"/>
              <w:jc w:val="center"/>
              <w:rPr>
                <w:szCs w:val="21"/>
              </w:rPr>
            </w:pPr>
            <w:r>
              <w:rPr>
                <w:szCs w:val="21"/>
              </w:rPr>
              <w:t>/</w:t>
            </w:r>
          </w:p>
        </w:tc>
        <w:tc>
          <w:tcPr>
            <w:tcW w:w="1276" w:type="dxa"/>
            <w:vAlign w:val="center"/>
          </w:tcPr>
          <w:p>
            <w:pPr>
              <w:adjustRightInd w:val="0"/>
              <w:snapToGrid w:val="0"/>
              <w:jc w:val="center"/>
              <w:rPr>
                <w:szCs w:val="21"/>
              </w:rPr>
            </w:pPr>
            <w:r>
              <w:rPr>
                <w:szCs w:val="21"/>
              </w:rPr>
              <w:t>/</w:t>
            </w:r>
          </w:p>
        </w:tc>
        <w:tc>
          <w:tcPr>
            <w:tcW w:w="1701" w:type="dxa"/>
            <w:vAlign w:val="center"/>
          </w:tcPr>
          <w:p>
            <w:pPr>
              <w:adjustRightInd w:val="0"/>
              <w:snapToGrid w:val="0"/>
              <w:jc w:val="center"/>
              <w:rPr>
                <w:szCs w:val="21"/>
              </w:rPr>
            </w:pPr>
            <w:r>
              <w:rPr>
                <w:szCs w:val="21"/>
              </w:rPr>
              <w:t>/</w:t>
            </w:r>
          </w:p>
        </w:tc>
        <w:tc>
          <w:tcPr>
            <w:tcW w:w="1559"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6</w:t>
            </w:r>
          </w:p>
        </w:tc>
        <w:tc>
          <w:tcPr>
            <w:tcW w:w="1761" w:type="dxa"/>
            <w:vAlign w:val="center"/>
          </w:tcPr>
          <w:p>
            <w:pPr>
              <w:jc w:val="center"/>
            </w:pPr>
            <w:r>
              <w:rPr>
                <w:rFonts w:hint="eastAsia"/>
              </w:rPr>
              <w:t>/</w:t>
            </w:r>
          </w:p>
        </w:tc>
        <w:tc>
          <w:tcPr>
            <w:tcW w:w="1641"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6</w:t>
            </w:r>
          </w:p>
        </w:tc>
        <w:tc>
          <w:tcPr>
            <w:tcW w:w="1144" w:type="dxa"/>
            <w:vAlign w:val="center"/>
          </w:tcPr>
          <w:p>
            <w:pPr>
              <w:pStyle w:val="37"/>
              <w:spacing w:beforeLines="0" w:afterLines="0" w:line="240" w:lineRule="auto"/>
              <w:rPr>
                <w:rFonts w:ascii="Times New Roman"/>
                <w:snapToGrid w:val="0"/>
                <w:color w:val="000000"/>
                <w:kern w:val="21"/>
                <w:szCs w:val="21"/>
              </w:rPr>
            </w:pPr>
            <w:r>
              <w:rPr>
                <w:rFonts w:hint="eastAsia" w:ascii="Times New Roman"/>
                <w:snapToGrid w:val="0"/>
                <w:color w:val="000000"/>
                <w:kern w:val="21"/>
                <w:szCs w:val="21"/>
              </w:rPr>
              <w:t>+6</w:t>
            </w:r>
          </w:p>
        </w:tc>
      </w:tr>
    </w:tbl>
    <w:p>
      <w:pPr>
        <w:pStyle w:val="37"/>
        <w:spacing w:beforeLines="0" w:afterLines="0" w:line="240" w:lineRule="auto"/>
        <w:jc w:val="left"/>
        <w:rPr>
          <w:rFonts w:hAnsi="宋体"/>
          <w:snapToGrid w:val="0"/>
          <w:color w:val="000000"/>
          <w:spacing w:val="-6"/>
          <w:kern w:val="21"/>
          <w:szCs w:val="21"/>
        </w:rPr>
        <w:sectPr>
          <w:footerReference r:id="rId10" w:type="default"/>
          <w:pgSz w:w="16838" w:h="11906" w:orient="landscape"/>
          <w:pgMar w:top="1701" w:right="1531" w:bottom="1701" w:left="1531" w:header="851" w:footer="851" w:gutter="0"/>
          <w:cols w:space="720" w:num="1"/>
          <w:docGrid w:linePitch="312" w:charSpace="0"/>
        </w:sectPr>
      </w:pPr>
      <w:r>
        <w:rPr>
          <w:rFonts w:hAnsi="宋体"/>
          <w:snapToGrid w:val="0"/>
          <w:color w:val="000000"/>
          <w:kern w:val="21"/>
          <w:szCs w:val="21"/>
        </w:rPr>
        <w:t>注：</w:t>
      </w:r>
      <w:r>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6 \* GB3 \* MERGEFORMAT </w:instrText>
      </w:r>
      <w:r>
        <w:rPr>
          <w:rFonts w:hAnsi="宋体"/>
          <w:snapToGrid w:val="0"/>
          <w:color w:val="000000"/>
          <w:spacing w:val="-16"/>
          <w:kern w:val="21"/>
          <w:szCs w:val="21"/>
        </w:rPr>
        <w:fldChar w:fldCharType="separate"/>
      </w:r>
      <w:r>
        <w:rPr>
          <w:rFonts w:hint="eastAsia" w:hAnsi="宋体"/>
          <w:szCs w:val="21"/>
        </w:rPr>
        <w:t>⑥</w:t>
      </w:r>
      <w:r>
        <w:rPr>
          <w:rFonts w:hAnsi="宋体"/>
          <w:snapToGrid w:val="0"/>
          <w:color w:val="000000"/>
          <w:spacing w:val="-16"/>
          <w:kern w:val="21"/>
          <w:szCs w:val="21"/>
        </w:rPr>
        <w:fldChar w:fldCharType="end"/>
      </w:r>
      <w:r>
        <w:rPr>
          <w:rFonts w:hAnsi="宋体"/>
          <w:snapToGrid w:val="0"/>
          <w:color w:val="000000"/>
          <w:spacing w:val="-1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1 \* GB3 \* MERGEFORMAT </w:instrText>
      </w:r>
      <w:r>
        <w:rPr>
          <w:rFonts w:hAnsi="宋体"/>
          <w:snapToGrid w:val="0"/>
          <w:color w:val="000000"/>
          <w:spacing w:val="-6"/>
          <w:kern w:val="21"/>
          <w:szCs w:val="21"/>
        </w:rPr>
        <w:fldChar w:fldCharType="separate"/>
      </w:r>
      <w:r>
        <w:rPr>
          <w:rFonts w:hint="eastAsia" w:hAnsi="宋体"/>
          <w:szCs w:val="21"/>
        </w:rPr>
        <w:t>①</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3 \* GB3 \* MERGEFORMAT </w:instrText>
      </w:r>
      <w:r>
        <w:rPr>
          <w:rFonts w:hAnsi="宋体"/>
          <w:snapToGrid w:val="0"/>
          <w:color w:val="000000"/>
          <w:spacing w:val="-6"/>
          <w:kern w:val="21"/>
          <w:szCs w:val="21"/>
        </w:rPr>
        <w:fldChar w:fldCharType="separate"/>
      </w:r>
      <w:r>
        <w:rPr>
          <w:rFonts w:hint="eastAsia" w:hAnsi="宋体"/>
          <w:szCs w:val="21"/>
        </w:rPr>
        <w:t>③</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4 \* GB3 \* MERGEFORMAT </w:instrText>
      </w:r>
      <w:r>
        <w:rPr>
          <w:rFonts w:hAnsi="宋体"/>
          <w:snapToGrid w:val="0"/>
          <w:color w:val="000000"/>
          <w:spacing w:val="-6"/>
          <w:kern w:val="21"/>
          <w:szCs w:val="21"/>
        </w:rPr>
        <w:fldChar w:fldCharType="separate"/>
      </w:r>
      <w:r>
        <w:rPr>
          <w:rFonts w:hint="eastAsia" w:hAnsi="宋体"/>
          <w:szCs w:val="21"/>
        </w:rPr>
        <w:t>④</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5 \* GB3 \* MERGEFORMAT </w:instrText>
      </w:r>
      <w:r>
        <w:rPr>
          <w:rFonts w:hAnsi="宋体"/>
          <w:snapToGrid w:val="0"/>
          <w:color w:val="000000"/>
          <w:spacing w:val="-16"/>
          <w:kern w:val="21"/>
          <w:szCs w:val="21"/>
        </w:rPr>
        <w:fldChar w:fldCharType="separate"/>
      </w:r>
      <w:r>
        <w:rPr>
          <w:rFonts w:hint="eastAsia" w:hAnsi="宋体"/>
          <w:szCs w:val="21"/>
        </w:rPr>
        <w:t>⑤</w:t>
      </w:r>
      <w:r>
        <w:rPr>
          <w:rFonts w:hAnsi="宋体"/>
          <w:snapToGrid w:val="0"/>
          <w:color w:val="000000"/>
          <w:spacing w:val="-16"/>
          <w:kern w:val="21"/>
          <w:szCs w:val="21"/>
        </w:rPr>
        <w:fldChar w:fldCharType="end"/>
      </w:r>
      <w:r>
        <w:rPr>
          <w:rFonts w:hAnsi="宋体"/>
          <w:snapToGrid w:val="0"/>
          <w:color w:val="000000"/>
          <w:spacing w:val="-1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7 \* GB3 \* MERGEFORMAT </w:instrText>
      </w:r>
      <w:r>
        <w:rPr>
          <w:rFonts w:hAnsi="宋体"/>
          <w:snapToGrid w:val="0"/>
          <w:color w:val="000000"/>
          <w:spacing w:val="-6"/>
          <w:kern w:val="21"/>
          <w:szCs w:val="21"/>
        </w:rPr>
        <w:fldChar w:fldCharType="separate"/>
      </w:r>
      <w:r>
        <w:rPr>
          <w:rFonts w:hint="eastAsia" w:hAnsi="宋体"/>
          <w:szCs w:val="21"/>
        </w:rPr>
        <w:t>⑦</w:t>
      </w:r>
      <w:r>
        <w:rPr>
          <w:rFonts w:hAnsi="宋体"/>
          <w:snapToGrid w:val="0"/>
          <w:color w:val="000000"/>
          <w:spacing w:val="-6"/>
          <w:kern w:val="21"/>
          <w:szCs w:val="21"/>
        </w:rPr>
        <w:fldChar w:fldCharType="end"/>
      </w:r>
      <w:r>
        <w:rPr>
          <w:rFonts w:hAnsi="宋体"/>
          <w:snapToGrid w:val="0"/>
          <w:color w:val="000000"/>
          <w:spacing w:val="-6"/>
          <w:kern w:val="21"/>
          <w:szCs w:val="21"/>
        </w:rPr>
        <w:t>=</w:t>
      </w:r>
      <w:r>
        <w:rPr>
          <w:rFonts w:hAnsi="宋体"/>
          <w:snapToGrid w:val="0"/>
          <w:color w:val="000000"/>
          <w:spacing w:val="-16"/>
          <w:kern w:val="21"/>
          <w:szCs w:val="21"/>
        </w:rPr>
        <w:fldChar w:fldCharType="begin"/>
      </w:r>
      <w:r>
        <w:rPr>
          <w:rFonts w:hAnsi="宋体"/>
          <w:snapToGrid w:val="0"/>
          <w:color w:val="000000"/>
          <w:spacing w:val="-16"/>
          <w:kern w:val="21"/>
          <w:szCs w:val="21"/>
        </w:rPr>
        <w:instrText xml:space="preserve"> = 6 \* GB3 \* MERGEFORMAT </w:instrText>
      </w:r>
      <w:r>
        <w:rPr>
          <w:rFonts w:hAnsi="宋体"/>
          <w:snapToGrid w:val="0"/>
          <w:color w:val="000000"/>
          <w:spacing w:val="-16"/>
          <w:kern w:val="21"/>
          <w:szCs w:val="21"/>
        </w:rPr>
        <w:fldChar w:fldCharType="separate"/>
      </w:r>
      <w:r>
        <w:rPr>
          <w:rFonts w:hint="eastAsia" w:hAnsi="宋体"/>
          <w:szCs w:val="21"/>
        </w:rPr>
        <w:t>⑥</w:t>
      </w:r>
      <w:r>
        <w:rPr>
          <w:rFonts w:hAnsi="宋体"/>
          <w:snapToGrid w:val="0"/>
          <w:color w:val="000000"/>
          <w:spacing w:val="-16"/>
          <w:kern w:val="21"/>
          <w:szCs w:val="21"/>
        </w:rPr>
        <w:fldChar w:fldCharType="end"/>
      </w:r>
      <w:r>
        <w:rPr>
          <w:rFonts w:hAnsi="宋体"/>
          <w:snapToGrid w:val="0"/>
          <w:color w:val="000000"/>
          <w:spacing w:val="-16"/>
          <w:kern w:val="21"/>
          <w:szCs w:val="21"/>
        </w:rPr>
        <w:t>-</w:t>
      </w:r>
      <w:r>
        <w:rPr>
          <w:rFonts w:hAnsi="宋体"/>
          <w:snapToGrid w:val="0"/>
          <w:color w:val="000000"/>
          <w:spacing w:val="-6"/>
          <w:kern w:val="21"/>
          <w:szCs w:val="21"/>
        </w:rPr>
        <w:fldChar w:fldCharType="begin"/>
      </w:r>
      <w:r>
        <w:rPr>
          <w:rFonts w:hAnsi="宋体"/>
          <w:snapToGrid w:val="0"/>
          <w:color w:val="000000"/>
          <w:spacing w:val="-6"/>
          <w:kern w:val="21"/>
          <w:szCs w:val="21"/>
        </w:rPr>
        <w:instrText xml:space="preserve"> = 1 \* GB3 \* MERGEFORMAT </w:instrText>
      </w:r>
      <w:r>
        <w:rPr>
          <w:rFonts w:hAnsi="宋体"/>
          <w:snapToGrid w:val="0"/>
          <w:color w:val="000000"/>
          <w:spacing w:val="-6"/>
          <w:kern w:val="21"/>
          <w:szCs w:val="21"/>
        </w:rPr>
        <w:fldChar w:fldCharType="separate"/>
      </w:r>
      <w:r>
        <w:rPr>
          <w:rFonts w:hint="eastAsia" w:hAnsi="宋体"/>
          <w:szCs w:val="21"/>
        </w:rPr>
        <w:t>①</w:t>
      </w:r>
      <w:r>
        <w:rPr>
          <w:rFonts w:hAnsi="宋体"/>
          <w:snapToGrid w:val="0"/>
          <w:color w:val="000000"/>
          <w:spacing w:val="-6"/>
          <w:kern w:val="21"/>
          <w:szCs w:val="21"/>
        </w:rPr>
        <w:fldChar w:fldCharType="end"/>
      </w:r>
    </w:p>
    <w:p>
      <w:pPr>
        <w:rPr>
          <w:rFonts w:ascii="宋体" w:hAnsi="宋体" w:eastAsia="黑体"/>
        </w:rPr>
      </w:pPr>
    </w:p>
    <w:p>
      <w:pPr>
        <w:adjustRightInd w:val="0"/>
        <w:snapToGrid w:val="0"/>
        <w:spacing w:line="480" w:lineRule="exact"/>
        <w:ind w:firstLine="480"/>
        <w:rPr>
          <w:rFonts w:ascii="宋体" w:hAnsi="宋体" w:cs="宋体"/>
          <w:b/>
          <w:bCs/>
        </w:rPr>
      </w:pPr>
      <w:r>
        <w:rPr>
          <w:rFonts w:hint="eastAsia" w:ascii="宋体" w:hAnsi="宋体" w:cs="宋体"/>
          <w:b/>
          <w:bCs/>
          <w:sz w:val="24"/>
        </w:rPr>
        <w:t>附件</w:t>
      </w:r>
    </w:p>
    <w:p>
      <w:pPr>
        <w:adjustRightInd w:val="0"/>
        <w:snapToGrid w:val="0"/>
        <w:spacing w:line="480" w:lineRule="exact"/>
        <w:ind w:firstLine="480"/>
        <w:rPr>
          <w:rFonts w:cs="宋体"/>
        </w:rPr>
      </w:pPr>
      <w:r>
        <w:rPr>
          <w:rFonts w:hint="eastAsia" w:cs="宋体"/>
          <w:sz w:val="24"/>
        </w:rPr>
        <w:t>附件1  委托书</w:t>
      </w:r>
    </w:p>
    <w:p>
      <w:pPr>
        <w:adjustRightInd w:val="0"/>
        <w:snapToGrid w:val="0"/>
        <w:spacing w:line="480" w:lineRule="exact"/>
        <w:ind w:firstLine="480"/>
        <w:rPr>
          <w:rFonts w:cs="宋体"/>
        </w:rPr>
      </w:pPr>
      <w:r>
        <w:rPr>
          <w:rFonts w:hint="eastAsia" w:cs="宋体"/>
          <w:sz w:val="24"/>
        </w:rPr>
        <w:t>附件2  项目备案通知书</w:t>
      </w:r>
    </w:p>
    <w:p>
      <w:pPr>
        <w:adjustRightInd w:val="0"/>
        <w:snapToGrid w:val="0"/>
        <w:spacing w:line="480" w:lineRule="exact"/>
        <w:ind w:firstLine="480"/>
        <w:rPr>
          <w:rFonts w:cs="宋体"/>
        </w:rPr>
      </w:pPr>
      <w:r>
        <w:rPr>
          <w:rFonts w:hint="eastAsia" w:cs="宋体"/>
          <w:sz w:val="24"/>
        </w:rPr>
        <w:t>附件3  环境影响申报登记表及答复意见</w:t>
      </w:r>
    </w:p>
    <w:p>
      <w:pPr>
        <w:adjustRightInd w:val="0"/>
        <w:snapToGrid w:val="0"/>
        <w:spacing w:line="480" w:lineRule="exact"/>
        <w:ind w:firstLine="480"/>
        <w:rPr>
          <w:rFonts w:cs="宋体"/>
        </w:rPr>
      </w:pPr>
      <w:r>
        <w:rPr>
          <w:rFonts w:hint="eastAsia" w:cs="宋体"/>
          <w:sz w:val="24"/>
        </w:rPr>
        <w:t>附件4  营业执照</w:t>
      </w:r>
    </w:p>
    <w:p>
      <w:pPr>
        <w:adjustRightInd w:val="0"/>
        <w:snapToGrid w:val="0"/>
        <w:spacing w:line="480" w:lineRule="exact"/>
        <w:ind w:firstLine="480"/>
        <w:rPr>
          <w:rFonts w:cs="宋体"/>
        </w:rPr>
      </w:pPr>
      <w:r>
        <w:rPr>
          <w:rFonts w:hint="eastAsia" w:cs="宋体"/>
          <w:sz w:val="24"/>
        </w:rPr>
        <w:t>附件5  土地证及租赁合同</w:t>
      </w:r>
    </w:p>
    <w:p>
      <w:pPr>
        <w:adjustRightInd w:val="0"/>
        <w:snapToGrid w:val="0"/>
        <w:spacing w:line="480" w:lineRule="exact"/>
        <w:ind w:firstLine="480"/>
        <w:rPr>
          <w:rFonts w:cs="宋体"/>
        </w:rPr>
      </w:pPr>
      <w:r>
        <w:rPr>
          <w:rFonts w:hint="eastAsia" w:cs="宋体"/>
          <w:sz w:val="24"/>
        </w:rPr>
        <w:t>附件6  环境监测报告</w:t>
      </w:r>
    </w:p>
    <w:p>
      <w:pPr>
        <w:adjustRightInd w:val="0"/>
        <w:snapToGrid w:val="0"/>
        <w:spacing w:line="480" w:lineRule="exact"/>
        <w:ind w:firstLine="480"/>
        <w:rPr>
          <w:rFonts w:cs="宋体"/>
        </w:rPr>
      </w:pPr>
      <w:r>
        <w:rPr>
          <w:rFonts w:hint="eastAsia" w:cs="宋体"/>
          <w:sz w:val="24"/>
        </w:rPr>
        <w:t>附件7  生活污水接管协议</w:t>
      </w:r>
    </w:p>
    <w:p>
      <w:pPr>
        <w:adjustRightInd w:val="0"/>
        <w:snapToGrid w:val="0"/>
        <w:spacing w:line="480" w:lineRule="exact"/>
        <w:ind w:firstLine="480"/>
        <w:rPr>
          <w:rFonts w:cs="宋体"/>
          <w:sz w:val="24"/>
        </w:rPr>
      </w:pPr>
      <w:r>
        <w:rPr>
          <w:rFonts w:hint="eastAsia" w:cs="宋体"/>
          <w:sz w:val="24"/>
        </w:rPr>
        <w:t>附件8  编制主持人现场照片</w:t>
      </w:r>
    </w:p>
    <w:p>
      <w:pPr>
        <w:adjustRightInd w:val="0"/>
        <w:snapToGrid w:val="0"/>
        <w:spacing w:line="480" w:lineRule="exact"/>
        <w:ind w:firstLine="480"/>
        <w:rPr>
          <w:rFonts w:cs="宋体"/>
          <w:sz w:val="24"/>
        </w:rPr>
      </w:pPr>
      <w:r>
        <w:rPr>
          <w:rFonts w:hint="eastAsia" w:cs="宋体"/>
          <w:sz w:val="24"/>
        </w:rPr>
        <w:t>附件9  授权委托书</w:t>
      </w:r>
    </w:p>
    <w:p>
      <w:pPr>
        <w:adjustRightInd w:val="0"/>
        <w:snapToGrid w:val="0"/>
        <w:spacing w:line="480" w:lineRule="exact"/>
        <w:ind w:firstLine="480"/>
        <w:rPr>
          <w:rFonts w:cs="宋体"/>
          <w:sz w:val="24"/>
        </w:rPr>
      </w:pPr>
      <w:r>
        <w:rPr>
          <w:rFonts w:hint="eastAsia" w:cs="宋体"/>
          <w:sz w:val="24"/>
        </w:rPr>
        <w:t>附件10 公示委托书</w:t>
      </w:r>
    </w:p>
    <w:p>
      <w:pPr>
        <w:adjustRightInd w:val="0"/>
        <w:snapToGrid w:val="0"/>
        <w:spacing w:line="480" w:lineRule="exact"/>
        <w:ind w:firstLine="480"/>
        <w:rPr>
          <w:rFonts w:cs="宋体"/>
          <w:sz w:val="24"/>
        </w:rPr>
      </w:pPr>
      <w:r>
        <w:rPr>
          <w:rFonts w:hint="eastAsia" w:cs="宋体"/>
          <w:sz w:val="24"/>
        </w:rPr>
        <w:t>附件11 全文本公开证明材料</w:t>
      </w:r>
    </w:p>
    <w:p>
      <w:pPr>
        <w:adjustRightInd w:val="0"/>
        <w:snapToGrid w:val="0"/>
        <w:spacing w:line="480" w:lineRule="exact"/>
        <w:ind w:firstLine="480"/>
        <w:rPr>
          <w:rFonts w:cs="宋体"/>
          <w:sz w:val="24"/>
        </w:rPr>
      </w:pPr>
      <w:r>
        <w:rPr>
          <w:rFonts w:hint="eastAsia" w:cs="宋体"/>
          <w:sz w:val="24"/>
        </w:rPr>
        <w:t>附件12 建设单位承诺书</w:t>
      </w:r>
    </w:p>
    <w:p>
      <w:pPr>
        <w:adjustRightInd w:val="0"/>
        <w:snapToGrid w:val="0"/>
        <w:spacing w:line="480" w:lineRule="exact"/>
        <w:ind w:firstLine="480"/>
        <w:rPr>
          <w:rFonts w:cs="宋体"/>
          <w:sz w:val="24"/>
        </w:rPr>
      </w:pPr>
      <w:r>
        <w:rPr>
          <w:rFonts w:hint="eastAsia" w:cs="宋体"/>
          <w:sz w:val="24"/>
        </w:rPr>
        <w:t>附件13 未投产承诺书</w:t>
      </w:r>
    </w:p>
    <w:p>
      <w:pPr>
        <w:adjustRightInd w:val="0"/>
        <w:snapToGrid w:val="0"/>
        <w:spacing w:line="480" w:lineRule="exact"/>
        <w:ind w:firstLine="480"/>
        <w:rPr>
          <w:rFonts w:cs="宋体"/>
          <w:sz w:val="24"/>
        </w:rPr>
      </w:pPr>
      <w:r>
        <w:rPr>
          <w:rFonts w:hint="eastAsia" w:cs="宋体"/>
          <w:sz w:val="24"/>
        </w:rPr>
        <w:t>附件14 关于各镇工业园区定位规划调整方案的批复</w:t>
      </w:r>
    </w:p>
    <w:p>
      <w:pPr>
        <w:adjustRightInd w:val="0"/>
        <w:snapToGrid w:val="0"/>
        <w:spacing w:line="480" w:lineRule="exact"/>
        <w:ind w:firstLine="480"/>
        <w:rPr>
          <w:rFonts w:cs="宋体"/>
          <w:sz w:val="24"/>
        </w:rPr>
      </w:pPr>
      <w:r>
        <w:rPr>
          <w:rFonts w:hint="eastAsia" w:cs="宋体"/>
          <w:sz w:val="24"/>
        </w:rPr>
        <w:t>附件15 清洗剂、光亮剂MSDS</w:t>
      </w:r>
    </w:p>
    <w:p>
      <w:pPr>
        <w:pStyle w:val="2"/>
        <w:ind w:left="-84" w:firstLine="560"/>
      </w:pPr>
    </w:p>
    <w:p>
      <w:pPr>
        <w:adjustRightInd w:val="0"/>
        <w:snapToGrid w:val="0"/>
        <w:spacing w:line="480" w:lineRule="exact"/>
        <w:ind w:firstLine="480"/>
        <w:rPr>
          <w:rFonts w:ascii="宋体" w:hAnsi="宋体" w:cs="宋体"/>
          <w:b/>
          <w:bCs/>
        </w:rPr>
      </w:pPr>
      <w:r>
        <w:rPr>
          <w:rFonts w:hint="eastAsia" w:ascii="宋体" w:hAnsi="宋体" w:cs="宋体"/>
          <w:b/>
          <w:bCs/>
          <w:sz w:val="24"/>
        </w:rPr>
        <w:t>附图</w:t>
      </w:r>
    </w:p>
    <w:p>
      <w:pPr>
        <w:adjustRightInd w:val="0"/>
        <w:snapToGrid w:val="0"/>
        <w:spacing w:line="480" w:lineRule="exact"/>
        <w:ind w:firstLine="480"/>
        <w:rPr>
          <w:rFonts w:ascii="宋体" w:hAnsi="宋体" w:cs="宋体"/>
        </w:rPr>
      </w:pPr>
      <w:r>
        <w:rPr>
          <w:rFonts w:hint="eastAsia" w:ascii="宋体" w:hAnsi="宋体" w:cs="宋体"/>
          <w:sz w:val="24"/>
        </w:rPr>
        <w:t>附图</w:t>
      </w:r>
      <w:r>
        <w:rPr>
          <w:rFonts w:hint="eastAsia" w:cs="宋体"/>
          <w:sz w:val="24"/>
        </w:rPr>
        <w:t>1</w:t>
      </w:r>
      <w:r>
        <w:rPr>
          <w:rFonts w:hint="eastAsia" w:ascii="宋体" w:hAnsi="宋体" w:cs="宋体"/>
          <w:sz w:val="24"/>
        </w:rPr>
        <w:t xml:space="preserve">  项目地理位置示意图</w:t>
      </w:r>
    </w:p>
    <w:p>
      <w:pPr>
        <w:adjustRightInd w:val="0"/>
        <w:snapToGrid w:val="0"/>
        <w:spacing w:line="480" w:lineRule="exact"/>
        <w:ind w:firstLine="480"/>
        <w:rPr>
          <w:rFonts w:ascii="宋体" w:hAnsi="宋体" w:cs="宋体"/>
        </w:rPr>
      </w:pPr>
      <w:r>
        <w:rPr>
          <w:rFonts w:hint="eastAsia" w:ascii="宋体" w:hAnsi="宋体" w:cs="宋体"/>
          <w:sz w:val="24"/>
        </w:rPr>
        <w:t>附图</w:t>
      </w:r>
      <w:r>
        <w:rPr>
          <w:rFonts w:hint="eastAsia" w:cs="宋体"/>
          <w:sz w:val="24"/>
        </w:rPr>
        <w:t>2</w:t>
      </w:r>
      <w:r>
        <w:rPr>
          <w:rFonts w:hint="eastAsia" w:ascii="宋体" w:hAnsi="宋体" w:cs="宋体"/>
          <w:sz w:val="24"/>
        </w:rPr>
        <w:t xml:space="preserve">  项目周边环境状况示意图</w:t>
      </w:r>
    </w:p>
    <w:p>
      <w:pPr>
        <w:adjustRightInd w:val="0"/>
        <w:snapToGrid w:val="0"/>
        <w:spacing w:line="480" w:lineRule="exact"/>
        <w:ind w:firstLine="480"/>
        <w:rPr>
          <w:rFonts w:ascii="宋体" w:hAnsi="宋体" w:cs="宋体"/>
          <w:szCs w:val="22"/>
        </w:rPr>
      </w:pPr>
      <w:r>
        <w:rPr>
          <w:rFonts w:hint="eastAsia" w:ascii="宋体" w:hAnsi="宋体" w:cs="宋体"/>
          <w:sz w:val="24"/>
        </w:rPr>
        <w:t>附图</w:t>
      </w:r>
      <w:r>
        <w:rPr>
          <w:rFonts w:hint="eastAsia" w:cs="宋体"/>
          <w:sz w:val="24"/>
          <w:szCs w:val="22"/>
        </w:rPr>
        <w:t>3</w:t>
      </w:r>
      <w:r>
        <w:rPr>
          <w:rFonts w:hint="eastAsia" w:ascii="宋体" w:hAnsi="宋体" w:cs="宋体"/>
          <w:sz w:val="24"/>
          <w:szCs w:val="22"/>
        </w:rPr>
        <w:t xml:space="preserve">  平面布置图</w:t>
      </w:r>
    </w:p>
    <w:p>
      <w:pPr>
        <w:adjustRightInd w:val="0"/>
        <w:snapToGrid w:val="0"/>
        <w:spacing w:line="480" w:lineRule="exact"/>
        <w:ind w:firstLine="480"/>
        <w:rPr>
          <w:rFonts w:ascii="宋体" w:hAnsi="宋体" w:cs="宋体"/>
          <w:szCs w:val="22"/>
        </w:rPr>
      </w:pPr>
      <w:r>
        <w:rPr>
          <w:rFonts w:hint="eastAsia" w:ascii="宋体" w:hAnsi="宋体" w:cs="宋体"/>
          <w:sz w:val="24"/>
          <w:szCs w:val="22"/>
        </w:rPr>
        <w:t>附图</w:t>
      </w:r>
      <w:r>
        <w:rPr>
          <w:rFonts w:hint="eastAsia" w:cs="宋体"/>
          <w:sz w:val="24"/>
          <w:szCs w:val="22"/>
        </w:rPr>
        <w:t>4</w:t>
      </w:r>
      <w:r>
        <w:rPr>
          <w:rFonts w:hint="eastAsia" w:ascii="宋体" w:hAnsi="宋体" w:cs="宋体"/>
          <w:sz w:val="24"/>
          <w:szCs w:val="22"/>
        </w:rPr>
        <w:t xml:space="preserve">  区域水系图</w:t>
      </w:r>
    </w:p>
    <w:p>
      <w:pPr>
        <w:adjustRightInd w:val="0"/>
        <w:snapToGrid w:val="0"/>
        <w:spacing w:line="480" w:lineRule="exact"/>
        <w:ind w:firstLine="480"/>
        <w:rPr>
          <w:rFonts w:ascii="宋体" w:hAnsi="宋体" w:cs="宋体"/>
          <w:sz w:val="24"/>
          <w:szCs w:val="22"/>
        </w:rPr>
      </w:pPr>
      <w:r>
        <w:rPr>
          <w:rFonts w:hint="eastAsia" w:ascii="宋体" w:hAnsi="宋体" w:cs="宋体"/>
          <w:sz w:val="24"/>
          <w:szCs w:val="22"/>
        </w:rPr>
        <w:t>附图</w:t>
      </w:r>
      <w:r>
        <w:rPr>
          <w:rFonts w:hint="eastAsia" w:cs="宋体"/>
          <w:sz w:val="24"/>
          <w:szCs w:val="22"/>
        </w:rPr>
        <w:t>5</w:t>
      </w:r>
      <w:r>
        <w:rPr>
          <w:rFonts w:hint="eastAsia" w:ascii="宋体" w:hAnsi="宋体" w:cs="宋体"/>
          <w:sz w:val="24"/>
          <w:szCs w:val="22"/>
        </w:rPr>
        <w:t xml:space="preserve">  生态红线图</w:t>
      </w:r>
    </w:p>
    <w:p>
      <w:pPr>
        <w:adjustRightInd w:val="0"/>
        <w:snapToGrid w:val="0"/>
        <w:spacing w:line="480" w:lineRule="exact"/>
        <w:ind w:firstLine="480"/>
        <w:rPr>
          <w:rFonts w:ascii="宋体" w:hAnsi="宋体" w:cs="宋体"/>
          <w:sz w:val="24"/>
          <w:szCs w:val="22"/>
        </w:rPr>
      </w:pPr>
      <w:r>
        <w:rPr>
          <w:rFonts w:hint="eastAsia" w:ascii="宋体" w:hAnsi="宋体" w:cs="宋体"/>
          <w:sz w:val="24"/>
          <w:szCs w:val="22"/>
        </w:rPr>
        <w:t>附图</w:t>
      </w:r>
      <w:r>
        <w:rPr>
          <w:rFonts w:hint="eastAsia" w:cs="宋体"/>
          <w:sz w:val="24"/>
          <w:szCs w:val="22"/>
        </w:rPr>
        <w:t>6</w:t>
      </w:r>
      <w:r>
        <w:rPr>
          <w:rFonts w:hint="eastAsia" w:ascii="宋体" w:hAnsi="宋体" w:cs="宋体"/>
          <w:sz w:val="24"/>
          <w:szCs w:val="22"/>
        </w:rPr>
        <w:t xml:space="preserve">  常州</w:t>
      </w:r>
      <w:r>
        <w:rPr>
          <w:rFonts w:hAnsi="宋体"/>
          <w:sz w:val="24"/>
          <w:szCs w:val="22"/>
        </w:rPr>
        <w:t>市</w:t>
      </w:r>
      <w:r>
        <w:rPr>
          <w:rFonts w:hint="eastAsia" w:hAnsi="宋体"/>
          <w:sz w:val="24"/>
          <w:szCs w:val="22"/>
        </w:rPr>
        <w:t>武进区湖塘镇土地利用总体规划图</w:t>
      </w:r>
    </w:p>
    <w:p>
      <w:pPr>
        <w:rPr>
          <w:rFonts w:ascii="宋体" w:hAnsi="宋体" w:eastAsia="黑体"/>
        </w:rPr>
      </w:pPr>
    </w:p>
    <w:sectPr>
      <w:footerReference r:id="rId11" w:type="default"/>
      <w:pgSz w:w="11906" w:h="16838"/>
      <w:pgMar w:top="1701" w:right="1531" w:bottom="1701" w:left="1531" w:header="851" w:footer="8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FangSong_GB2312">
    <w:altName w:val="仿宋"/>
    <w:panose1 w:val="02010609060101010101"/>
    <w:charset w:val="86"/>
    <w:family w:val="modern"/>
    <w:pitch w:val="default"/>
    <w:sig w:usb0="00000000" w:usb1="00000000" w:usb2="00000016" w:usb3="00000000" w:csb0="00040001"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Black">
    <w:panose1 w:val="020B0A04020102020204"/>
    <w:charset w:val="00"/>
    <w:family w:val="swiss"/>
    <w:pitch w:val="default"/>
    <w:sig w:usb0="00000287" w:usb1="00000000" w:usb2="00000000" w:usb3="00000000" w:csb0="2000009F" w:csb1="DFD70000"/>
  </w:font>
  <w:font w:name="文鼎CS中宋">
    <w:altName w:val="宋体"/>
    <w:panose1 w:val="00000000000000000000"/>
    <w:charset w:val="86"/>
    <w:family w:val="modern"/>
    <w:pitch w:val="default"/>
    <w:sig w:usb0="00000000" w:usb1="00000000" w:usb2="00000010" w:usb3="00000000" w:csb0="00040000" w:csb1="00000000"/>
  </w:font>
  <w:font w:name="TimesNewRomanPSMT">
    <w:altName w:val="Times New Roman"/>
    <w:panose1 w:val="00000000000000000000"/>
    <w:charset w:val="00"/>
    <w:family w:val="auto"/>
    <w:pitch w:val="default"/>
    <w:sig w:usb0="00000000" w:usb1="00000000" w:usb2="00000000" w:usb3="00000000" w:csb0="00000000" w:csb1="00000000"/>
  </w:font>
  <w:font w:name="Arial Unicode MS">
    <w:panose1 w:val="020B0604020202020204"/>
    <w:charset w:val="86"/>
    <w:family w:val="swiss"/>
    <w:pitch w:val="default"/>
    <w:sig w:usb0="FFFFFFFF" w:usb1="E9FFFFFF" w:usb2="0000003F" w:usb3="00000000" w:csb0="603F01FF" w:csb1="FFFF0000"/>
  </w:font>
  <w:font w:name="MingLiU">
    <w:panose1 w:val="02020509000000000000"/>
    <w:charset w:val="88"/>
    <w:family w:val="modern"/>
    <w:pitch w:val="default"/>
    <w:sig w:usb0="A00002FF" w:usb1="28CFFCFA" w:usb2="00000016" w:usb3="00000000" w:csb0="0010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华文仿宋">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6266068"/>
      <w:docPartObj>
        <w:docPartGallery w:val="autotext"/>
      </w:docPartObj>
    </w:sdtPr>
    <w:sdtContent>
      <w:p>
        <w:pPr>
          <w:pStyle w:val="15"/>
          <w:jc w:val="center"/>
        </w:pPr>
        <w:r>
          <w:fldChar w:fldCharType="begin"/>
        </w:r>
        <w:r>
          <w:instrText xml:space="preserve"> PAGE   \* MERGEFORMAT </w:instrText>
        </w:r>
        <w:r>
          <w:fldChar w:fldCharType="separate"/>
        </w:r>
        <w:r>
          <w:rPr>
            <w:lang w:val="zh-CN"/>
          </w:rPr>
          <w:t>1</w:t>
        </w:r>
        <w:r>
          <w:rPr>
            <w:lang w:val="zh-CN"/>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5"/>
      </w:rPr>
    </w:pPr>
    <w:r>
      <w:fldChar w:fldCharType="begin"/>
    </w:r>
    <w:r>
      <w:rPr>
        <w:rStyle w:val="25"/>
      </w:rPr>
      <w:instrText xml:space="preserve">PAGE  </w:instrText>
    </w:r>
    <w:r>
      <w:fldChar w:fldCharType="end"/>
    </w:r>
  </w:p>
  <w:p>
    <w:pPr>
      <w:pStyle w:val="15"/>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pict>
        <v:shape id="_x0000_s2051" o:spid="_x0000_s2051"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8ZWvQtAgAAVwQAAA4AAABkcnMvZTJvRG9jLnhtbK1UzY7TMBC+I/EO&#10;lu80adGuSt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D8ZWvQtAgAAVwQAAA4AAAAAAAAAAQAgAAAAHwEAAGRycy9lMm9Eb2MueG1sUEsFBgAAAAAG&#10;AAYAWQEAAL4FAAAAAA==&#1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52</w:t>
                </w:r>
                <w:r>
                  <w:fldChar w:fldCharType="end"/>
                </w:r>
              </w:p>
            </w:txbxContent>
          </v:textbox>
        </v:shape>
      </w:pict>
    </w:r>
  </w:p>
  <w:p>
    <w:pPr>
      <w:pStyle w:val="15"/>
      <w:ind w:right="360" w:firstLine="36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center"/>
    </w:pPr>
    <w:r>
      <w:pict>
        <v:shape id="_x0000_s2050" o:spid="_x0000_s2050"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y8pmgr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DsvKZoKwIAAFcEAAAOAAAAAAAAAAEAIAAAAB8BAABkcnMvZTJvRG9jLnhtbFBLBQYAAAAABgAG&#10;AFkBAAC8BQAAAAA=&#1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53</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firstLine="360"/>
      <w:jc w:val="center"/>
    </w:pPr>
    <w:r>
      <w:pict>
        <v:shape id="_x0000_s2049" o:spid="_x0000_s2049"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E8fUoKwIAAFcEAAAOAAAAAAAAAAEAIAAAAB8BAABkcnMvZTJvRG9jLnhtbFBLBQYAAAAABgAG&#10;AFkBAAC8BQAAAAA=&#10;">
          <v:path/>
          <v:fill on="f" focussize="0,0"/>
          <v:stroke on="f" weight="0.5pt" joinstyle="miter"/>
          <v:imagedata o:title=""/>
          <o:lock v:ext="edit"/>
          <v:textbox inset="0mm,0mm,0mm,0mm" style="mso-fit-shape-to-text:t;">
            <w:txbxContent>
              <w:p>
                <w:pPr>
                  <w:pStyle w:val="15"/>
                </w:pPr>
                <w:r>
                  <w:fldChar w:fldCharType="begin"/>
                </w:r>
                <w:r>
                  <w:instrText xml:space="preserve"> PAGE  \* MERGEFORMAT </w:instrText>
                </w:r>
                <w:r>
                  <w:fldChar w:fldCharType="separate"/>
                </w:r>
                <w:r>
                  <w:t>54</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hideSpellingErrors/>
  <w:attachedTemplate r:id="rId1"/>
  <w:documentProtection w:edit="trackedChanges"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ˇˉ―‖’”…∶、。〃々〉》」』】〕〗！＂＇），．：；？］｀｜｝～￠"/>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A14947"/>
    <w:rsid w:val="00000A7C"/>
    <w:rsid w:val="00004959"/>
    <w:rsid w:val="00004DC4"/>
    <w:rsid w:val="00005CD9"/>
    <w:rsid w:val="000060B3"/>
    <w:rsid w:val="00007AF5"/>
    <w:rsid w:val="00011F4B"/>
    <w:rsid w:val="0001305F"/>
    <w:rsid w:val="0001367F"/>
    <w:rsid w:val="00015E1E"/>
    <w:rsid w:val="000176AE"/>
    <w:rsid w:val="00021182"/>
    <w:rsid w:val="000219F9"/>
    <w:rsid w:val="0002292D"/>
    <w:rsid w:val="0002348A"/>
    <w:rsid w:val="000236F7"/>
    <w:rsid w:val="00024C9B"/>
    <w:rsid w:val="000253E0"/>
    <w:rsid w:val="000260CD"/>
    <w:rsid w:val="00026884"/>
    <w:rsid w:val="00027038"/>
    <w:rsid w:val="00027079"/>
    <w:rsid w:val="00030596"/>
    <w:rsid w:val="00031900"/>
    <w:rsid w:val="000331E0"/>
    <w:rsid w:val="00034C5E"/>
    <w:rsid w:val="0003726B"/>
    <w:rsid w:val="00040156"/>
    <w:rsid w:val="00040289"/>
    <w:rsid w:val="000411D9"/>
    <w:rsid w:val="0004364B"/>
    <w:rsid w:val="00045294"/>
    <w:rsid w:val="00047DB7"/>
    <w:rsid w:val="00051081"/>
    <w:rsid w:val="000531AD"/>
    <w:rsid w:val="000539C9"/>
    <w:rsid w:val="00053A4F"/>
    <w:rsid w:val="00054A43"/>
    <w:rsid w:val="0005577A"/>
    <w:rsid w:val="00056239"/>
    <w:rsid w:val="00056616"/>
    <w:rsid w:val="00056C1C"/>
    <w:rsid w:val="00057B1F"/>
    <w:rsid w:val="00060886"/>
    <w:rsid w:val="00061258"/>
    <w:rsid w:val="00061B1F"/>
    <w:rsid w:val="00064818"/>
    <w:rsid w:val="00067834"/>
    <w:rsid w:val="00067E62"/>
    <w:rsid w:val="00067F88"/>
    <w:rsid w:val="00070D8A"/>
    <w:rsid w:val="000729FF"/>
    <w:rsid w:val="00072FEA"/>
    <w:rsid w:val="000733C4"/>
    <w:rsid w:val="00073A0F"/>
    <w:rsid w:val="00074327"/>
    <w:rsid w:val="00074783"/>
    <w:rsid w:val="00075098"/>
    <w:rsid w:val="0007713A"/>
    <w:rsid w:val="000778C4"/>
    <w:rsid w:val="0008070B"/>
    <w:rsid w:val="000810AC"/>
    <w:rsid w:val="00081A02"/>
    <w:rsid w:val="00082231"/>
    <w:rsid w:val="000829EA"/>
    <w:rsid w:val="000836E8"/>
    <w:rsid w:val="00083E47"/>
    <w:rsid w:val="00084CBF"/>
    <w:rsid w:val="00086CE7"/>
    <w:rsid w:val="00087B3A"/>
    <w:rsid w:val="00091AC2"/>
    <w:rsid w:val="00092171"/>
    <w:rsid w:val="000924AE"/>
    <w:rsid w:val="00092D38"/>
    <w:rsid w:val="0009377B"/>
    <w:rsid w:val="000938C6"/>
    <w:rsid w:val="00096380"/>
    <w:rsid w:val="00096589"/>
    <w:rsid w:val="00096C75"/>
    <w:rsid w:val="00097EAA"/>
    <w:rsid w:val="000A07CD"/>
    <w:rsid w:val="000A1C24"/>
    <w:rsid w:val="000A1DCB"/>
    <w:rsid w:val="000A20C9"/>
    <w:rsid w:val="000A39D9"/>
    <w:rsid w:val="000A595D"/>
    <w:rsid w:val="000A5B6E"/>
    <w:rsid w:val="000A79E7"/>
    <w:rsid w:val="000A7E6C"/>
    <w:rsid w:val="000A7ED4"/>
    <w:rsid w:val="000B058F"/>
    <w:rsid w:val="000B1277"/>
    <w:rsid w:val="000B4467"/>
    <w:rsid w:val="000B4586"/>
    <w:rsid w:val="000B4DB9"/>
    <w:rsid w:val="000B5F0E"/>
    <w:rsid w:val="000B6EF1"/>
    <w:rsid w:val="000B74F3"/>
    <w:rsid w:val="000C0438"/>
    <w:rsid w:val="000C05E8"/>
    <w:rsid w:val="000C09AC"/>
    <w:rsid w:val="000C0B38"/>
    <w:rsid w:val="000C15A6"/>
    <w:rsid w:val="000C1EEE"/>
    <w:rsid w:val="000C2CF6"/>
    <w:rsid w:val="000C767F"/>
    <w:rsid w:val="000D55EE"/>
    <w:rsid w:val="000D5709"/>
    <w:rsid w:val="000D5A44"/>
    <w:rsid w:val="000D5D64"/>
    <w:rsid w:val="000D79AE"/>
    <w:rsid w:val="000E05A3"/>
    <w:rsid w:val="000E2EEC"/>
    <w:rsid w:val="000E3ED2"/>
    <w:rsid w:val="000E4275"/>
    <w:rsid w:val="000E4791"/>
    <w:rsid w:val="000E5071"/>
    <w:rsid w:val="000E7A33"/>
    <w:rsid w:val="000F133B"/>
    <w:rsid w:val="000F3A16"/>
    <w:rsid w:val="000F5156"/>
    <w:rsid w:val="000F5898"/>
    <w:rsid w:val="00100956"/>
    <w:rsid w:val="00102053"/>
    <w:rsid w:val="001038B3"/>
    <w:rsid w:val="00103AFA"/>
    <w:rsid w:val="00103D67"/>
    <w:rsid w:val="001054CC"/>
    <w:rsid w:val="001055FA"/>
    <w:rsid w:val="00107DFB"/>
    <w:rsid w:val="001104E9"/>
    <w:rsid w:val="001109CE"/>
    <w:rsid w:val="00112C0F"/>
    <w:rsid w:val="00113F21"/>
    <w:rsid w:val="00114347"/>
    <w:rsid w:val="00114387"/>
    <w:rsid w:val="00114396"/>
    <w:rsid w:val="00115CF8"/>
    <w:rsid w:val="00115DD2"/>
    <w:rsid w:val="00116A5D"/>
    <w:rsid w:val="001205FD"/>
    <w:rsid w:val="0012080D"/>
    <w:rsid w:val="00120854"/>
    <w:rsid w:val="00123576"/>
    <w:rsid w:val="00123DCC"/>
    <w:rsid w:val="00123E26"/>
    <w:rsid w:val="001246F8"/>
    <w:rsid w:val="00125492"/>
    <w:rsid w:val="00127072"/>
    <w:rsid w:val="00130FDB"/>
    <w:rsid w:val="00131F42"/>
    <w:rsid w:val="00132A06"/>
    <w:rsid w:val="00133E0F"/>
    <w:rsid w:val="00133ECD"/>
    <w:rsid w:val="001340AB"/>
    <w:rsid w:val="001341F0"/>
    <w:rsid w:val="0013465C"/>
    <w:rsid w:val="00134FB5"/>
    <w:rsid w:val="00135235"/>
    <w:rsid w:val="001357F1"/>
    <w:rsid w:val="00137A7E"/>
    <w:rsid w:val="00137BFA"/>
    <w:rsid w:val="00140397"/>
    <w:rsid w:val="00140FA8"/>
    <w:rsid w:val="0014174C"/>
    <w:rsid w:val="00141D06"/>
    <w:rsid w:val="00142AFC"/>
    <w:rsid w:val="00142FEB"/>
    <w:rsid w:val="00143665"/>
    <w:rsid w:val="00143A2D"/>
    <w:rsid w:val="001442DF"/>
    <w:rsid w:val="00145A41"/>
    <w:rsid w:val="00146017"/>
    <w:rsid w:val="001460E7"/>
    <w:rsid w:val="0014798F"/>
    <w:rsid w:val="00150A32"/>
    <w:rsid w:val="0015122E"/>
    <w:rsid w:val="00151675"/>
    <w:rsid w:val="00152154"/>
    <w:rsid w:val="00152961"/>
    <w:rsid w:val="00152FD3"/>
    <w:rsid w:val="00154F43"/>
    <w:rsid w:val="00155119"/>
    <w:rsid w:val="00157435"/>
    <w:rsid w:val="00157F81"/>
    <w:rsid w:val="00160902"/>
    <w:rsid w:val="00161AAD"/>
    <w:rsid w:val="00162110"/>
    <w:rsid w:val="00165354"/>
    <w:rsid w:val="00165620"/>
    <w:rsid w:val="001662B1"/>
    <w:rsid w:val="00166CAC"/>
    <w:rsid w:val="001670B3"/>
    <w:rsid w:val="00170895"/>
    <w:rsid w:val="00170AAB"/>
    <w:rsid w:val="00172318"/>
    <w:rsid w:val="0017232D"/>
    <w:rsid w:val="00174639"/>
    <w:rsid w:val="00174A34"/>
    <w:rsid w:val="00174D13"/>
    <w:rsid w:val="0017504D"/>
    <w:rsid w:val="0017653D"/>
    <w:rsid w:val="0017671A"/>
    <w:rsid w:val="00177422"/>
    <w:rsid w:val="00177C96"/>
    <w:rsid w:val="001803E6"/>
    <w:rsid w:val="001820B6"/>
    <w:rsid w:val="00182C59"/>
    <w:rsid w:val="00184590"/>
    <w:rsid w:val="00184CD7"/>
    <w:rsid w:val="001855F3"/>
    <w:rsid w:val="00186328"/>
    <w:rsid w:val="001870D1"/>
    <w:rsid w:val="0018781E"/>
    <w:rsid w:val="0019180A"/>
    <w:rsid w:val="0019262D"/>
    <w:rsid w:val="001927DB"/>
    <w:rsid w:val="001A0A14"/>
    <w:rsid w:val="001A14DC"/>
    <w:rsid w:val="001A1B35"/>
    <w:rsid w:val="001A26AA"/>
    <w:rsid w:val="001A2FCB"/>
    <w:rsid w:val="001A48A2"/>
    <w:rsid w:val="001A6F61"/>
    <w:rsid w:val="001A7D99"/>
    <w:rsid w:val="001B09CE"/>
    <w:rsid w:val="001B09DE"/>
    <w:rsid w:val="001B0ADE"/>
    <w:rsid w:val="001B0BAA"/>
    <w:rsid w:val="001B0BE7"/>
    <w:rsid w:val="001B1AF8"/>
    <w:rsid w:val="001B2FC7"/>
    <w:rsid w:val="001B33DA"/>
    <w:rsid w:val="001B3DCB"/>
    <w:rsid w:val="001B5015"/>
    <w:rsid w:val="001B72B8"/>
    <w:rsid w:val="001C12FE"/>
    <w:rsid w:val="001C6445"/>
    <w:rsid w:val="001C69B3"/>
    <w:rsid w:val="001C7161"/>
    <w:rsid w:val="001D185E"/>
    <w:rsid w:val="001D1B67"/>
    <w:rsid w:val="001D2C33"/>
    <w:rsid w:val="001D2E84"/>
    <w:rsid w:val="001D4418"/>
    <w:rsid w:val="001D5595"/>
    <w:rsid w:val="001D55BE"/>
    <w:rsid w:val="001D7874"/>
    <w:rsid w:val="001D7F22"/>
    <w:rsid w:val="001E0092"/>
    <w:rsid w:val="001E0E44"/>
    <w:rsid w:val="001E173A"/>
    <w:rsid w:val="001E21DA"/>
    <w:rsid w:val="001E2E16"/>
    <w:rsid w:val="001E4726"/>
    <w:rsid w:val="001E4FB3"/>
    <w:rsid w:val="001E514B"/>
    <w:rsid w:val="001E5B4B"/>
    <w:rsid w:val="001E6D89"/>
    <w:rsid w:val="001E737B"/>
    <w:rsid w:val="001E73F3"/>
    <w:rsid w:val="001E7716"/>
    <w:rsid w:val="001F07F5"/>
    <w:rsid w:val="001F0F17"/>
    <w:rsid w:val="001F1424"/>
    <w:rsid w:val="001F150B"/>
    <w:rsid w:val="001F3347"/>
    <w:rsid w:val="001F34D8"/>
    <w:rsid w:val="001F45E4"/>
    <w:rsid w:val="001F4FAF"/>
    <w:rsid w:val="001F560C"/>
    <w:rsid w:val="001F5E2B"/>
    <w:rsid w:val="001F69E4"/>
    <w:rsid w:val="001F722F"/>
    <w:rsid w:val="00202228"/>
    <w:rsid w:val="002023A9"/>
    <w:rsid w:val="002029AC"/>
    <w:rsid w:val="00203B04"/>
    <w:rsid w:val="00203B3F"/>
    <w:rsid w:val="002053BC"/>
    <w:rsid w:val="0020587C"/>
    <w:rsid w:val="00205F89"/>
    <w:rsid w:val="00206931"/>
    <w:rsid w:val="00206BCD"/>
    <w:rsid w:val="00206C48"/>
    <w:rsid w:val="00207C64"/>
    <w:rsid w:val="00210D3C"/>
    <w:rsid w:val="0021134F"/>
    <w:rsid w:val="002125B4"/>
    <w:rsid w:val="00212DF3"/>
    <w:rsid w:val="0021465E"/>
    <w:rsid w:val="00214ED2"/>
    <w:rsid w:val="002155B8"/>
    <w:rsid w:val="0021680D"/>
    <w:rsid w:val="00216EDA"/>
    <w:rsid w:val="00217CD1"/>
    <w:rsid w:val="00217E44"/>
    <w:rsid w:val="00220D39"/>
    <w:rsid w:val="00220E2D"/>
    <w:rsid w:val="00222E11"/>
    <w:rsid w:val="00224839"/>
    <w:rsid w:val="002249B2"/>
    <w:rsid w:val="00225C04"/>
    <w:rsid w:val="0022611C"/>
    <w:rsid w:val="00226574"/>
    <w:rsid w:val="00226AF7"/>
    <w:rsid w:val="002278EC"/>
    <w:rsid w:val="00227E43"/>
    <w:rsid w:val="00231FF0"/>
    <w:rsid w:val="0023280E"/>
    <w:rsid w:val="00233FE7"/>
    <w:rsid w:val="0023405D"/>
    <w:rsid w:val="002340F7"/>
    <w:rsid w:val="0023630E"/>
    <w:rsid w:val="002377D1"/>
    <w:rsid w:val="00237BDD"/>
    <w:rsid w:val="002409D1"/>
    <w:rsid w:val="002420BA"/>
    <w:rsid w:val="0024345F"/>
    <w:rsid w:val="0024560A"/>
    <w:rsid w:val="00246333"/>
    <w:rsid w:val="002476CD"/>
    <w:rsid w:val="002506BC"/>
    <w:rsid w:val="00250D4C"/>
    <w:rsid w:val="002513AD"/>
    <w:rsid w:val="00252D7F"/>
    <w:rsid w:val="0025329F"/>
    <w:rsid w:val="00254345"/>
    <w:rsid w:val="002554E6"/>
    <w:rsid w:val="00257FF0"/>
    <w:rsid w:val="002618D7"/>
    <w:rsid w:val="00263988"/>
    <w:rsid w:val="00263BDA"/>
    <w:rsid w:val="00264557"/>
    <w:rsid w:val="00264B32"/>
    <w:rsid w:val="002668B9"/>
    <w:rsid w:val="00267DC1"/>
    <w:rsid w:val="002701DA"/>
    <w:rsid w:val="0027096C"/>
    <w:rsid w:val="00270E75"/>
    <w:rsid w:val="00271F7D"/>
    <w:rsid w:val="00271FEA"/>
    <w:rsid w:val="00273B46"/>
    <w:rsid w:val="00274A59"/>
    <w:rsid w:val="00276EC0"/>
    <w:rsid w:val="0027740D"/>
    <w:rsid w:val="002805AB"/>
    <w:rsid w:val="00280E94"/>
    <w:rsid w:val="00281118"/>
    <w:rsid w:val="00284204"/>
    <w:rsid w:val="0028643F"/>
    <w:rsid w:val="0029028B"/>
    <w:rsid w:val="0029084B"/>
    <w:rsid w:val="00290D62"/>
    <w:rsid w:val="00291773"/>
    <w:rsid w:val="0029196F"/>
    <w:rsid w:val="00292742"/>
    <w:rsid w:val="00293061"/>
    <w:rsid w:val="00293D15"/>
    <w:rsid w:val="00294713"/>
    <w:rsid w:val="00294E49"/>
    <w:rsid w:val="0029638E"/>
    <w:rsid w:val="00296D0C"/>
    <w:rsid w:val="002A02A7"/>
    <w:rsid w:val="002A168C"/>
    <w:rsid w:val="002A1B1A"/>
    <w:rsid w:val="002A3DC7"/>
    <w:rsid w:val="002A4A10"/>
    <w:rsid w:val="002A5C7B"/>
    <w:rsid w:val="002B09A0"/>
    <w:rsid w:val="002B10BF"/>
    <w:rsid w:val="002B17C6"/>
    <w:rsid w:val="002B2001"/>
    <w:rsid w:val="002B2332"/>
    <w:rsid w:val="002B23D2"/>
    <w:rsid w:val="002B49E2"/>
    <w:rsid w:val="002B71C9"/>
    <w:rsid w:val="002B7B00"/>
    <w:rsid w:val="002B7C44"/>
    <w:rsid w:val="002C024E"/>
    <w:rsid w:val="002C0616"/>
    <w:rsid w:val="002C1502"/>
    <w:rsid w:val="002C2B17"/>
    <w:rsid w:val="002C33B7"/>
    <w:rsid w:val="002C4EE3"/>
    <w:rsid w:val="002C5AAC"/>
    <w:rsid w:val="002C6F1E"/>
    <w:rsid w:val="002D0C95"/>
    <w:rsid w:val="002D19E2"/>
    <w:rsid w:val="002D2149"/>
    <w:rsid w:val="002D3DD0"/>
    <w:rsid w:val="002D3E9A"/>
    <w:rsid w:val="002D5321"/>
    <w:rsid w:val="002D71A6"/>
    <w:rsid w:val="002D7277"/>
    <w:rsid w:val="002D7351"/>
    <w:rsid w:val="002E1F3A"/>
    <w:rsid w:val="002E279E"/>
    <w:rsid w:val="002E298A"/>
    <w:rsid w:val="002E3332"/>
    <w:rsid w:val="002E4E9F"/>
    <w:rsid w:val="002F01D4"/>
    <w:rsid w:val="002F0694"/>
    <w:rsid w:val="002F16BA"/>
    <w:rsid w:val="002F2966"/>
    <w:rsid w:val="002F2D52"/>
    <w:rsid w:val="002F45D4"/>
    <w:rsid w:val="002F5801"/>
    <w:rsid w:val="002F5F87"/>
    <w:rsid w:val="002F6213"/>
    <w:rsid w:val="002F63F6"/>
    <w:rsid w:val="002F6EF7"/>
    <w:rsid w:val="00300297"/>
    <w:rsid w:val="00301978"/>
    <w:rsid w:val="003022DE"/>
    <w:rsid w:val="003027A8"/>
    <w:rsid w:val="00303236"/>
    <w:rsid w:val="0030332C"/>
    <w:rsid w:val="003039FD"/>
    <w:rsid w:val="003049F1"/>
    <w:rsid w:val="003051C2"/>
    <w:rsid w:val="00306AC5"/>
    <w:rsid w:val="00306CA1"/>
    <w:rsid w:val="00306CC8"/>
    <w:rsid w:val="00307449"/>
    <w:rsid w:val="0030750E"/>
    <w:rsid w:val="0031090E"/>
    <w:rsid w:val="00311EAB"/>
    <w:rsid w:val="00312296"/>
    <w:rsid w:val="00312A29"/>
    <w:rsid w:val="00312C61"/>
    <w:rsid w:val="00312FA2"/>
    <w:rsid w:val="0031336E"/>
    <w:rsid w:val="003137D9"/>
    <w:rsid w:val="00314751"/>
    <w:rsid w:val="00314F0E"/>
    <w:rsid w:val="0031520E"/>
    <w:rsid w:val="00321D8E"/>
    <w:rsid w:val="00324465"/>
    <w:rsid w:val="00325928"/>
    <w:rsid w:val="00325E6B"/>
    <w:rsid w:val="00326592"/>
    <w:rsid w:val="00326EC9"/>
    <w:rsid w:val="003278A0"/>
    <w:rsid w:val="00330E9A"/>
    <w:rsid w:val="00331890"/>
    <w:rsid w:val="003321DC"/>
    <w:rsid w:val="00332863"/>
    <w:rsid w:val="00333FE4"/>
    <w:rsid w:val="003357A9"/>
    <w:rsid w:val="0033656B"/>
    <w:rsid w:val="0033684D"/>
    <w:rsid w:val="003373F8"/>
    <w:rsid w:val="00337B42"/>
    <w:rsid w:val="00341195"/>
    <w:rsid w:val="00341B42"/>
    <w:rsid w:val="00341CD8"/>
    <w:rsid w:val="00343071"/>
    <w:rsid w:val="0034348F"/>
    <w:rsid w:val="003444F2"/>
    <w:rsid w:val="00344D0C"/>
    <w:rsid w:val="00344E32"/>
    <w:rsid w:val="00354DEC"/>
    <w:rsid w:val="00355AA9"/>
    <w:rsid w:val="003562A0"/>
    <w:rsid w:val="00356653"/>
    <w:rsid w:val="00357130"/>
    <w:rsid w:val="0035743F"/>
    <w:rsid w:val="00357BE2"/>
    <w:rsid w:val="00357DFF"/>
    <w:rsid w:val="00361184"/>
    <w:rsid w:val="0036170C"/>
    <w:rsid w:val="00362821"/>
    <w:rsid w:val="00362F37"/>
    <w:rsid w:val="00363F48"/>
    <w:rsid w:val="00364E99"/>
    <w:rsid w:val="0036662A"/>
    <w:rsid w:val="00366E0F"/>
    <w:rsid w:val="003670D6"/>
    <w:rsid w:val="00371694"/>
    <w:rsid w:val="00371B67"/>
    <w:rsid w:val="00371DF3"/>
    <w:rsid w:val="003725EE"/>
    <w:rsid w:val="0037300E"/>
    <w:rsid w:val="00373CF7"/>
    <w:rsid w:val="00373FE7"/>
    <w:rsid w:val="0037420F"/>
    <w:rsid w:val="00374BB4"/>
    <w:rsid w:val="00374FB4"/>
    <w:rsid w:val="00375738"/>
    <w:rsid w:val="003769B9"/>
    <w:rsid w:val="00376A42"/>
    <w:rsid w:val="00376AE8"/>
    <w:rsid w:val="00376CC3"/>
    <w:rsid w:val="003804B4"/>
    <w:rsid w:val="003806A8"/>
    <w:rsid w:val="00381A72"/>
    <w:rsid w:val="00381D98"/>
    <w:rsid w:val="0038237F"/>
    <w:rsid w:val="00383FCF"/>
    <w:rsid w:val="00384676"/>
    <w:rsid w:val="003873CA"/>
    <w:rsid w:val="003875BD"/>
    <w:rsid w:val="00390857"/>
    <w:rsid w:val="00391FC6"/>
    <w:rsid w:val="00394B26"/>
    <w:rsid w:val="00394F3C"/>
    <w:rsid w:val="003A2C0F"/>
    <w:rsid w:val="003A3BB2"/>
    <w:rsid w:val="003A4639"/>
    <w:rsid w:val="003A4BF3"/>
    <w:rsid w:val="003A5B7F"/>
    <w:rsid w:val="003A6184"/>
    <w:rsid w:val="003B0F90"/>
    <w:rsid w:val="003B3EB4"/>
    <w:rsid w:val="003B420D"/>
    <w:rsid w:val="003B45A8"/>
    <w:rsid w:val="003B4A8D"/>
    <w:rsid w:val="003B5804"/>
    <w:rsid w:val="003B5B8A"/>
    <w:rsid w:val="003B6029"/>
    <w:rsid w:val="003B6E71"/>
    <w:rsid w:val="003B78C2"/>
    <w:rsid w:val="003B7DA7"/>
    <w:rsid w:val="003C12BA"/>
    <w:rsid w:val="003C20A2"/>
    <w:rsid w:val="003C2744"/>
    <w:rsid w:val="003C287D"/>
    <w:rsid w:val="003C6C16"/>
    <w:rsid w:val="003C764D"/>
    <w:rsid w:val="003C77BB"/>
    <w:rsid w:val="003D12FE"/>
    <w:rsid w:val="003D3AFA"/>
    <w:rsid w:val="003D46B1"/>
    <w:rsid w:val="003D4F0E"/>
    <w:rsid w:val="003D5AD6"/>
    <w:rsid w:val="003D794D"/>
    <w:rsid w:val="003E0A0F"/>
    <w:rsid w:val="003E0DBC"/>
    <w:rsid w:val="003E0EB8"/>
    <w:rsid w:val="003E2D18"/>
    <w:rsid w:val="003E3058"/>
    <w:rsid w:val="003E4862"/>
    <w:rsid w:val="003E5F85"/>
    <w:rsid w:val="003E64E7"/>
    <w:rsid w:val="003E76A9"/>
    <w:rsid w:val="003F0809"/>
    <w:rsid w:val="003F1E42"/>
    <w:rsid w:val="003F205F"/>
    <w:rsid w:val="003F2CC1"/>
    <w:rsid w:val="003F2F99"/>
    <w:rsid w:val="003F454D"/>
    <w:rsid w:val="003F4758"/>
    <w:rsid w:val="003F481A"/>
    <w:rsid w:val="003F6293"/>
    <w:rsid w:val="003F6A8C"/>
    <w:rsid w:val="003F755C"/>
    <w:rsid w:val="003F7DB5"/>
    <w:rsid w:val="00400B6E"/>
    <w:rsid w:val="00401A75"/>
    <w:rsid w:val="00402C73"/>
    <w:rsid w:val="004040F1"/>
    <w:rsid w:val="004060F0"/>
    <w:rsid w:val="00406F01"/>
    <w:rsid w:val="00407DA7"/>
    <w:rsid w:val="00410E18"/>
    <w:rsid w:val="00411B97"/>
    <w:rsid w:val="00412A63"/>
    <w:rsid w:val="004137B4"/>
    <w:rsid w:val="00414448"/>
    <w:rsid w:val="0041513A"/>
    <w:rsid w:val="004152F3"/>
    <w:rsid w:val="00415CD6"/>
    <w:rsid w:val="0041618B"/>
    <w:rsid w:val="004166D2"/>
    <w:rsid w:val="00416D50"/>
    <w:rsid w:val="00416FD5"/>
    <w:rsid w:val="00417772"/>
    <w:rsid w:val="0042010E"/>
    <w:rsid w:val="00420E6A"/>
    <w:rsid w:val="004215FA"/>
    <w:rsid w:val="00421F7E"/>
    <w:rsid w:val="0042210A"/>
    <w:rsid w:val="0042214B"/>
    <w:rsid w:val="0042237C"/>
    <w:rsid w:val="004234EE"/>
    <w:rsid w:val="004236F6"/>
    <w:rsid w:val="00424B5F"/>
    <w:rsid w:val="00425A9E"/>
    <w:rsid w:val="00426D6B"/>
    <w:rsid w:val="00427E0B"/>
    <w:rsid w:val="00427FC9"/>
    <w:rsid w:val="0043151A"/>
    <w:rsid w:val="0043159C"/>
    <w:rsid w:val="00431E6C"/>
    <w:rsid w:val="00431E92"/>
    <w:rsid w:val="00433CE7"/>
    <w:rsid w:val="00433D81"/>
    <w:rsid w:val="004341EA"/>
    <w:rsid w:val="0043441D"/>
    <w:rsid w:val="004348EF"/>
    <w:rsid w:val="004351D3"/>
    <w:rsid w:val="004351FD"/>
    <w:rsid w:val="0043564E"/>
    <w:rsid w:val="004360CE"/>
    <w:rsid w:val="00437528"/>
    <w:rsid w:val="0044060B"/>
    <w:rsid w:val="00440F45"/>
    <w:rsid w:val="00441423"/>
    <w:rsid w:val="00442539"/>
    <w:rsid w:val="004429C1"/>
    <w:rsid w:val="0044303C"/>
    <w:rsid w:val="0044470A"/>
    <w:rsid w:val="00447206"/>
    <w:rsid w:val="00450360"/>
    <w:rsid w:val="0045075A"/>
    <w:rsid w:val="00452738"/>
    <w:rsid w:val="0045435E"/>
    <w:rsid w:val="0045437F"/>
    <w:rsid w:val="00455CAE"/>
    <w:rsid w:val="00455F02"/>
    <w:rsid w:val="0045608C"/>
    <w:rsid w:val="00456091"/>
    <w:rsid w:val="00456303"/>
    <w:rsid w:val="00461E1B"/>
    <w:rsid w:val="00462A78"/>
    <w:rsid w:val="00463745"/>
    <w:rsid w:val="00463E3D"/>
    <w:rsid w:val="00463F85"/>
    <w:rsid w:val="00465593"/>
    <w:rsid w:val="0046598C"/>
    <w:rsid w:val="004659B7"/>
    <w:rsid w:val="00466321"/>
    <w:rsid w:val="00470C61"/>
    <w:rsid w:val="00471282"/>
    <w:rsid w:val="004712FE"/>
    <w:rsid w:val="0047289B"/>
    <w:rsid w:val="004739AA"/>
    <w:rsid w:val="00475381"/>
    <w:rsid w:val="00475C85"/>
    <w:rsid w:val="004764CB"/>
    <w:rsid w:val="00476C92"/>
    <w:rsid w:val="00480B4B"/>
    <w:rsid w:val="00481AD0"/>
    <w:rsid w:val="00482ED0"/>
    <w:rsid w:val="0048400D"/>
    <w:rsid w:val="004848A3"/>
    <w:rsid w:val="00484B0B"/>
    <w:rsid w:val="00484B9B"/>
    <w:rsid w:val="00484EEC"/>
    <w:rsid w:val="004855F6"/>
    <w:rsid w:val="00486026"/>
    <w:rsid w:val="0048661E"/>
    <w:rsid w:val="00490F1C"/>
    <w:rsid w:val="00491FA7"/>
    <w:rsid w:val="00492CDB"/>
    <w:rsid w:val="00493245"/>
    <w:rsid w:val="004933E9"/>
    <w:rsid w:val="00493763"/>
    <w:rsid w:val="00493A52"/>
    <w:rsid w:val="00494263"/>
    <w:rsid w:val="00494670"/>
    <w:rsid w:val="004959DE"/>
    <w:rsid w:val="004A3823"/>
    <w:rsid w:val="004A4792"/>
    <w:rsid w:val="004A4BAC"/>
    <w:rsid w:val="004A4E6D"/>
    <w:rsid w:val="004A624C"/>
    <w:rsid w:val="004B2326"/>
    <w:rsid w:val="004B34A1"/>
    <w:rsid w:val="004B49DE"/>
    <w:rsid w:val="004B4AFD"/>
    <w:rsid w:val="004B6205"/>
    <w:rsid w:val="004B6DD8"/>
    <w:rsid w:val="004B7183"/>
    <w:rsid w:val="004B73E0"/>
    <w:rsid w:val="004B7B1A"/>
    <w:rsid w:val="004C0AE5"/>
    <w:rsid w:val="004C0F9A"/>
    <w:rsid w:val="004C1F16"/>
    <w:rsid w:val="004C2097"/>
    <w:rsid w:val="004C2329"/>
    <w:rsid w:val="004C360D"/>
    <w:rsid w:val="004C42BA"/>
    <w:rsid w:val="004C4F2B"/>
    <w:rsid w:val="004C5B58"/>
    <w:rsid w:val="004C75CF"/>
    <w:rsid w:val="004D044A"/>
    <w:rsid w:val="004D3210"/>
    <w:rsid w:val="004E2146"/>
    <w:rsid w:val="004E21A7"/>
    <w:rsid w:val="004E30F4"/>
    <w:rsid w:val="004E5D3A"/>
    <w:rsid w:val="004E67B5"/>
    <w:rsid w:val="004E6946"/>
    <w:rsid w:val="004E731A"/>
    <w:rsid w:val="004E7D04"/>
    <w:rsid w:val="004F1131"/>
    <w:rsid w:val="004F1AD8"/>
    <w:rsid w:val="004F1BC1"/>
    <w:rsid w:val="004F1EC0"/>
    <w:rsid w:val="004F20C2"/>
    <w:rsid w:val="004F24D0"/>
    <w:rsid w:val="004F3743"/>
    <w:rsid w:val="004F4716"/>
    <w:rsid w:val="004F5130"/>
    <w:rsid w:val="004F6F76"/>
    <w:rsid w:val="004F7F0D"/>
    <w:rsid w:val="005005D9"/>
    <w:rsid w:val="00501B3F"/>
    <w:rsid w:val="0050310F"/>
    <w:rsid w:val="00503129"/>
    <w:rsid w:val="00503959"/>
    <w:rsid w:val="005039CB"/>
    <w:rsid w:val="005046F6"/>
    <w:rsid w:val="0050558F"/>
    <w:rsid w:val="00506286"/>
    <w:rsid w:val="00506395"/>
    <w:rsid w:val="005063F5"/>
    <w:rsid w:val="00510813"/>
    <w:rsid w:val="00510EAD"/>
    <w:rsid w:val="00511990"/>
    <w:rsid w:val="00511DE0"/>
    <w:rsid w:val="00512328"/>
    <w:rsid w:val="00513151"/>
    <w:rsid w:val="005142ED"/>
    <w:rsid w:val="00514870"/>
    <w:rsid w:val="00514B9B"/>
    <w:rsid w:val="00516287"/>
    <w:rsid w:val="00516376"/>
    <w:rsid w:val="00516AA9"/>
    <w:rsid w:val="00517F02"/>
    <w:rsid w:val="005210AB"/>
    <w:rsid w:val="00521AF0"/>
    <w:rsid w:val="00522241"/>
    <w:rsid w:val="0052244A"/>
    <w:rsid w:val="00522595"/>
    <w:rsid w:val="00524303"/>
    <w:rsid w:val="005258A2"/>
    <w:rsid w:val="00526CC7"/>
    <w:rsid w:val="0052742F"/>
    <w:rsid w:val="00527D2D"/>
    <w:rsid w:val="00531373"/>
    <w:rsid w:val="005335BD"/>
    <w:rsid w:val="0053553F"/>
    <w:rsid w:val="00536F49"/>
    <w:rsid w:val="00537A03"/>
    <w:rsid w:val="00537C0A"/>
    <w:rsid w:val="005401AE"/>
    <w:rsid w:val="0054032C"/>
    <w:rsid w:val="00541C9C"/>
    <w:rsid w:val="00542902"/>
    <w:rsid w:val="00542E07"/>
    <w:rsid w:val="00543653"/>
    <w:rsid w:val="005444FC"/>
    <w:rsid w:val="00545424"/>
    <w:rsid w:val="00545B97"/>
    <w:rsid w:val="00545EB6"/>
    <w:rsid w:val="00550C5C"/>
    <w:rsid w:val="00551581"/>
    <w:rsid w:val="00552902"/>
    <w:rsid w:val="00553441"/>
    <w:rsid w:val="00553D94"/>
    <w:rsid w:val="00554A7B"/>
    <w:rsid w:val="0055572C"/>
    <w:rsid w:val="005565EA"/>
    <w:rsid w:val="00556DC2"/>
    <w:rsid w:val="00556F06"/>
    <w:rsid w:val="005602F6"/>
    <w:rsid w:val="0056106A"/>
    <w:rsid w:val="005615C5"/>
    <w:rsid w:val="0056221A"/>
    <w:rsid w:val="00564646"/>
    <w:rsid w:val="00564921"/>
    <w:rsid w:val="00565078"/>
    <w:rsid w:val="00567DE5"/>
    <w:rsid w:val="00570116"/>
    <w:rsid w:val="005720AE"/>
    <w:rsid w:val="00572C41"/>
    <w:rsid w:val="005734B8"/>
    <w:rsid w:val="0057371D"/>
    <w:rsid w:val="005739A3"/>
    <w:rsid w:val="00574557"/>
    <w:rsid w:val="0057575B"/>
    <w:rsid w:val="005766B3"/>
    <w:rsid w:val="00576E95"/>
    <w:rsid w:val="00577A39"/>
    <w:rsid w:val="005812F0"/>
    <w:rsid w:val="00582088"/>
    <w:rsid w:val="005830E0"/>
    <w:rsid w:val="00583F5C"/>
    <w:rsid w:val="00584669"/>
    <w:rsid w:val="00585434"/>
    <w:rsid w:val="00590168"/>
    <w:rsid w:val="005903A8"/>
    <w:rsid w:val="0059136C"/>
    <w:rsid w:val="00591A98"/>
    <w:rsid w:val="005948F3"/>
    <w:rsid w:val="00594D77"/>
    <w:rsid w:val="0059533E"/>
    <w:rsid w:val="005969E4"/>
    <w:rsid w:val="00597075"/>
    <w:rsid w:val="005A06B7"/>
    <w:rsid w:val="005A0AFC"/>
    <w:rsid w:val="005A0EA9"/>
    <w:rsid w:val="005A10CE"/>
    <w:rsid w:val="005A1759"/>
    <w:rsid w:val="005A37C9"/>
    <w:rsid w:val="005A4262"/>
    <w:rsid w:val="005A5544"/>
    <w:rsid w:val="005A68A7"/>
    <w:rsid w:val="005A6992"/>
    <w:rsid w:val="005B0249"/>
    <w:rsid w:val="005B1B76"/>
    <w:rsid w:val="005B26B5"/>
    <w:rsid w:val="005B28A9"/>
    <w:rsid w:val="005B2A67"/>
    <w:rsid w:val="005B3412"/>
    <w:rsid w:val="005B344C"/>
    <w:rsid w:val="005B41CD"/>
    <w:rsid w:val="005B579F"/>
    <w:rsid w:val="005B62AE"/>
    <w:rsid w:val="005C00CF"/>
    <w:rsid w:val="005C08C9"/>
    <w:rsid w:val="005C2782"/>
    <w:rsid w:val="005C2F27"/>
    <w:rsid w:val="005C3497"/>
    <w:rsid w:val="005C3A95"/>
    <w:rsid w:val="005C4464"/>
    <w:rsid w:val="005C4573"/>
    <w:rsid w:val="005C48BF"/>
    <w:rsid w:val="005C4A4B"/>
    <w:rsid w:val="005D104B"/>
    <w:rsid w:val="005D1358"/>
    <w:rsid w:val="005D2AF9"/>
    <w:rsid w:val="005D36AB"/>
    <w:rsid w:val="005D3842"/>
    <w:rsid w:val="005D74D2"/>
    <w:rsid w:val="005D7A8F"/>
    <w:rsid w:val="005E012F"/>
    <w:rsid w:val="005E02F1"/>
    <w:rsid w:val="005E11BB"/>
    <w:rsid w:val="005E299A"/>
    <w:rsid w:val="005E424B"/>
    <w:rsid w:val="005E5DFD"/>
    <w:rsid w:val="005E749D"/>
    <w:rsid w:val="005F1273"/>
    <w:rsid w:val="005F21B7"/>
    <w:rsid w:val="005F29A9"/>
    <w:rsid w:val="005F598F"/>
    <w:rsid w:val="005F5E0D"/>
    <w:rsid w:val="00600049"/>
    <w:rsid w:val="0060202D"/>
    <w:rsid w:val="006023D7"/>
    <w:rsid w:val="006046A4"/>
    <w:rsid w:val="006103E0"/>
    <w:rsid w:val="0061083E"/>
    <w:rsid w:val="0061223D"/>
    <w:rsid w:val="00612A27"/>
    <w:rsid w:val="00612C57"/>
    <w:rsid w:val="00613A61"/>
    <w:rsid w:val="0061482F"/>
    <w:rsid w:val="00615562"/>
    <w:rsid w:val="00617CC3"/>
    <w:rsid w:val="00621454"/>
    <w:rsid w:val="006215A6"/>
    <w:rsid w:val="00621EAE"/>
    <w:rsid w:val="00625F10"/>
    <w:rsid w:val="00627C8C"/>
    <w:rsid w:val="00630050"/>
    <w:rsid w:val="00632C25"/>
    <w:rsid w:val="00636AC0"/>
    <w:rsid w:val="006377A6"/>
    <w:rsid w:val="00637A3D"/>
    <w:rsid w:val="00637F5E"/>
    <w:rsid w:val="006411EF"/>
    <w:rsid w:val="0064270B"/>
    <w:rsid w:val="0064281C"/>
    <w:rsid w:val="00644009"/>
    <w:rsid w:val="00644B06"/>
    <w:rsid w:val="00645207"/>
    <w:rsid w:val="00645B68"/>
    <w:rsid w:val="00645CBA"/>
    <w:rsid w:val="006509CC"/>
    <w:rsid w:val="00652348"/>
    <w:rsid w:val="0065420A"/>
    <w:rsid w:val="0065427B"/>
    <w:rsid w:val="0065585F"/>
    <w:rsid w:val="00655994"/>
    <w:rsid w:val="006574A7"/>
    <w:rsid w:val="00660573"/>
    <w:rsid w:val="0066103C"/>
    <w:rsid w:val="00662567"/>
    <w:rsid w:val="006634BD"/>
    <w:rsid w:val="006639DE"/>
    <w:rsid w:val="0066403F"/>
    <w:rsid w:val="00664CBA"/>
    <w:rsid w:val="006654E1"/>
    <w:rsid w:val="006657D0"/>
    <w:rsid w:val="006678B7"/>
    <w:rsid w:val="00667BA8"/>
    <w:rsid w:val="006713DE"/>
    <w:rsid w:val="00671BA2"/>
    <w:rsid w:val="00671DE5"/>
    <w:rsid w:val="00672666"/>
    <w:rsid w:val="00673249"/>
    <w:rsid w:val="00673786"/>
    <w:rsid w:val="00674695"/>
    <w:rsid w:val="006748B8"/>
    <w:rsid w:val="006775C3"/>
    <w:rsid w:val="00680403"/>
    <w:rsid w:val="00685035"/>
    <w:rsid w:val="0068508F"/>
    <w:rsid w:val="006854D3"/>
    <w:rsid w:val="006854D9"/>
    <w:rsid w:val="006856C5"/>
    <w:rsid w:val="00685AAD"/>
    <w:rsid w:val="0068685C"/>
    <w:rsid w:val="00686D79"/>
    <w:rsid w:val="0069009D"/>
    <w:rsid w:val="006912BB"/>
    <w:rsid w:val="006918E1"/>
    <w:rsid w:val="00692145"/>
    <w:rsid w:val="0069290A"/>
    <w:rsid w:val="006933B3"/>
    <w:rsid w:val="00693753"/>
    <w:rsid w:val="0069775A"/>
    <w:rsid w:val="00697813"/>
    <w:rsid w:val="006A0A7E"/>
    <w:rsid w:val="006A0B6D"/>
    <w:rsid w:val="006A16E3"/>
    <w:rsid w:val="006A3EE8"/>
    <w:rsid w:val="006A4419"/>
    <w:rsid w:val="006A4681"/>
    <w:rsid w:val="006A50EB"/>
    <w:rsid w:val="006A6142"/>
    <w:rsid w:val="006A6187"/>
    <w:rsid w:val="006A64D4"/>
    <w:rsid w:val="006A72BF"/>
    <w:rsid w:val="006B03F2"/>
    <w:rsid w:val="006B0E9E"/>
    <w:rsid w:val="006B1326"/>
    <w:rsid w:val="006B17C9"/>
    <w:rsid w:val="006B19DF"/>
    <w:rsid w:val="006B2341"/>
    <w:rsid w:val="006B329D"/>
    <w:rsid w:val="006B37DC"/>
    <w:rsid w:val="006B4F68"/>
    <w:rsid w:val="006B51A7"/>
    <w:rsid w:val="006B55E9"/>
    <w:rsid w:val="006B7359"/>
    <w:rsid w:val="006C0592"/>
    <w:rsid w:val="006C272E"/>
    <w:rsid w:val="006C5110"/>
    <w:rsid w:val="006C52F3"/>
    <w:rsid w:val="006C5479"/>
    <w:rsid w:val="006C6890"/>
    <w:rsid w:val="006D13B5"/>
    <w:rsid w:val="006D192C"/>
    <w:rsid w:val="006D642A"/>
    <w:rsid w:val="006D78BC"/>
    <w:rsid w:val="006E01E5"/>
    <w:rsid w:val="006E0265"/>
    <w:rsid w:val="006E044F"/>
    <w:rsid w:val="006E12FF"/>
    <w:rsid w:val="006E26EE"/>
    <w:rsid w:val="006E488B"/>
    <w:rsid w:val="006E607E"/>
    <w:rsid w:val="006E66F9"/>
    <w:rsid w:val="006E6917"/>
    <w:rsid w:val="006E6B79"/>
    <w:rsid w:val="006F14DF"/>
    <w:rsid w:val="006F20AF"/>
    <w:rsid w:val="006F66A4"/>
    <w:rsid w:val="007038C1"/>
    <w:rsid w:val="00703FCE"/>
    <w:rsid w:val="007043F2"/>
    <w:rsid w:val="00706C5D"/>
    <w:rsid w:val="00706D9A"/>
    <w:rsid w:val="007075AE"/>
    <w:rsid w:val="00707E9B"/>
    <w:rsid w:val="0071269B"/>
    <w:rsid w:val="0071446F"/>
    <w:rsid w:val="00717A06"/>
    <w:rsid w:val="00720333"/>
    <w:rsid w:val="007224EB"/>
    <w:rsid w:val="0072428C"/>
    <w:rsid w:val="007254FC"/>
    <w:rsid w:val="00725FC9"/>
    <w:rsid w:val="00730643"/>
    <w:rsid w:val="00731629"/>
    <w:rsid w:val="00732121"/>
    <w:rsid w:val="00732922"/>
    <w:rsid w:val="0073492D"/>
    <w:rsid w:val="0073549D"/>
    <w:rsid w:val="00736187"/>
    <w:rsid w:val="00736A32"/>
    <w:rsid w:val="00736E32"/>
    <w:rsid w:val="0074085A"/>
    <w:rsid w:val="00741DDE"/>
    <w:rsid w:val="00742EFA"/>
    <w:rsid w:val="00744E7A"/>
    <w:rsid w:val="007474C7"/>
    <w:rsid w:val="00747CDE"/>
    <w:rsid w:val="0075162E"/>
    <w:rsid w:val="00751BC4"/>
    <w:rsid w:val="00751D6C"/>
    <w:rsid w:val="00752939"/>
    <w:rsid w:val="00753ED1"/>
    <w:rsid w:val="00754034"/>
    <w:rsid w:val="00756556"/>
    <w:rsid w:val="00756A21"/>
    <w:rsid w:val="007573F8"/>
    <w:rsid w:val="00757613"/>
    <w:rsid w:val="007611F7"/>
    <w:rsid w:val="007614FC"/>
    <w:rsid w:val="007618C4"/>
    <w:rsid w:val="00762774"/>
    <w:rsid w:val="0076693F"/>
    <w:rsid w:val="00767980"/>
    <w:rsid w:val="00770B19"/>
    <w:rsid w:val="007722E1"/>
    <w:rsid w:val="00772931"/>
    <w:rsid w:val="00772A07"/>
    <w:rsid w:val="00772F78"/>
    <w:rsid w:val="00774005"/>
    <w:rsid w:val="0077463F"/>
    <w:rsid w:val="00775078"/>
    <w:rsid w:val="00775AAF"/>
    <w:rsid w:val="00776F1F"/>
    <w:rsid w:val="00780673"/>
    <w:rsid w:val="00782975"/>
    <w:rsid w:val="00782AF4"/>
    <w:rsid w:val="007836EA"/>
    <w:rsid w:val="00784CDA"/>
    <w:rsid w:val="007870C6"/>
    <w:rsid w:val="007906C4"/>
    <w:rsid w:val="00792DAF"/>
    <w:rsid w:val="007937A3"/>
    <w:rsid w:val="007940EA"/>
    <w:rsid w:val="00796079"/>
    <w:rsid w:val="007966A2"/>
    <w:rsid w:val="007967E8"/>
    <w:rsid w:val="007A2170"/>
    <w:rsid w:val="007A22BF"/>
    <w:rsid w:val="007A3323"/>
    <w:rsid w:val="007A4082"/>
    <w:rsid w:val="007A5837"/>
    <w:rsid w:val="007A64BA"/>
    <w:rsid w:val="007A68E9"/>
    <w:rsid w:val="007A76F3"/>
    <w:rsid w:val="007B191B"/>
    <w:rsid w:val="007B1EA6"/>
    <w:rsid w:val="007B4905"/>
    <w:rsid w:val="007B4D01"/>
    <w:rsid w:val="007B62BF"/>
    <w:rsid w:val="007B69D4"/>
    <w:rsid w:val="007B6A33"/>
    <w:rsid w:val="007B6FC1"/>
    <w:rsid w:val="007B72B8"/>
    <w:rsid w:val="007B7A58"/>
    <w:rsid w:val="007C11C2"/>
    <w:rsid w:val="007C148C"/>
    <w:rsid w:val="007C21B5"/>
    <w:rsid w:val="007C36EE"/>
    <w:rsid w:val="007C3936"/>
    <w:rsid w:val="007C575D"/>
    <w:rsid w:val="007C5EDA"/>
    <w:rsid w:val="007D04A0"/>
    <w:rsid w:val="007D0511"/>
    <w:rsid w:val="007D1DB5"/>
    <w:rsid w:val="007D2876"/>
    <w:rsid w:val="007D2AB7"/>
    <w:rsid w:val="007D346F"/>
    <w:rsid w:val="007D44D4"/>
    <w:rsid w:val="007D4919"/>
    <w:rsid w:val="007D4C4F"/>
    <w:rsid w:val="007D6DDB"/>
    <w:rsid w:val="007D6F63"/>
    <w:rsid w:val="007D7831"/>
    <w:rsid w:val="007E264B"/>
    <w:rsid w:val="007E4BD2"/>
    <w:rsid w:val="007E4BFA"/>
    <w:rsid w:val="007F0502"/>
    <w:rsid w:val="007F36C9"/>
    <w:rsid w:val="007F450A"/>
    <w:rsid w:val="007F6AE9"/>
    <w:rsid w:val="00801006"/>
    <w:rsid w:val="00801393"/>
    <w:rsid w:val="00801BE8"/>
    <w:rsid w:val="00802450"/>
    <w:rsid w:val="0080259D"/>
    <w:rsid w:val="00802F88"/>
    <w:rsid w:val="00803254"/>
    <w:rsid w:val="008053DB"/>
    <w:rsid w:val="00805E92"/>
    <w:rsid w:val="008060D6"/>
    <w:rsid w:val="00806346"/>
    <w:rsid w:val="00806B4C"/>
    <w:rsid w:val="00807B19"/>
    <w:rsid w:val="0081293E"/>
    <w:rsid w:val="00813E33"/>
    <w:rsid w:val="00814693"/>
    <w:rsid w:val="008150B2"/>
    <w:rsid w:val="00815465"/>
    <w:rsid w:val="008167E5"/>
    <w:rsid w:val="00816FD3"/>
    <w:rsid w:val="00817E9A"/>
    <w:rsid w:val="00820C98"/>
    <w:rsid w:val="00823343"/>
    <w:rsid w:val="008263CD"/>
    <w:rsid w:val="008276C6"/>
    <w:rsid w:val="008306BD"/>
    <w:rsid w:val="0083098B"/>
    <w:rsid w:val="00831A80"/>
    <w:rsid w:val="008320C1"/>
    <w:rsid w:val="00832249"/>
    <w:rsid w:val="00832F18"/>
    <w:rsid w:val="00833743"/>
    <w:rsid w:val="00833B57"/>
    <w:rsid w:val="008340A4"/>
    <w:rsid w:val="008379FB"/>
    <w:rsid w:val="00840ED4"/>
    <w:rsid w:val="008425B5"/>
    <w:rsid w:val="00842F15"/>
    <w:rsid w:val="00843DE4"/>
    <w:rsid w:val="00847336"/>
    <w:rsid w:val="008476D4"/>
    <w:rsid w:val="00850517"/>
    <w:rsid w:val="0085142F"/>
    <w:rsid w:val="00851FC8"/>
    <w:rsid w:val="00854A13"/>
    <w:rsid w:val="00855607"/>
    <w:rsid w:val="008556EC"/>
    <w:rsid w:val="00857DD2"/>
    <w:rsid w:val="00857DFF"/>
    <w:rsid w:val="0086103D"/>
    <w:rsid w:val="00861315"/>
    <w:rsid w:val="00861A92"/>
    <w:rsid w:val="0086207A"/>
    <w:rsid w:val="00864675"/>
    <w:rsid w:val="008652E7"/>
    <w:rsid w:val="008657B9"/>
    <w:rsid w:val="008658F3"/>
    <w:rsid w:val="0086624E"/>
    <w:rsid w:val="0087022B"/>
    <w:rsid w:val="008704B8"/>
    <w:rsid w:val="008709F5"/>
    <w:rsid w:val="0087135F"/>
    <w:rsid w:val="00872C7A"/>
    <w:rsid w:val="00872D94"/>
    <w:rsid w:val="008731D0"/>
    <w:rsid w:val="00874968"/>
    <w:rsid w:val="00875058"/>
    <w:rsid w:val="00875D06"/>
    <w:rsid w:val="00876807"/>
    <w:rsid w:val="00876E51"/>
    <w:rsid w:val="00876F87"/>
    <w:rsid w:val="0087700F"/>
    <w:rsid w:val="0087710D"/>
    <w:rsid w:val="00877132"/>
    <w:rsid w:val="0087749B"/>
    <w:rsid w:val="00880106"/>
    <w:rsid w:val="00880364"/>
    <w:rsid w:val="00880A8B"/>
    <w:rsid w:val="00880AC7"/>
    <w:rsid w:val="00881A79"/>
    <w:rsid w:val="00881B0A"/>
    <w:rsid w:val="00884815"/>
    <w:rsid w:val="008867B9"/>
    <w:rsid w:val="00890DCC"/>
    <w:rsid w:val="00891592"/>
    <w:rsid w:val="00891E9E"/>
    <w:rsid w:val="00893F87"/>
    <w:rsid w:val="00895306"/>
    <w:rsid w:val="00896AC7"/>
    <w:rsid w:val="00896C33"/>
    <w:rsid w:val="00897FB1"/>
    <w:rsid w:val="008A0B2D"/>
    <w:rsid w:val="008A253C"/>
    <w:rsid w:val="008A2E8E"/>
    <w:rsid w:val="008A2F68"/>
    <w:rsid w:val="008A3462"/>
    <w:rsid w:val="008A4DF9"/>
    <w:rsid w:val="008A55B8"/>
    <w:rsid w:val="008A55C6"/>
    <w:rsid w:val="008A5BF8"/>
    <w:rsid w:val="008A769D"/>
    <w:rsid w:val="008B20D8"/>
    <w:rsid w:val="008B430A"/>
    <w:rsid w:val="008B4346"/>
    <w:rsid w:val="008B44B3"/>
    <w:rsid w:val="008B4FA6"/>
    <w:rsid w:val="008B5282"/>
    <w:rsid w:val="008B7613"/>
    <w:rsid w:val="008B7C17"/>
    <w:rsid w:val="008C02A5"/>
    <w:rsid w:val="008C0DD7"/>
    <w:rsid w:val="008C0ED1"/>
    <w:rsid w:val="008C2160"/>
    <w:rsid w:val="008C2C95"/>
    <w:rsid w:val="008C2D01"/>
    <w:rsid w:val="008C40E6"/>
    <w:rsid w:val="008C42CF"/>
    <w:rsid w:val="008C55E0"/>
    <w:rsid w:val="008C72A0"/>
    <w:rsid w:val="008C75A1"/>
    <w:rsid w:val="008D03CB"/>
    <w:rsid w:val="008D0684"/>
    <w:rsid w:val="008D0F7A"/>
    <w:rsid w:val="008D2781"/>
    <w:rsid w:val="008D305C"/>
    <w:rsid w:val="008D3954"/>
    <w:rsid w:val="008D47F2"/>
    <w:rsid w:val="008D6876"/>
    <w:rsid w:val="008D68E4"/>
    <w:rsid w:val="008D7C2A"/>
    <w:rsid w:val="008E0506"/>
    <w:rsid w:val="008E0905"/>
    <w:rsid w:val="008E0B43"/>
    <w:rsid w:val="008E0CFF"/>
    <w:rsid w:val="008E11FA"/>
    <w:rsid w:val="008E1E21"/>
    <w:rsid w:val="008E2467"/>
    <w:rsid w:val="008E29EF"/>
    <w:rsid w:val="008E2FD4"/>
    <w:rsid w:val="008E468F"/>
    <w:rsid w:val="008E49DE"/>
    <w:rsid w:val="008E5214"/>
    <w:rsid w:val="008E52E3"/>
    <w:rsid w:val="008E568E"/>
    <w:rsid w:val="008E5D6B"/>
    <w:rsid w:val="008E76F0"/>
    <w:rsid w:val="008E7C47"/>
    <w:rsid w:val="008E7FED"/>
    <w:rsid w:val="008F0476"/>
    <w:rsid w:val="008F15FE"/>
    <w:rsid w:val="008F16DE"/>
    <w:rsid w:val="008F1ED4"/>
    <w:rsid w:val="008F1F8E"/>
    <w:rsid w:val="008F2107"/>
    <w:rsid w:val="008F2D29"/>
    <w:rsid w:val="008F4BAB"/>
    <w:rsid w:val="008F5187"/>
    <w:rsid w:val="008F5C77"/>
    <w:rsid w:val="008F60D8"/>
    <w:rsid w:val="008F6276"/>
    <w:rsid w:val="008F6B0B"/>
    <w:rsid w:val="008F75B4"/>
    <w:rsid w:val="009004EF"/>
    <w:rsid w:val="0090228A"/>
    <w:rsid w:val="00902727"/>
    <w:rsid w:val="00902AAB"/>
    <w:rsid w:val="00902B5B"/>
    <w:rsid w:val="00902E83"/>
    <w:rsid w:val="00903075"/>
    <w:rsid w:val="0090312B"/>
    <w:rsid w:val="00904BE1"/>
    <w:rsid w:val="00905332"/>
    <w:rsid w:val="00905A27"/>
    <w:rsid w:val="00907BEC"/>
    <w:rsid w:val="0091067F"/>
    <w:rsid w:val="00910FA8"/>
    <w:rsid w:val="00911D29"/>
    <w:rsid w:val="00913FD5"/>
    <w:rsid w:val="00914375"/>
    <w:rsid w:val="00914428"/>
    <w:rsid w:val="00915CDE"/>
    <w:rsid w:val="0091736D"/>
    <w:rsid w:val="00917F1C"/>
    <w:rsid w:val="00922D62"/>
    <w:rsid w:val="009239A0"/>
    <w:rsid w:val="00924D84"/>
    <w:rsid w:val="00924DA6"/>
    <w:rsid w:val="009260E0"/>
    <w:rsid w:val="00927715"/>
    <w:rsid w:val="0093037A"/>
    <w:rsid w:val="00930F18"/>
    <w:rsid w:val="0093199E"/>
    <w:rsid w:val="00933653"/>
    <w:rsid w:val="00934C71"/>
    <w:rsid w:val="0093548D"/>
    <w:rsid w:val="00936653"/>
    <w:rsid w:val="00936D35"/>
    <w:rsid w:val="00937D92"/>
    <w:rsid w:val="009402B3"/>
    <w:rsid w:val="009405BC"/>
    <w:rsid w:val="0094154D"/>
    <w:rsid w:val="00942E33"/>
    <w:rsid w:val="00943CFD"/>
    <w:rsid w:val="00946565"/>
    <w:rsid w:val="00946ECA"/>
    <w:rsid w:val="00947E4E"/>
    <w:rsid w:val="00950301"/>
    <w:rsid w:val="00950ED6"/>
    <w:rsid w:val="0095155F"/>
    <w:rsid w:val="00951AAB"/>
    <w:rsid w:val="00953041"/>
    <w:rsid w:val="009538EB"/>
    <w:rsid w:val="00954429"/>
    <w:rsid w:val="009563CE"/>
    <w:rsid w:val="009566DD"/>
    <w:rsid w:val="00957837"/>
    <w:rsid w:val="00961B1A"/>
    <w:rsid w:val="00963C36"/>
    <w:rsid w:val="00963D9C"/>
    <w:rsid w:val="00964918"/>
    <w:rsid w:val="00965ADB"/>
    <w:rsid w:val="009661D4"/>
    <w:rsid w:val="00967E76"/>
    <w:rsid w:val="00970652"/>
    <w:rsid w:val="00973C8A"/>
    <w:rsid w:val="00976328"/>
    <w:rsid w:val="0097680D"/>
    <w:rsid w:val="0097684A"/>
    <w:rsid w:val="00981308"/>
    <w:rsid w:val="00982438"/>
    <w:rsid w:val="00982682"/>
    <w:rsid w:val="00982B3B"/>
    <w:rsid w:val="009833E2"/>
    <w:rsid w:val="009836EE"/>
    <w:rsid w:val="0098404C"/>
    <w:rsid w:val="0098429E"/>
    <w:rsid w:val="0098503D"/>
    <w:rsid w:val="00985109"/>
    <w:rsid w:val="00985283"/>
    <w:rsid w:val="00985E0B"/>
    <w:rsid w:val="00987025"/>
    <w:rsid w:val="00987115"/>
    <w:rsid w:val="009909D2"/>
    <w:rsid w:val="00992339"/>
    <w:rsid w:val="009928D5"/>
    <w:rsid w:val="00992CEC"/>
    <w:rsid w:val="00994553"/>
    <w:rsid w:val="00995002"/>
    <w:rsid w:val="009954C8"/>
    <w:rsid w:val="00995992"/>
    <w:rsid w:val="00995F44"/>
    <w:rsid w:val="00997A50"/>
    <w:rsid w:val="009A017D"/>
    <w:rsid w:val="009A03E5"/>
    <w:rsid w:val="009A0F3B"/>
    <w:rsid w:val="009A1AF0"/>
    <w:rsid w:val="009A1BB4"/>
    <w:rsid w:val="009A2036"/>
    <w:rsid w:val="009A21C2"/>
    <w:rsid w:val="009A2628"/>
    <w:rsid w:val="009A3200"/>
    <w:rsid w:val="009A4466"/>
    <w:rsid w:val="009A7E47"/>
    <w:rsid w:val="009A7E54"/>
    <w:rsid w:val="009B0897"/>
    <w:rsid w:val="009B0A0A"/>
    <w:rsid w:val="009B0FB4"/>
    <w:rsid w:val="009B3C3D"/>
    <w:rsid w:val="009B4F73"/>
    <w:rsid w:val="009B7BD9"/>
    <w:rsid w:val="009C0C87"/>
    <w:rsid w:val="009C345D"/>
    <w:rsid w:val="009C499E"/>
    <w:rsid w:val="009C4E8B"/>
    <w:rsid w:val="009C51E1"/>
    <w:rsid w:val="009C5ADA"/>
    <w:rsid w:val="009C6F00"/>
    <w:rsid w:val="009C79BF"/>
    <w:rsid w:val="009C7B0D"/>
    <w:rsid w:val="009C7DD5"/>
    <w:rsid w:val="009D0D32"/>
    <w:rsid w:val="009D275F"/>
    <w:rsid w:val="009D3416"/>
    <w:rsid w:val="009D3604"/>
    <w:rsid w:val="009D5D2F"/>
    <w:rsid w:val="009D6A7F"/>
    <w:rsid w:val="009E0154"/>
    <w:rsid w:val="009E1A20"/>
    <w:rsid w:val="009E227D"/>
    <w:rsid w:val="009E4083"/>
    <w:rsid w:val="009E5019"/>
    <w:rsid w:val="009E77AD"/>
    <w:rsid w:val="009F003E"/>
    <w:rsid w:val="009F2AB6"/>
    <w:rsid w:val="009F336D"/>
    <w:rsid w:val="009F3A94"/>
    <w:rsid w:val="009F3B36"/>
    <w:rsid w:val="009F4251"/>
    <w:rsid w:val="009F4D4A"/>
    <w:rsid w:val="009F5603"/>
    <w:rsid w:val="009F635D"/>
    <w:rsid w:val="009F6409"/>
    <w:rsid w:val="009F6832"/>
    <w:rsid w:val="009F6E69"/>
    <w:rsid w:val="009F779D"/>
    <w:rsid w:val="00A00147"/>
    <w:rsid w:val="00A00C0D"/>
    <w:rsid w:val="00A025E2"/>
    <w:rsid w:val="00A03E3B"/>
    <w:rsid w:val="00A04AB7"/>
    <w:rsid w:val="00A04D32"/>
    <w:rsid w:val="00A04F1B"/>
    <w:rsid w:val="00A0501B"/>
    <w:rsid w:val="00A05797"/>
    <w:rsid w:val="00A05B2F"/>
    <w:rsid w:val="00A075C2"/>
    <w:rsid w:val="00A10FF1"/>
    <w:rsid w:val="00A11BA9"/>
    <w:rsid w:val="00A1231F"/>
    <w:rsid w:val="00A13E5C"/>
    <w:rsid w:val="00A14947"/>
    <w:rsid w:val="00A14A4A"/>
    <w:rsid w:val="00A16CCB"/>
    <w:rsid w:val="00A17A5E"/>
    <w:rsid w:val="00A2051C"/>
    <w:rsid w:val="00A220D0"/>
    <w:rsid w:val="00A23A96"/>
    <w:rsid w:val="00A30858"/>
    <w:rsid w:val="00A32A83"/>
    <w:rsid w:val="00A33029"/>
    <w:rsid w:val="00A336EF"/>
    <w:rsid w:val="00A337B4"/>
    <w:rsid w:val="00A3387F"/>
    <w:rsid w:val="00A33B51"/>
    <w:rsid w:val="00A33C52"/>
    <w:rsid w:val="00A34518"/>
    <w:rsid w:val="00A3572E"/>
    <w:rsid w:val="00A35C9F"/>
    <w:rsid w:val="00A368DB"/>
    <w:rsid w:val="00A4000A"/>
    <w:rsid w:val="00A404EB"/>
    <w:rsid w:val="00A423AA"/>
    <w:rsid w:val="00A4355E"/>
    <w:rsid w:val="00A43BF9"/>
    <w:rsid w:val="00A45FD2"/>
    <w:rsid w:val="00A460B0"/>
    <w:rsid w:val="00A50991"/>
    <w:rsid w:val="00A5109D"/>
    <w:rsid w:val="00A51AE0"/>
    <w:rsid w:val="00A51B80"/>
    <w:rsid w:val="00A52391"/>
    <w:rsid w:val="00A53EC6"/>
    <w:rsid w:val="00A55C0F"/>
    <w:rsid w:val="00A55E20"/>
    <w:rsid w:val="00A56B84"/>
    <w:rsid w:val="00A61838"/>
    <w:rsid w:val="00A62293"/>
    <w:rsid w:val="00A629BA"/>
    <w:rsid w:val="00A64778"/>
    <w:rsid w:val="00A6484F"/>
    <w:rsid w:val="00A655DA"/>
    <w:rsid w:val="00A65EDD"/>
    <w:rsid w:val="00A66A69"/>
    <w:rsid w:val="00A67BF3"/>
    <w:rsid w:val="00A71A86"/>
    <w:rsid w:val="00A72DFD"/>
    <w:rsid w:val="00A749BA"/>
    <w:rsid w:val="00A753FF"/>
    <w:rsid w:val="00A75D1E"/>
    <w:rsid w:val="00A77E3A"/>
    <w:rsid w:val="00A8085B"/>
    <w:rsid w:val="00A81DD6"/>
    <w:rsid w:val="00A82EE5"/>
    <w:rsid w:val="00A837D0"/>
    <w:rsid w:val="00A84ECF"/>
    <w:rsid w:val="00A86318"/>
    <w:rsid w:val="00A8713F"/>
    <w:rsid w:val="00A90636"/>
    <w:rsid w:val="00A90BA1"/>
    <w:rsid w:val="00A90E04"/>
    <w:rsid w:val="00A91C6A"/>
    <w:rsid w:val="00A922C6"/>
    <w:rsid w:val="00A923EB"/>
    <w:rsid w:val="00A92648"/>
    <w:rsid w:val="00A92DE6"/>
    <w:rsid w:val="00A93C91"/>
    <w:rsid w:val="00A97A9A"/>
    <w:rsid w:val="00A97C26"/>
    <w:rsid w:val="00A97D0B"/>
    <w:rsid w:val="00AA0243"/>
    <w:rsid w:val="00AA0671"/>
    <w:rsid w:val="00AA159D"/>
    <w:rsid w:val="00AA2531"/>
    <w:rsid w:val="00AA2CB8"/>
    <w:rsid w:val="00AA7163"/>
    <w:rsid w:val="00AA786E"/>
    <w:rsid w:val="00AA7A08"/>
    <w:rsid w:val="00AB006D"/>
    <w:rsid w:val="00AB0AA0"/>
    <w:rsid w:val="00AB0C82"/>
    <w:rsid w:val="00AB120B"/>
    <w:rsid w:val="00AB1E09"/>
    <w:rsid w:val="00AB210A"/>
    <w:rsid w:val="00AB4347"/>
    <w:rsid w:val="00AB5330"/>
    <w:rsid w:val="00AB57D4"/>
    <w:rsid w:val="00AB7747"/>
    <w:rsid w:val="00AC04E0"/>
    <w:rsid w:val="00AC05C1"/>
    <w:rsid w:val="00AC101A"/>
    <w:rsid w:val="00AC14CE"/>
    <w:rsid w:val="00AC22ED"/>
    <w:rsid w:val="00AC24B9"/>
    <w:rsid w:val="00AC2A56"/>
    <w:rsid w:val="00AC352B"/>
    <w:rsid w:val="00AC4D5A"/>
    <w:rsid w:val="00AC594B"/>
    <w:rsid w:val="00AC665D"/>
    <w:rsid w:val="00AC79C6"/>
    <w:rsid w:val="00AD055E"/>
    <w:rsid w:val="00AD0BCC"/>
    <w:rsid w:val="00AD0FDD"/>
    <w:rsid w:val="00AD1BD7"/>
    <w:rsid w:val="00AD1F06"/>
    <w:rsid w:val="00AD39A3"/>
    <w:rsid w:val="00AD423E"/>
    <w:rsid w:val="00AD45F7"/>
    <w:rsid w:val="00AD463E"/>
    <w:rsid w:val="00AD47A7"/>
    <w:rsid w:val="00AD49F1"/>
    <w:rsid w:val="00AD5297"/>
    <w:rsid w:val="00AD6390"/>
    <w:rsid w:val="00AD69F4"/>
    <w:rsid w:val="00AD7DAE"/>
    <w:rsid w:val="00AE3449"/>
    <w:rsid w:val="00AE36F9"/>
    <w:rsid w:val="00AE3966"/>
    <w:rsid w:val="00AE3DFC"/>
    <w:rsid w:val="00AE5C4B"/>
    <w:rsid w:val="00AE69FF"/>
    <w:rsid w:val="00AE787F"/>
    <w:rsid w:val="00AE78D2"/>
    <w:rsid w:val="00AE7A4E"/>
    <w:rsid w:val="00AF0CBF"/>
    <w:rsid w:val="00AF257F"/>
    <w:rsid w:val="00AF28E0"/>
    <w:rsid w:val="00AF33CF"/>
    <w:rsid w:val="00AF3759"/>
    <w:rsid w:val="00AF385D"/>
    <w:rsid w:val="00AF4D50"/>
    <w:rsid w:val="00AF4DB0"/>
    <w:rsid w:val="00AF6179"/>
    <w:rsid w:val="00AF747F"/>
    <w:rsid w:val="00AF7913"/>
    <w:rsid w:val="00B0034E"/>
    <w:rsid w:val="00B0093C"/>
    <w:rsid w:val="00B01BBB"/>
    <w:rsid w:val="00B03B1F"/>
    <w:rsid w:val="00B0529B"/>
    <w:rsid w:val="00B06706"/>
    <w:rsid w:val="00B123A7"/>
    <w:rsid w:val="00B1295A"/>
    <w:rsid w:val="00B12BA3"/>
    <w:rsid w:val="00B130D2"/>
    <w:rsid w:val="00B13873"/>
    <w:rsid w:val="00B13B97"/>
    <w:rsid w:val="00B175BA"/>
    <w:rsid w:val="00B17C29"/>
    <w:rsid w:val="00B20A45"/>
    <w:rsid w:val="00B21C5C"/>
    <w:rsid w:val="00B21F95"/>
    <w:rsid w:val="00B22C5C"/>
    <w:rsid w:val="00B22D46"/>
    <w:rsid w:val="00B2330E"/>
    <w:rsid w:val="00B23B74"/>
    <w:rsid w:val="00B24F30"/>
    <w:rsid w:val="00B25F29"/>
    <w:rsid w:val="00B266A9"/>
    <w:rsid w:val="00B2672B"/>
    <w:rsid w:val="00B26A6A"/>
    <w:rsid w:val="00B31510"/>
    <w:rsid w:val="00B31ABF"/>
    <w:rsid w:val="00B32F57"/>
    <w:rsid w:val="00B33BE3"/>
    <w:rsid w:val="00B349D0"/>
    <w:rsid w:val="00B36783"/>
    <w:rsid w:val="00B37C21"/>
    <w:rsid w:val="00B4087D"/>
    <w:rsid w:val="00B44B6D"/>
    <w:rsid w:val="00B44FF6"/>
    <w:rsid w:val="00B451CA"/>
    <w:rsid w:val="00B45428"/>
    <w:rsid w:val="00B459A0"/>
    <w:rsid w:val="00B47527"/>
    <w:rsid w:val="00B5029E"/>
    <w:rsid w:val="00B50D81"/>
    <w:rsid w:val="00B50FEF"/>
    <w:rsid w:val="00B53B5D"/>
    <w:rsid w:val="00B54107"/>
    <w:rsid w:val="00B54218"/>
    <w:rsid w:val="00B55413"/>
    <w:rsid w:val="00B57B62"/>
    <w:rsid w:val="00B6055E"/>
    <w:rsid w:val="00B61E06"/>
    <w:rsid w:val="00B6317D"/>
    <w:rsid w:val="00B63282"/>
    <w:rsid w:val="00B63699"/>
    <w:rsid w:val="00B6392E"/>
    <w:rsid w:val="00B65179"/>
    <w:rsid w:val="00B702BB"/>
    <w:rsid w:val="00B74F91"/>
    <w:rsid w:val="00B76AF1"/>
    <w:rsid w:val="00B7723F"/>
    <w:rsid w:val="00B772A2"/>
    <w:rsid w:val="00B77394"/>
    <w:rsid w:val="00B80534"/>
    <w:rsid w:val="00B81A05"/>
    <w:rsid w:val="00B83324"/>
    <w:rsid w:val="00B8375B"/>
    <w:rsid w:val="00B83D71"/>
    <w:rsid w:val="00B83EC9"/>
    <w:rsid w:val="00B8433C"/>
    <w:rsid w:val="00B846F5"/>
    <w:rsid w:val="00B84C89"/>
    <w:rsid w:val="00B85584"/>
    <w:rsid w:val="00B8623D"/>
    <w:rsid w:val="00B86E0A"/>
    <w:rsid w:val="00B87225"/>
    <w:rsid w:val="00B87233"/>
    <w:rsid w:val="00B87491"/>
    <w:rsid w:val="00B8767F"/>
    <w:rsid w:val="00B91107"/>
    <w:rsid w:val="00B9194C"/>
    <w:rsid w:val="00B930EA"/>
    <w:rsid w:val="00B9593F"/>
    <w:rsid w:val="00B97167"/>
    <w:rsid w:val="00BA0140"/>
    <w:rsid w:val="00BA0A34"/>
    <w:rsid w:val="00BA1778"/>
    <w:rsid w:val="00BA1CA1"/>
    <w:rsid w:val="00BA25B5"/>
    <w:rsid w:val="00BA29E9"/>
    <w:rsid w:val="00BA7142"/>
    <w:rsid w:val="00BA74A7"/>
    <w:rsid w:val="00BB0717"/>
    <w:rsid w:val="00BB0ADF"/>
    <w:rsid w:val="00BB1AB9"/>
    <w:rsid w:val="00BB1BA6"/>
    <w:rsid w:val="00BB237C"/>
    <w:rsid w:val="00BB2F7B"/>
    <w:rsid w:val="00BB3258"/>
    <w:rsid w:val="00BB402D"/>
    <w:rsid w:val="00BB41A3"/>
    <w:rsid w:val="00BB51EE"/>
    <w:rsid w:val="00BB61CF"/>
    <w:rsid w:val="00BC1871"/>
    <w:rsid w:val="00BC1EF8"/>
    <w:rsid w:val="00BC325C"/>
    <w:rsid w:val="00BC32CA"/>
    <w:rsid w:val="00BC32DC"/>
    <w:rsid w:val="00BC3470"/>
    <w:rsid w:val="00BC35B6"/>
    <w:rsid w:val="00BC4391"/>
    <w:rsid w:val="00BC53A1"/>
    <w:rsid w:val="00BD1268"/>
    <w:rsid w:val="00BD138E"/>
    <w:rsid w:val="00BD1B51"/>
    <w:rsid w:val="00BD3703"/>
    <w:rsid w:val="00BD3B53"/>
    <w:rsid w:val="00BD4596"/>
    <w:rsid w:val="00BD5F9E"/>
    <w:rsid w:val="00BD712A"/>
    <w:rsid w:val="00BD78C9"/>
    <w:rsid w:val="00BE0859"/>
    <w:rsid w:val="00BE0E01"/>
    <w:rsid w:val="00BE1405"/>
    <w:rsid w:val="00BE312D"/>
    <w:rsid w:val="00BE486B"/>
    <w:rsid w:val="00BE52B1"/>
    <w:rsid w:val="00BE7148"/>
    <w:rsid w:val="00BE7CDA"/>
    <w:rsid w:val="00BF1C20"/>
    <w:rsid w:val="00BF41A7"/>
    <w:rsid w:val="00C01263"/>
    <w:rsid w:val="00C030EB"/>
    <w:rsid w:val="00C047AC"/>
    <w:rsid w:val="00C05336"/>
    <w:rsid w:val="00C067EC"/>
    <w:rsid w:val="00C068D7"/>
    <w:rsid w:val="00C07213"/>
    <w:rsid w:val="00C10031"/>
    <w:rsid w:val="00C1008E"/>
    <w:rsid w:val="00C10203"/>
    <w:rsid w:val="00C10226"/>
    <w:rsid w:val="00C10578"/>
    <w:rsid w:val="00C115CF"/>
    <w:rsid w:val="00C135BC"/>
    <w:rsid w:val="00C14D6A"/>
    <w:rsid w:val="00C14E76"/>
    <w:rsid w:val="00C15C95"/>
    <w:rsid w:val="00C173DF"/>
    <w:rsid w:val="00C17EF1"/>
    <w:rsid w:val="00C20709"/>
    <w:rsid w:val="00C20A90"/>
    <w:rsid w:val="00C20BAF"/>
    <w:rsid w:val="00C20C1F"/>
    <w:rsid w:val="00C216AF"/>
    <w:rsid w:val="00C21AAD"/>
    <w:rsid w:val="00C2251E"/>
    <w:rsid w:val="00C22977"/>
    <w:rsid w:val="00C2374C"/>
    <w:rsid w:val="00C23963"/>
    <w:rsid w:val="00C23A5E"/>
    <w:rsid w:val="00C2596A"/>
    <w:rsid w:val="00C25B35"/>
    <w:rsid w:val="00C2651E"/>
    <w:rsid w:val="00C274FC"/>
    <w:rsid w:val="00C27537"/>
    <w:rsid w:val="00C30BBB"/>
    <w:rsid w:val="00C328FE"/>
    <w:rsid w:val="00C334ED"/>
    <w:rsid w:val="00C33507"/>
    <w:rsid w:val="00C33858"/>
    <w:rsid w:val="00C3419E"/>
    <w:rsid w:val="00C348CC"/>
    <w:rsid w:val="00C348E7"/>
    <w:rsid w:val="00C40789"/>
    <w:rsid w:val="00C40A65"/>
    <w:rsid w:val="00C415D7"/>
    <w:rsid w:val="00C41EBB"/>
    <w:rsid w:val="00C429C8"/>
    <w:rsid w:val="00C4409D"/>
    <w:rsid w:val="00C44E72"/>
    <w:rsid w:val="00C45A06"/>
    <w:rsid w:val="00C47E5B"/>
    <w:rsid w:val="00C5077F"/>
    <w:rsid w:val="00C52163"/>
    <w:rsid w:val="00C52E3B"/>
    <w:rsid w:val="00C535C3"/>
    <w:rsid w:val="00C5370F"/>
    <w:rsid w:val="00C53C51"/>
    <w:rsid w:val="00C5425C"/>
    <w:rsid w:val="00C54680"/>
    <w:rsid w:val="00C552F7"/>
    <w:rsid w:val="00C554BF"/>
    <w:rsid w:val="00C56521"/>
    <w:rsid w:val="00C60A03"/>
    <w:rsid w:val="00C61E4B"/>
    <w:rsid w:val="00C62479"/>
    <w:rsid w:val="00C62563"/>
    <w:rsid w:val="00C641EC"/>
    <w:rsid w:val="00C64BFF"/>
    <w:rsid w:val="00C64EEE"/>
    <w:rsid w:val="00C672EF"/>
    <w:rsid w:val="00C67F35"/>
    <w:rsid w:val="00C704E9"/>
    <w:rsid w:val="00C70594"/>
    <w:rsid w:val="00C70AFE"/>
    <w:rsid w:val="00C71429"/>
    <w:rsid w:val="00C71F9F"/>
    <w:rsid w:val="00C72C79"/>
    <w:rsid w:val="00C73C45"/>
    <w:rsid w:val="00C742DA"/>
    <w:rsid w:val="00C763C9"/>
    <w:rsid w:val="00C7681F"/>
    <w:rsid w:val="00C770A4"/>
    <w:rsid w:val="00C80057"/>
    <w:rsid w:val="00C813A9"/>
    <w:rsid w:val="00C81969"/>
    <w:rsid w:val="00C81E4B"/>
    <w:rsid w:val="00C82232"/>
    <w:rsid w:val="00C82913"/>
    <w:rsid w:val="00C8391A"/>
    <w:rsid w:val="00C83B70"/>
    <w:rsid w:val="00C83D3E"/>
    <w:rsid w:val="00C84786"/>
    <w:rsid w:val="00C84D0F"/>
    <w:rsid w:val="00C84F0C"/>
    <w:rsid w:val="00C85421"/>
    <w:rsid w:val="00C859AC"/>
    <w:rsid w:val="00C862E9"/>
    <w:rsid w:val="00C87BD0"/>
    <w:rsid w:val="00C9220E"/>
    <w:rsid w:val="00C9493F"/>
    <w:rsid w:val="00C94FF5"/>
    <w:rsid w:val="00C96678"/>
    <w:rsid w:val="00C972B1"/>
    <w:rsid w:val="00CA084A"/>
    <w:rsid w:val="00CA2CCE"/>
    <w:rsid w:val="00CA2F69"/>
    <w:rsid w:val="00CA3FC0"/>
    <w:rsid w:val="00CA43FD"/>
    <w:rsid w:val="00CA45BA"/>
    <w:rsid w:val="00CA564A"/>
    <w:rsid w:val="00CA5926"/>
    <w:rsid w:val="00CA6DC1"/>
    <w:rsid w:val="00CA7C4F"/>
    <w:rsid w:val="00CA7DCC"/>
    <w:rsid w:val="00CA7EF8"/>
    <w:rsid w:val="00CB0009"/>
    <w:rsid w:val="00CB1C7C"/>
    <w:rsid w:val="00CB2639"/>
    <w:rsid w:val="00CB35A2"/>
    <w:rsid w:val="00CB372F"/>
    <w:rsid w:val="00CB5865"/>
    <w:rsid w:val="00CB60A9"/>
    <w:rsid w:val="00CB69A8"/>
    <w:rsid w:val="00CC012F"/>
    <w:rsid w:val="00CC1C74"/>
    <w:rsid w:val="00CC2E5E"/>
    <w:rsid w:val="00CC4270"/>
    <w:rsid w:val="00CC489B"/>
    <w:rsid w:val="00CC4A7F"/>
    <w:rsid w:val="00CC5535"/>
    <w:rsid w:val="00CC58E0"/>
    <w:rsid w:val="00CC6107"/>
    <w:rsid w:val="00CD0270"/>
    <w:rsid w:val="00CD039E"/>
    <w:rsid w:val="00CD07B1"/>
    <w:rsid w:val="00CD0847"/>
    <w:rsid w:val="00CD0DB9"/>
    <w:rsid w:val="00CD1AD8"/>
    <w:rsid w:val="00CD2BCD"/>
    <w:rsid w:val="00CD2DD5"/>
    <w:rsid w:val="00CD3A4C"/>
    <w:rsid w:val="00CD40BA"/>
    <w:rsid w:val="00CD4D47"/>
    <w:rsid w:val="00CE10E9"/>
    <w:rsid w:val="00CE194C"/>
    <w:rsid w:val="00CE2910"/>
    <w:rsid w:val="00CE3A87"/>
    <w:rsid w:val="00CE3E03"/>
    <w:rsid w:val="00CE5393"/>
    <w:rsid w:val="00CE5537"/>
    <w:rsid w:val="00CE751A"/>
    <w:rsid w:val="00CE774D"/>
    <w:rsid w:val="00CF0F34"/>
    <w:rsid w:val="00CF10AE"/>
    <w:rsid w:val="00CF2F6F"/>
    <w:rsid w:val="00CF36BE"/>
    <w:rsid w:val="00CF3B17"/>
    <w:rsid w:val="00CF4572"/>
    <w:rsid w:val="00CF4657"/>
    <w:rsid w:val="00CF6000"/>
    <w:rsid w:val="00CF7155"/>
    <w:rsid w:val="00D003F3"/>
    <w:rsid w:val="00D00522"/>
    <w:rsid w:val="00D01498"/>
    <w:rsid w:val="00D01EC1"/>
    <w:rsid w:val="00D0364F"/>
    <w:rsid w:val="00D04763"/>
    <w:rsid w:val="00D05EA9"/>
    <w:rsid w:val="00D06834"/>
    <w:rsid w:val="00D06871"/>
    <w:rsid w:val="00D103FF"/>
    <w:rsid w:val="00D10B4A"/>
    <w:rsid w:val="00D11438"/>
    <w:rsid w:val="00D149AD"/>
    <w:rsid w:val="00D15FB8"/>
    <w:rsid w:val="00D16593"/>
    <w:rsid w:val="00D16C76"/>
    <w:rsid w:val="00D16C79"/>
    <w:rsid w:val="00D21861"/>
    <w:rsid w:val="00D227D4"/>
    <w:rsid w:val="00D232EE"/>
    <w:rsid w:val="00D23456"/>
    <w:rsid w:val="00D243AC"/>
    <w:rsid w:val="00D26573"/>
    <w:rsid w:val="00D26925"/>
    <w:rsid w:val="00D308ED"/>
    <w:rsid w:val="00D33396"/>
    <w:rsid w:val="00D33FCC"/>
    <w:rsid w:val="00D35272"/>
    <w:rsid w:val="00D36193"/>
    <w:rsid w:val="00D36D86"/>
    <w:rsid w:val="00D40FFE"/>
    <w:rsid w:val="00D41792"/>
    <w:rsid w:val="00D428AA"/>
    <w:rsid w:val="00D42A9A"/>
    <w:rsid w:val="00D43285"/>
    <w:rsid w:val="00D43B25"/>
    <w:rsid w:val="00D44857"/>
    <w:rsid w:val="00D458C0"/>
    <w:rsid w:val="00D45F52"/>
    <w:rsid w:val="00D46D13"/>
    <w:rsid w:val="00D471E0"/>
    <w:rsid w:val="00D4777D"/>
    <w:rsid w:val="00D47C30"/>
    <w:rsid w:val="00D50A34"/>
    <w:rsid w:val="00D51453"/>
    <w:rsid w:val="00D53EFA"/>
    <w:rsid w:val="00D54078"/>
    <w:rsid w:val="00D54CAC"/>
    <w:rsid w:val="00D55417"/>
    <w:rsid w:val="00D61E21"/>
    <w:rsid w:val="00D65427"/>
    <w:rsid w:val="00D656D0"/>
    <w:rsid w:val="00D6688D"/>
    <w:rsid w:val="00D70665"/>
    <w:rsid w:val="00D706F9"/>
    <w:rsid w:val="00D71738"/>
    <w:rsid w:val="00D71A5E"/>
    <w:rsid w:val="00D725FB"/>
    <w:rsid w:val="00D738C2"/>
    <w:rsid w:val="00D76B69"/>
    <w:rsid w:val="00D77A00"/>
    <w:rsid w:val="00D80036"/>
    <w:rsid w:val="00D82C32"/>
    <w:rsid w:val="00D82F8D"/>
    <w:rsid w:val="00D83526"/>
    <w:rsid w:val="00D836CA"/>
    <w:rsid w:val="00D857ED"/>
    <w:rsid w:val="00D8668E"/>
    <w:rsid w:val="00D875AE"/>
    <w:rsid w:val="00D90B5D"/>
    <w:rsid w:val="00D90EE3"/>
    <w:rsid w:val="00D93660"/>
    <w:rsid w:val="00D93D51"/>
    <w:rsid w:val="00D94486"/>
    <w:rsid w:val="00D94A7C"/>
    <w:rsid w:val="00D95896"/>
    <w:rsid w:val="00D970FE"/>
    <w:rsid w:val="00DA1BE1"/>
    <w:rsid w:val="00DA2D5A"/>
    <w:rsid w:val="00DA4F64"/>
    <w:rsid w:val="00DA4FFE"/>
    <w:rsid w:val="00DA60D4"/>
    <w:rsid w:val="00DB2983"/>
    <w:rsid w:val="00DB3FF6"/>
    <w:rsid w:val="00DB4B8B"/>
    <w:rsid w:val="00DB5BF9"/>
    <w:rsid w:val="00DB5E80"/>
    <w:rsid w:val="00DC0196"/>
    <w:rsid w:val="00DC102F"/>
    <w:rsid w:val="00DC1257"/>
    <w:rsid w:val="00DC185C"/>
    <w:rsid w:val="00DC21AD"/>
    <w:rsid w:val="00DC3DC0"/>
    <w:rsid w:val="00DC433E"/>
    <w:rsid w:val="00DC464C"/>
    <w:rsid w:val="00DC4E38"/>
    <w:rsid w:val="00DC5B2B"/>
    <w:rsid w:val="00DC5E29"/>
    <w:rsid w:val="00DC7733"/>
    <w:rsid w:val="00DC7DDD"/>
    <w:rsid w:val="00DD1390"/>
    <w:rsid w:val="00DD318D"/>
    <w:rsid w:val="00DD3743"/>
    <w:rsid w:val="00DD3F39"/>
    <w:rsid w:val="00DD4C5D"/>
    <w:rsid w:val="00DD552E"/>
    <w:rsid w:val="00DE03C0"/>
    <w:rsid w:val="00DE463D"/>
    <w:rsid w:val="00DE5A0E"/>
    <w:rsid w:val="00DE6B2C"/>
    <w:rsid w:val="00DE78D8"/>
    <w:rsid w:val="00DF1051"/>
    <w:rsid w:val="00DF2E12"/>
    <w:rsid w:val="00DF3E57"/>
    <w:rsid w:val="00DF514A"/>
    <w:rsid w:val="00DF52EC"/>
    <w:rsid w:val="00DF5E8B"/>
    <w:rsid w:val="00DF6165"/>
    <w:rsid w:val="00DF6690"/>
    <w:rsid w:val="00DF6804"/>
    <w:rsid w:val="00DF70D9"/>
    <w:rsid w:val="00E02FB3"/>
    <w:rsid w:val="00E0358D"/>
    <w:rsid w:val="00E04323"/>
    <w:rsid w:val="00E04654"/>
    <w:rsid w:val="00E052C4"/>
    <w:rsid w:val="00E0625C"/>
    <w:rsid w:val="00E070A2"/>
    <w:rsid w:val="00E075C4"/>
    <w:rsid w:val="00E10852"/>
    <w:rsid w:val="00E1195C"/>
    <w:rsid w:val="00E12198"/>
    <w:rsid w:val="00E13D06"/>
    <w:rsid w:val="00E14586"/>
    <w:rsid w:val="00E14A56"/>
    <w:rsid w:val="00E14CB3"/>
    <w:rsid w:val="00E151B7"/>
    <w:rsid w:val="00E15667"/>
    <w:rsid w:val="00E164A2"/>
    <w:rsid w:val="00E17A85"/>
    <w:rsid w:val="00E17AB6"/>
    <w:rsid w:val="00E212EE"/>
    <w:rsid w:val="00E24CD2"/>
    <w:rsid w:val="00E26444"/>
    <w:rsid w:val="00E2656A"/>
    <w:rsid w:val="00E27341"/>
    <w:rsid w:val="00E32599"/>
    <w:rsid w:val="00E3315E"/>
    <w:rsid w:val="00E337F6"/>
    <w:rsid w:val="00E3391D"/>
    <w:rsid w:val="00E33F5A"/>
    <w:rsid w:val="00E36B0B"/>
    <w:rsid w:val="00E412D0"/>
    <w:rsid w:val="00E42095"/>
    <w:rsid w:val="00E42CB1"/>
    <w:rsid w:val="00E4524B"/>
    <w:rsid w:val="00E454D3"/>
    <w:rsid w:val="00E45CE8"/>
    <w:rsid w:val="00E5106A"/>
    <w:rsid w:val="00E526CF"/>
    <w:rsid w:val="00E52772"/>
    <w:rsid w:val="00E529E8"/>
    <w:rsid w:val="00E53CB8"/>
    <w:rsid w:val="00E53FC1"/>
    <w:rsid w:val="00E54A3C"/>
    <w:rsid w:val="00E553FE"/>
    <w:rsid w:val="00E56322"/>
    <w:rsid w:val="00E60982"/>
    <w:rsid w:val="00E62C62"/>
    <w:rsid w:val="00E6352E"/>
    <w:rsid w:val="00E650DE"/>
    <w:rsid w:val="00E654C1"/>
    <w:rsid w:val="00E655AD"/>
    <w:rsid w:val="00E65D97"/>
    <w:rsid w:val="00E65FFE"/>
    <w:rsid w:val="00E672AE"/>
    <w:rsid w:val="00E67369"/>
    <w:rsid w:val="00E7038D"/>
    <w:rsid w:val="00E72A20"/>
    <w:rsid w:val="00E72A5A"/>
    <w:rsid w:val="00E73097"/>
    <w:rsid w:val="00E73354"/>
    <w:rsid w:val="00E75934"/>
    <w:rsid w:val="00E75E82"/>
    <w:rsid w:val="00E8005F"/>
    <w:rsid w:val="00E801B8"/>
    <w:rsid w:val="00E8020F"/>
    <w:rsid w:val="00E81EA5"/>
    <w:rsid w:val="00E821F5"/>
    <w:rsid w:val="00E822DC"/>
    <w:rsid w:val="00E82A1C"/>
    <w:rsid w:val="00E852E4"/>
    <w:rsid w:val="00E85667"/>
    <w:rsid w:val="00E8651E"/>
    <w:rsid w:val="00E86660"/>
    <w:rsid w:val="00E86748"/>
    <w:rsid w:val="00E903DA"/>
    <w:rsid w:val="00E9041C"/>
    <w:rsid w:val="00E90C09"/>
    <w:rsid w:val="00E920A8"/>
    <w:rsid w:val="00E9242D"/>
    <w:rsid w:val="00E92C6F"/>
    <w:rsid w:val="00E95F46"/>
    <w:rsid w:val="00E9689D"/>
    <w:rsid w:val="00EA0F94"/>
    <w:rsid w:val="00EA1CA3"/>
    <w:rsid w:val="00EA302B"/>
    <w:rsid w:val="00EA470C"/>
    <w:rsid w:val="00EA6575"/>
    <w:rsid w:val="00EA7D8D"/>
    <w:rsid w:val="00EB0192"/>
    <w:rsid w:val="00EB11C9"/>
    <w:rsid w:val="00EB1F36"/>
    <w:rsid w:val="00EB273B"/>
    <w:rsid w:val="00EB340E"/>
    <w:rsid w:val="00EB46F1"/>
    <w:rsid w:val="00EB5255"/>
    <w:rsid w:val="00EB5C47"/>
    <w:rsid w:val="00EB64C1"/>
    <w:rsid w:val="00EC0088"/>
    <w:rsid w:val="00EC0651"/>
    <w:rsid w:val="00EC0B77"/>
    <w:rsid w:val="00EC1DD6"/>
    <w:rsid w:val="00EC2E05"/>
    <w:rsid w:val="00EC3FB2"/>
    <w:rsid w:val="00EC43B4"/>
    <w:rsid w:val="00EC4C3B"/>
    <w:rsid w:val="00EC4EEB"/>
    <w:rsid w:val="00EC5761"/>
    <w:rsid w:val="00EC5C03"/>
    <w:rsid w:val="00EC6022"/>
    <w:rsid w:val="00EC70D1"/>
    <w:rsid w:val="00ED0551"/>
    <w:rsid w:val="00ED0639"/>
    <w:rsid w:val="00ED1A15"/>
    <w:rsid w:val="00ED37C0"/>
    <w:rsid w:val="00ED3B8C"/>
    <w:rsid w:val="00ED5116"/>
    <w:rsid w:val="00ED7C17"/>
    <w:rsid w:val="00ED7F66"/>
    <w:rsid w:val="00EE07BD"/>
    <w:rsid w:val="00EE0F5F"/>
    <w:rsid w:val="00EE2778"/>
    <w:rsid w:val="00EE5B89"/>
    <w:rsid w:val="00EE5CEE"/>
    <w:rsid w:val="00EE5DF9"/>
    <w:rsid w:val="00EF1CCA"/>
    <w:rsid w:val="00EF4755"/>
    <w:rsid w:val="00EF554B"/>
    <w:rsid w:val="00EF631D"/>
    <w:rsid w:val="00EF7135"/>
    <w:rsid w:val="00F002E2"/>
    <w:rsid w:val="00F027DB"/>
    <w:rsid w:val="00F029A9"/>
    <w:rsid w:val="00F052A4"/>
    <w:rsid w:val="00F05719"/>
    <w:rsid w:val="00F05B9C"/>
    <w:rsid w:val="00F05CD0"/>
    <w:rsid w:val="00F06FB5"/>
    <w:rsid w:val="00F10641"/>
    <w:rsid w:val="00F10D97"/>
    <w:rsid w:val="00F12386"/>
    <w:rsid w:val="00F12E17"/>
    <w:rsid w:val="00F14A7A"/>
    <w:rsid w:val="00F15354"/>
    <w:rsid w:val="00F17160"/>
    <w:rsid w:val="00F17D56"/>
    <w:rsid w:val="00F17DCA"/>
    <w:rsid w:val="00F22985"/>
    <w:rsid w:val="00F2358B"/>
    <w:rsid w:val="00F2367F"/>
    <w:rsid w:val="00F25F67"/>
    <w:rsid w:val="00F26745"/>
    <w:rsid w:val="00F27D59"/>
    <w:rsid w:val="00F31975"/>
    <w:rsid w:val="00F3383E"/>
    <w:rsid w:val="00F34A15"/>
    <w:rsid w:val="00F35BE0"/>
    <w:rsid w:val="00F361E0"/>
    <w:rsid w:val="00F36783"/>
    <w:rsid w:val="00F367EF"/>
    <w:rsid w:val="00F40696"/>
    <w:rsid w:val="00F431AA"/>
    <w:rsid w:val="00F44264"/>
    <w:rsid w:val="00F4463F"/>
    <w:rsid w:val="00F44EDF"/>
    <w:rsid w:val="00F45B7B"/>
    <w:rsid w:val="00F46290"/>
    <w:rsid w:val="00F465A7"/>
    <w:rsid w:val="00F46F77"/>
    <w:rsid w:val="00F5021B"/>
    <w:rsid w:val="00F50B7C"/>
    <w:rsid w:val="00F52441"/>
    <w:rsid w:val="00F550E6"/>
    <w:rsid w:val="00F558F0"/>
    <w:rsid w:val="00F55BC0"/>
    <w:rsid w:val="00F55E04"/>
    <w:rsid w:val="00F60E1E"/>
    <w:rsid w:val="00F61473"/>
    <w:rsid w:val="00F61A7E"/>
    <w:rsid w:val="00F6388E"/>
    <w:rsid w:val="00F63FF9"/>
    <w:rsid w:val="00F64077"/>
    <w:rsid w:val="00F6422A"/>
    <w:rsid w:val="00F67274"/>
    <w:rsid w:val="00F71ED6"/>
    <w:rsid w:val="00F73558"/>
    <w:rsid w:val="00F73945"/>
    <w:rsid w:val="00F74345"/>
    <w:rsid w:val="00F748CF"/>
    <w:rsid w:val="00F74D38"/>
    <w:rsid w:val="00F7595D"/>
    <w:rsid w:val="00F80A0A"/>
    <w:rsid w:val="00F81517"/>
    <w:rsid w:val="00F82B19"/>
    <w:rsid w:val="00F834FC"/>
    <w:rsid w:val="00F83A61"/>
    <w:rsid w:val="00F83EB1"/>
    <w:rsid w:val="00F8413F"/>
    <w:rsid w:val="00F8450B"/>
    <w:rsid w:val="00F84EE1"/>
    <w:rsid w:val="00F85E61"/>
    <w:rsid w:val="00F874C3"/>
    <w:rsid w:val="00F910B7"/>
    <w:rsid w:val="00F9212D"/>
    <w:rsid w:val="00F942D2"/>
    <w:rsid w:val="00F9503C"/>
    <w:rsid w:val="00F956A3"/>
    <w:rsid w:val="00F95E7C"/>
    <w:rsid w:val="00F965DA"/>
    <w:rsid w:val="00F9739E"/>
    <w:rsid w:val="00FA0F03"/>
    <w:rsid w:val="00FA157F"/>
    <w:rsid w:val="00FA1B8D"/>
    <w:rsid w:val="00FA406A"/>
    <w:rsid w:val="00FA4406"/>
    <w:rsid w:val="00FA4ADF"/>
    <w:rsid w:val="00FA6595"/>
    <w:rsid w:val="00FA691B"/>
    <w:rsid w:val="00FA7985"/>
    <w:rsid w:val="00FB02D8"/>
    <w:rsid w:val="00FB05F3"/>
    <w:rsid w:val="00FB1230"/>
    <w:rsid w:val="00FB1480"/>
    <w:rsid w:val="00FB3964"/>
    <w:rsid w:val="00FB4DD7"/>
    <w:rsid w:val="00FB503A"/>
    <w:rsid w:val="00FB516C"/>
    <w:rsid w:val="00FB647E"/>
    <w:rsid w:val="00FB785E"/>
    <w:rsid w:val="00FC12C7"/>
    <w:rsid w:val="00FC164F"/>
    <w:rsid w:val="00FC1A20"/>
    <w:rsid w:val="00FC262A"/>
    <w:rsid w:val="00FC2E79"/>
    <w:rsid w:val="00FC3CB2"/>
    <w:rsid w:val="00FC4BED"/>
    <w:rsid w:val="00FC4E7B"/>
    <w:rsid w:val="00FC6917"/>
    <w:rsid w:val="00FC6DBE"/>
    <w:rsid w:val="00FD0236"/>
    <w:rsid w:val="00FD18F4"/>
    <w:rsid w:val="00FD1F1B"/>
    <w:rsid w:val="00FD1F24"/>
    <w:rsid w:val="00FD2734"/>
    <w:rsid w:val="00FD2A45"/>
    <w:rsid w:val="00FD2F7A"/>
    <w:rsid w:val="00FD3EC8"/>
    <w:rsid w:val="00FD45E8"/>
    <w:rsid w:val="00FD54DB"/>
    <w:rsid w:val="00FD58D5"/>
    <w:rsid w:val="00FD5D12"/>
    <w:rsid w:val="00FD5FAE"/>
    <w:rsid w:val="00FD619F"/>
    <w:rsid w:val="00FD6F03"/>
    <w:rsid w:val="00FD7E16"/>
    <w:rsid w:val="00FE09B1"/>
    <w:rsid w:val="00FE284A"/>
    <w:rsid w:val="00FE28BC"/>
    <w:rsid w:val="00FE3186"/>
    <w:rsid w:val="00FE31BF"/>
    <w:rsid w:val="00FE358F"/>
    <w:rsid w:val="00FE490C"/>
    <w:rsid w:val="00FE79CD"/>
    <w:rsid w:val="00FF0B53"/>
    <w:rsid w:val="00FF2DD4"/>
    <w:rsid w:val="00FF351F"/>
    <w:rsid w:val="00FF6469"/>
    <w:rsid w:val="00FF6B24"/>
    <w:rsid w:val="01290F7E"/>
    <w:rsid w:val="015D1E09"/>
    <w:rsid w:val="01D3464F"/>
    <w:rsid w:val="02697903"/>
    <w:rsid w:val="02F96569"/>
    <w:rsid w:val="03AF786B"/>
    <w:rsid w:val="03EA7B21"/>
    <w:rsid w:val="05F83EAE"/>
    <w:rsid w:val="063E7D85"/>
    <w:rsid w:val="07293586"/>
    <w:rsid w:val="07295285"/>
    <w:rsid w:val="07636392"/>
    <w:rsid w:val="07770C56"/>
    <w:rsid w:val="07AB0A7A"/>
    <w:rsid w:val="080D354F"/>
    <w:rsid w:val="08202AE5"/>
    <w:rsid w:val="092217DD"/>
    <w:rsid w:val="093A7294"/>
    <w:rsid w:val="0A263993"/>
    <w:rsid w:val="0A2D3AC2"/>
    <w:rsid w:val="0AA755DF"/>
    <w:rsid w:val="0B120D44"/>
    <w:rsid w:val="0BD27BF6"/>
    <w:rsid w:val="0C3B3C7D"/>
    <w:rsid w:val="0CAB2EAE"/>
    <w:rsid w:val="0D621C7D"/>
    <w:rsid w:val="0E73034D"/>
    <w:rsid w:val="0F13775A"/>
    <w:rsid w:val="0F5F45FE"/>
    <w:rsid w:val="0F9A112B"/>
    <w:rsid w:val="106D2F64"/>
    <w:rsid w:val="10B63710"/>
    <w:rsid w:val="10F10820"/>
    <w:rsid w:val="111C2F7A"/>
    <w:rsid w:val="11665CA1"/>
    <w:rsid w:val="130C3BDD"/>
    <w:rsid w:val="13951726"/>
    <w:rsid w:val="14396509"/>
    <w:rsid w:val="14DD2C3C"/>
    <w:rsid w:val="158F520F"/>
    <w:rsid w:val="16087E1D"/>
    <w:rsid w:val="17701D14"/>
    <w:rsid w:val="17735226"/>
    <w:rsid w:val="189F624C"/>
    <w:rsid w:val="1A1C66C0"/>
    <w:rsid w:val="1A42393B"/>
    <w:rsid w:val="1AAD45DE"/>
    <w:rsid w:val="1B046F80"/>
    <w:rsid w:val="1B3267B5"/>
    <w:rsid w:val="1B40161D"/>
    <w:rsid w:val="1B441859"/>
    <w:rsid w:val="1B6606B1"/>
    <w:rsid w:val="1C00080C"/>
    <w:rsid w:val="1C5E7925"/>
    <w:rsid w:val="1CFD070F"/>
    <w:rsid w:val="1D5F6196"/>
    <w:rsid w:val="1D6132A5"/>
    <w:rsid w:val="1D8E56D5"/>
    <w:rsid w:val="1E7A43DA"/>
    <w:rsid w:val="1FE7539E"/>
    <w:rsid w:val="20671BE0"/>
    <w:rsid w:val="20963CB8"/>
    <w:rsid w:val="20A81A1B"/>
    <w:rsid w:val="20B07FB6"/>
    <w:rsid w:val="20B646FB"/>
    <w:rsid w:val="213B74B1"/>
    <w:rsid w:val="215A2310"/>
    <w:rsid w:val="21DE318A"/>
    <w:rsid w:val="21EF5B80"/>
    <w:rsid w:val="22576990"/>
    <w:rsid w:val="22F47480"/>
    <w:rsid w:val="23DE1C48"/>
    <w:rsid w:val="240210CD"/>
    <w:rsid w:val="24BF09F7"/>
    <w:rsid w:val="252D53FE"/>
    <w:rsid w:val="25EC2D81"/>
    <w:rsid w:val="277057A2"/>
    <w:rsid w:val="29206EB8"/>
    <w:rsid w:val="29595666"/>
    <w:rsid w:val="29874881"/>
    <w:rsid w:val="29E325E0"/>
    <w:rsid w:val="2A3A0527"/>
    <w:rsid w:val="2A452503"/>
    <w:rsid w:val="2AD40F00"/>
    <w:rsid w:val="2BA936A8"/>
    <w:rsid w:val="2C315A5A"/>
    <w:rsid w:val="2C4B1C25"/>
    <w:rsid w:val="2D9E56F5"/>
    <w:rsid w:val="2E667F96"/>
    <w:rsid w:val="2E8226AB"/>
    <w:rsid w:val="2FD065E6"/>
    <w:rsid w:val="2FD96870"/>
    <w:rsid w:val="30580BC9"/>
    <w:rsid w:val="30877CD3"/>
    <w:rsid w:val="311E2ED7"/>
    <w:rsid w:val="315619EE"/>
    <w:rsid w:val="315C449C"/>
    <w:rsid w:val="31B82709"/>
    <w:rsid w:val="31D05482"/>
    <w:rsid w:val="32400B34"/>
    <w:rsid w:val="329E6876"/>
    <w:rsid w:val="333015F2"/>
    <w:rsid w:val="334B6320"/>
    <w:rsid w:val="33D934D4"/>
    <w:rsid w:val="33FE2F6A"/>
    <w:rsid w:val="340E07E5"/>
    <w:rsid w:val="34235BF7"/>
    <w:rsid w:val="347C6573"/>
    <w:rsid w:val="358C5FA8"/>
    <w:rsid w:val="35C15DF1"/>
    <w:rsid w:val="35D94152"/>
    <w:rsid w:val="36074A7F"/>
    <w:rsid w:val="36923549"/>
    <w:rsid w:val="36B75FBF"/>
    <w:rsid w:val="36BD0C45"/>
    <w:rsid w:val="37E00298"/>
    <w:rsid w:val="38B302F9"/>
    <w:rsid w:val="38F12CD3"/>
    <w:rsid w:val="38F94775"/>
    <w:rsid w:val="392971ED"/>
    <w:rsid w:val="39325651"/>
    <w:rsid w:val="393B578F"/>
    <w:rsid w:val="3A872856"/>
    <w:rsid w:val="3B23087F"/>
    <w:rsid w:val="3B3763D1"/>
    <w:rsid w:val="3C2F6E1E"/>
    <w:rsid w:val="3C4F64BA"/>
    <w:rsid w:val="3CDA245A"/>
    <w:rsid w:val="3D1E06B7"/>
    <w:rsid w:val="3EDA0523"/>
    <w:rsid w:val="407A6407"/>
    <w:rsid w:val="41C93330"/>
    <w:rsid w:val="4200449D"/>
    <w:rsid w:val="423A3BCC"/>
    <w:rsid w:val="424E57D2"/>
    <w:rsid w:val="42B26C49"/>
    <w:rsid w:val="433A6FE6"/>
    <w:rsid w:val="43480868"/>
    <w:rsid w:val="4350713C"/>
    <w:rsid w:val="436653E0"/>
    <w:rsid w:val="43C4431A"/>
    <w:rsid w:val="44B951CC"/>
    <w:rsid w:val="44CD14E0"/>
    <w:rsid w:val="44F20B0B"/>
    <w:rsid w:val="452E5F4C"/>
    <w:rsid w:val="45612018"/>
    <w:rsid w:val="458946E9"/>
    <w:rsid w:val="45A47C0E"/>
    <w:rsid w:val="46577FD6"/>
    <w:rsid w:val="46D955A7"/>
    <w:rsid w:val="47133957"/>
    <w:rsid w:val="47A07E0C"/>
    <w:rsid w:val="4870272E"/>
    <w:rsid w:val="49DC7715"/>
    <w:rsid w:val="4A023139"/>
    <w:rsid w:val="4A7B576F"/>
    <w:rsid w:val="4AF561A9"/>
    <w:rsid w:val="4C4A0649"/>
    <w:rsid w:val="4C7E5ECA"/>
    <w:rsid w:val="4C876AA5"/>
    <w:rsid w:val="4D0E00FB"/>
    <w:rsid w:val="4D176606"/>
    <w:rsid w:val="4DEC4FB0"/>
    <w:rsid w:val="4E075D8A"/>
    <w:rsid w:val="4EC00FAD"/>
    <w:rsid w:val="4F9843DC"/>
    <w:rsid w:val="4FC62A8C"/>
    <w:rsid w:val="4FE20F0D"/>
    <w:rsid w:val="4FE51552"/>
    <w:rsid w:val="502E7DE9"/>
    <w:rsid w:val="50504C4B"/>
    <w:rsid w:val="509C6E7C"/>
    <w:rsid w:val="5162104E"/>
    <w:rsid w:val="53A039CC"/>
    <w:rsid w:val="53A1505A"/>
    <w:rsid w:val="54063E08"/>
    <w:rsid w:val="543437E8"/>
    <w:rsid w:val="54F73313"/>
    <w:rsid w:val="54F80955"/>
    <w:rsid w:val="555170A7"/>
    <w:rsid w:val="5587536D"/>
    <w:rsid w:val="559B174B"/>
    <w:rsid w:val="55CE0CF4"/>
    <w:rsid w:val="56B22A9C"/>
    <w:rsid w:val="57B72A76"/>
    <w:rsid w:val="57C3426C"/>
    <w:rsid w:val="57CE1F93"/>
    <w:rsid w:val="588743D1"/>
    <w:rsid w:val="5887701A"/>
    <w:rsid w:val="59C0439F"/>
    <w:rsid w:val="59CF2E66"/>
    <w:rsid w:val="5ABE2233"/>
    <w:rsid w:val="5B0B6E54"/>
    <w:rsid w:val="5BDF5D95"/>
    <w:rsid w:val="5BFE7528"/>
    <w:rsid w:val="5DFA616D"/>
    <w:rsid w:val="5E2467F1"/>
    <w:rsid w:val="5ED30E8D"/>
    <w:rsid w:val="5F12562E"/>
    <w:rsid w:val="5F1A2B43"/>
    <w:rsid w:val="5FB837BB"/>
    <w:rsid w:val="60CC405A"/>
    <w:rsid w:val="61A92915"/>
    <w:rsid w:val="61E215D8"/>
    <w:rsid w:val="621B3775"/>
    <w:rsid w:val="62364782"/>
    <w:rsid w:val="6394356A"/>
    <w:rsid w:val="63C61B2C"/>
    <w:rsid w:val="63D40BE9"/>
    <w:rsid w:val="64102431"/>
    <w:rsid w:val="64A5243A"/>
    <w:rsid w:val="64F531DE"/>
    <w:rsid w:val="65373578"/>
    <w:rsid w:val="66B91896"/>
    <w:rsid w:val="671F124A"/>
    <w:rsid w:val="677A33C6"/>
    <w:rsid w:val="681F6961"/>
    <w:rsid w:val="68610A2F"/>
    <w:rsid w:val="687548AE"/>
    <w:rsid w:val="68805514"/>
    <w:rsid w:val="69316E2F"/>
    <w:rsid w:val="694E2071"/>
    <w:rsid w:val="69766163"/>
    <w:rsid w:val="697A3B33"/>
    <w:rsid w:val="69D44760"/>
    <w:rsid w:val="6A520EC7"/>
    <w:rsid w:val="6A743C7E"/>
    <w:rsid w:val="6AF87E20"/>
    <w:rsid w:val="6B322639"/>
    <w:rsid w:val="6C636C38"/>
    <w:rsid w:val="6DB34098"/>
    <w:rsid w:val="6DB545B6"/>
    <w:rsid w:val="6DE02FB4"/>
    <w:rsid w:val="6E1D2124"/>
    <w:rsid w:val="6E514CED"/>
    <w:rsid w:val="6EB563D5"/>
    <w:rsid w:val="6ED92677"/>
    <w:rsid w:val="6F225983"/>
    <w:rsid w:val="6FFC5590"/>
    <w:rsid w:val="706D1DD0"/>
    <w:rsid w:val="70856B87"/>
    <w:rsid w:val="70D527EE"/>
    <w:rsid w:val="715B5300"/>
    <w:rsid w:val="71D27F8A"/>
    <w:rsid w:val="72553024"/>
    <w:rsid w:val="73122968"/>
    <w:rsid w:val="731F5D5E"/>
    <w:rsid w:val="73C51AD5"/>
    <w:rsid w:val="741E793C"/>
    <w:rsid w:val="745E3944"/>
    <w:rsid w:val="759F6BE5"/>
    <w:rsid w:val="7635099D"/>
    <w:rsid w:val="76BC619B"/>
    <w:rsid w:val="77762421"/>
    <w:rsid w:val="77B56B1F"/>
    <w:rsid w:val="780F09F4"/>
    <w:rsid w:val="78A90480"/>
    <w:rsid w:val="7A364017"/>
    <w:rsid w:val="7A8265E1"/>
    <w:rsid w:val="7ACD1873"/>
    <w:rsid w:val="7B686D42"/>
    <w:rsid w:val="7B841746"/>
    <w:rsid w:val="7C6C5AC7"/>
    <w:rsid w:val="7CC6544B"/>
    <w:rsid w:val="7D0239FF"/>
    <w:rsid w:val="7D5E40CD"/>
    <w:rsid w:val="7D7C41E5"/>
    <w:rsid w:val="7DCD56F2"/>
    <w:rsid w:val="7F001CE7"/>
    <w:rsid w:val="7F3B065C"/>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580"/>
        <o:r id="V:Rule2" type="connector" idref="#_x0000_s1583"/>
        <o:r id="V:Rule3" type="connector" idref="#_x0000_s1584"/>
        <o:r id="V:Rule4" type="connector" idref="#_x0000_s1585"/>
        <o:r id="V:Rule5" type="connector" idref="#_x0000_s1586"/>
        <o:r id="V:Rule6" type="connector" idref="#_x0000_s1589"/>
        <o:r id="V:Rule7" type="connector" idref="#_x0000_s1592"/>
        <o:r id="V:Rule8" type="connector" idref="#_x0000_s1593"/>
        <o:r id="V:Rule9" type="connector" idref="#_x0000_s1596"/>
        <o:r id="V:Rule10" type="connector" idref="#_x0000_s1599"/>
        <o:r id="V:Rule11" type="connector" idref="#_x0000_s1600"/>
        <o:r id="V:Rule12" type="connector" idref="#_x0000_s1601"/>
        <o:r id="V:Rule13" type="connector" idref="#_x0000_s1603"/>
        <o:r id="V:Rule14" type="connector" idref="#_x0000_s1604"/>
        <o:r id="V:Rule15" type="connector" idref="#_x0000_s1607"/>
        <o:r id="V:Rule16" type="connector" idref="#_x0000_s1609"/>
        <o:r id="V:Rule17" type="connector" idref="#_x0000_s1612"/>
        <o:r id="V:Rule18" type="connector" idref="#_x0000_s1613"/>
        <o:r id="V:Rule19" type="connector" idref="#_x0000_s1614"/>
        <o:r id="V:Rule20" type="connector" idref="#_x0000_s1616"/>
        <o:r id="V:Rule21" type="connector" idref="#_x0000_s1620"/>
        <o:r id="V:Rule22" type="connector" idref="#_x0000_s1621"/>
        <o:r id="V:Rule23" type="connector" idref="#_x0000_s1624"/>
        <o:r id="V:Rule24" type="connector" idref="#_x0000_s1625"/>
        <o:r id="V:Rule25" type="connector" idref="#_x0000_s1626"/>
        <o:r id="V:Rule26" type="connector" idref="#_x0000_s1628"/>
        <o:r id="V:Rule27" type="connector" idref="#_x0000_s1634"/>
        <o:r id="V:Rule28" type="connector" idref="#_x0000_s1638"/>
        <o:r id="V:Rule29" type="connector" idref="#_x0000_s1640"/>
        <o:r id="V:Rule30" type="connector" idref="#_x0000_s1642"/>
        <o:r id="V:Rule31" type="connector" idref="#_x0000_s1643"/>
        <o:r id="V:Rule32" type="connector" idref="#_x0000_s1644"/>
        <o:r id="V:Rule33" type="connector" idref="#_x0000_s1649"/>
        <o:r id="V:Rule34" type="connector" idref="#_x0000_s1651"/>
        <o:r id="V:Rule35" type="connector" idref="#_x0000_s1652"/>
        <o:r id="V:Rule36" type="connector" idref="#_x0000_s1655"/>
        <o:r id="V:Rule37" type="connector" idref="#_x0000_s1657"/>
        <o:r id="V:Rule38" type="connector" idref="#_x0000_s1659"/>
        <o:r id="V:Rule39" type="connector" idref="#_x0000_s1660"/>
        <o:r id="V:Rule40" type="connector" idref="#_x0000_s1662"/>
      </o:rules>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0" w:semiHidden="0" w:name="Normal Indent" w:locked="1"/>
    <w:lsdException w:unhideWhenUsed="0" w:uiPriority="0" w:semiHidden="0" w:name="footnote text" w:locked="1"/>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iPriority="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semiHidden="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unhideWhenUsed="0"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unhideWhenUsed="0" w:uiPriority="0"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qFormat="1" w:unhideWhenUsed="0" w:uiPriority="0" w:semiHidden="0" w:name="Body Text 2" w:locked="1"/>
    <w:lsdException w:unhideWhenUsed="0" w:uiPriority="0" w:semiHidden="0" w:name="Body Text 3" w:locked="1"/>
    <w:lsdException w:qFormat="1" w:unhideWhenUsed="0" w:uiPriority="0" w:semiHidden="0" w:name="Body Text Indent 2" w:locked="1"/>
    <w:lsdException w:qFormat="1" w:unhideWhenUsed="0" w:uiPriority="0" w:semiHidden="0" w:name="Body Text Indent 3" w:locked="1"/>
    <w:lsdException w:qFormat="1" w:unhideWhenUsed="0" w:uiPriority="0" w:semiHidden="0" w:name="Block Text" w:locked="1"/>
    <w:lsdException w:qFormat="1" w:uiPriority="99" w:semiHidden="0" w:name="Hyperlink" w:locked="1"/>
    <w:lsdException w:unhideWhenUsed="0" w:uiPriority="0" w:semiHidden="0" w:name="FollowedHyperlink" w:locked="1"/>
    <w:lsdException w:qFormat="1" w:unhideWhenUsed="0" w:uiPriority="0" w:semiHidden="0" w:name="Strong" w:locked="1"/>
    <w:lsdException w:qFormat="1" w:unhideWhenUsed="0" w:uiPriority="2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99"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qFormat="1" w:unhideWhenUsed="0" w:uiPriority="0" w:semiHidden="0" w:name="Balloon Text"/>
    <w:lsdException w:qFormat="1" w:unhideWhenUsed="0" w:uiPriority="0" w:semiHidden="0" w:name="Table Grid"/>
    <w:lsdException w:unhideWhenUsed="0" w:uiPriority="0" w:semiHidden="0" w:name="Table Theme" w:locked="1"/>
    <w:lsdException w:qFormat="1" w:uiPriority="99" w:semiHidden="0"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54"/>
    <w:unhideWhenUsed/>
    <w:qFormat/>
    <w:locked/>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customStyle="1" w:styleId="2">
    <w:name w:val="BlockQuote"/>
    <w:basedOn w:val="1"/>
    <w:qFormat/>
    <w:uiPriority w:val="0"/>
    <w:pPr>
      <w:widowControl/>
      <w:spacing w:before="100" w:beforeAutospacing="1" w:after="100" w:afterAutospacing="1" w:line="300" w:lineRule="exact"/>
      <w:ind w:left="-96" w:leftChars="-40" w:right="-16" w:firstLine="482" w:firstLineChars="200"/>
      <w:textAlignment w:val="baseline"/>
    </w:pPr>
    <w:rPr>
      <w:rFonts w:ascii="宋体" w:hAnsi="宋体" w:eastAsia="FangSong_GB2312" w:cs="宋体"/>
      <w:sz w:val="28"/>
      <w:szCs w:val="28"/>
    </w:rPr>
  </w:style>
  <w:style w:type="paragraph" w:styleId="5">
    <w:name w:val="Normal Indent"/>
    <w:basedOn w:val="1"/>
    <w:link w:val="52"/>
    <w:qFormat/>
    <w:locked/>
    <w:uiPriority w:val="0"/>
    <w:pPr>
      <w:ind w:firstLine="420"/>
    </w:pPr>
    <w:rPr>
      <w:rFonts w:ascii="Calibri" w:hAnsi="Calibri"/>
      <w:szCs w:val="20"/>
    </w:rPr>
  </w:style>
  <w:style w:type="paragraph" w:styleId="6">
    <w:name w:val="annotation text"/>
    <w:basedOn w:val="1"/>
    <w:link w:val="35"/>
    <w:qFormat/>
    <w:uiPriority w:val="0"/>
    <w:pPr>
      <w:jc w:val="left"/>
    </w:pPr>
    <w:rPr>
      <w:kern w:val="0"/>
      <w:sz w:val="24"/>
      <w:szCs w:val="20"/>
    </w:rPr>
  </w:style>
  <w:style w:type="paragraph" w:styleId="7">
    <w:name w:val="Body Text"/>
    <w:basedOn w:val="1"/>
    <w:link w:val="34"/>
    <w:qFormat/>
    <w:uiPriority w:val="0"/>
    <w:pPr>
      <w:widowControl/>
      <w:snapToGrid w:val="0"/>
      <w:spacing w:before="60" w:after="160" w:line="259" w:lineRule="auto"/>
      <w:ind w:right="113"/>
    </w:pPr>
    <w:rPr>
      <w:kern w:val="0"/>
      <w:sz w:val="18"/>
      <w:szCs w:val="20"/>
    </w:rPr>
  </w:style>
  <w:style w:type="paragraph" w:styleId="8">
    <w:name w:val="Body Text Indent"/>
    <w:basedOn w:val="1"/>
    <w:link w:val="43"/>
    <w:qFormat/>
    <w:uiPriority w:val="0"/>
    <w:pPr>
      <w:spacing w:after="120"/>
      <w:ind w:left="420" w:leftChars="200"/>
    </w:pPr>
    <w:rPr>
      <w:kern w:val="0"/>
      <w:sz w:val="24"/>
      <w:szCs w:val="20"/>
    </w:rPr>
  </w:style>
  <w:style w:type="paragraph" w:styleId="9">
    <w:name w:val="Block Text"/>
    <w:basedOn w:val="1"/>
    <w:qFormat/>
    <w:locked/>
    <w:uiPriority w:val="0"/>
    <w:pPr>
      <w:spacing w:after="120"/>
      <w:ind w:left="1440" w:leftChars="700" w:right="1440" w:rightChars="700"/>
    </w:pPr>
    <w:rPr>
      <w:rFonts w:ascii="Calibri" w:hAnsi="Calibri"/>
      <w:szCs w:val="20"/>
    </w:rPr>
  </w:style>
  <w:style w:type="paragraph" w:styleId="10">
    <w:name w:val="Plain Text"/>
    <w:basedOn w:val="1"/>
    <w:next w:val="11"/>
    <w:link w:val="55"/>
    <w:qFormat/>
    <w:locked/>
    <w:uiPriority w:val="0"/>
    <w:rPr>
      <w:rFonts w:ascii="宋体" w:hAnsi="Courier New"/>
      <w:szCs w:val="20"/>
    </w:rPr>
  </w:style>
  <w:style w:type="paragraph" w:styleId="11">
    <w:name w:val="toc 1"/>
    <w:basedOn w:val="1"/>
    <w:next w:val="1"/>
    <w:qFormat/>
    <w:locked/>
    <w:uiPriority w:val="39"/>
    <w:pPr>
      <w:spacing w:before="120" w:after="120"/>
      <w:jc w:val="left"/>
    </w:pPr>
    <w:rPr>
      <w:rFonts w:ascii="Calibri" w:hAnsi="Calibri"/>
      <w:b/>
      <w:bCs/>
      <w:caps/>
      <w:sz w:val="20"/>
      <w:szCs w:val="20"/>
    </w:rPr>
  </w:style>
  <w:style w:type="paragraph" w:styleId="12">
    <w:name w:val="Date"/>
    <w:basedOn w:val="1"/>
    <w:next w:val="1"/>
    <w:link w:val="30"/>
    <w:qFormat/>
    <w:uiPriority w:val="0"/>
    <w:pPr>
      <w:ind w:left="100" w:leftChars="2500"/>
    </w:pPr>
    <w:rPr>
      <w:kern w:val="0"/>
      <w:sz w:val="24"/>
      <w:szCs w:val="20"/>
    </w:rPr>
  </w:style>
  <w:style w:type="paragraph" w:styleId="13">
    <w:name w:val="Body Text Indent 2"/>
    <w:basedOn w:val="1"/>
    <w:link w:val="56"/>
    <w:qFormat/>
    <w:locked/>
    <w:uiPriority w:val="0"/>
    <w:pPr>
      <w:spacing w:line="500" w:lineRule="exact"/>
      <w:ind w:firstLine="480" w:firstLineChars="200"/>
    </w:pPr>
    <w:rPr>
      <w:rFonts w:ascii="宋体" w:hAnsi="Calibri"/>
      <w:bCs/>
      <w:sz w:val="24"/>
      <w:szCs w:val="20"/>
    </w:rPr>
  </w:style>
  <w:style w:type="paragraph" w:styleId="14">
    <w:name w:val="Balloon Text"/>
    <w:basedOn w:val="1"/>
    <w:link w:val="39"/>
    <w:qFormat/>
    <w:uiPriority w:val="0"/>
    <w:rPr>
      <w:kern w:val="0"/>
      <w:sz w:val="18"/>
      <w:szCs w:val="20"/>
    </w:rPr>
  </w:style>
  <w:style w:type="paragraph" w:styleId="15">
    <w:name w:val="footer"/>
    <w:basedOn w:val="1"/>
    <w:link w:val="29"/>
    <w:qFormat/>
    <w:uiPriority w:val="99"/>
    <w:pPr>
      <w:tabs>
        <w:tab w:val="center" w:pos="4153"/>
        <w:tab w:val="right" w:pos="8306"/>
      </w:tabs>
      <w:snapToGrid w:val="0"/>
      <w:jc w:val="left"/>
    </w:pPr>
    <w:rPr>
      <w:kern w:val="0"/>
      <w:sz w:val="18"/>
      <w:szCs w:val="20"/>
    </w:rPr>
  </w:style>
  <w:style w:type="paragraph" w:styleId="16">
    <w:name w:val="header"/>
    <w:basedOn w:val="1"/>
    <w:link w:val="41"/>
    <w:qFormat/>
    <w:uiPriority w:val="0"/>
    <w:pPr>
      <w:tabs>
        <w:tab w:val="center" w:pos="4153"/>
        <w:tab w:val="right" w:pos="8306"/>
      </w:tabs>
      <w:snapToGrid w:val="0"/>
      <w:jc w:val="center"/>
    </w:pPr>
    <w:rPr>
      <w:kern w:val="0"/>
      <w:sz w:val="18"/>
      <w:szCs w:val="20"/>
    </w:rPr>
  </w:style>
  <w:style w:type="paragraph" w:styleId="17">
    <w:name w:val="Body Text Indent 3"/>
    <w:basedOn w:val="1"/>
    <w:link w:val="57"/>
    <w:qFormat/>
    <w:locked/>
    <w:uiPriority w:val="0"/>
    <w:pPr>
      <w:spacing w:line="360" w:lineRule="auto"/>
      <w:ind w:firstLine="471" w:firstLineChars="200"/>
    </w:pPr>
    <w:rPr>
      <w:rFonts w:ascii="宋体" w:hAnsi="宋体"/>
      <w:sz w:val="24"/>
      <w:szCs w:val="20"/>
    </w:rPr>
  </w:style>
  <w:style w:type="paragraph" w:styleId="18">
    <w:name w:val="Body Text 2"/>
    <w:basedOn w:val="1"/>
    <w:link w:val="47"/>
    <w:qFormat/>
    <w:locked/>
    <w:uiPriority w:val="0"/>
    <w:pPr>
      <w:spacing w:after="120" w:line="480" w:lineRule="auto"/>
    </w:pPr>
  </w:style>
  <w:style w:type="paragraph" w:styleId="19">
    <w:name w:val="Normal (Web)"/>
    <w:basedOn w:val="1"/>
    <w:link w:val="32"/>
    <w:qFormat/>
    <w:uiPriority w:val="99"/>
    <w:pPr>
      <w:widowControl/>
      <w:spacing w:before="100" w:beforeAutospacing="1" w:after="100" w:afterAutospacing="1"/>
      <w:jc w:val="left"/>
    </w:pPr>
    <w:rPr>
      <w:rFonts w:ascii="宋体" w:hAnsi="宋体"/>
      <w:kern w:val="0"/>
      <w:sz w:val="24"/>
      <w:szCs w:val="20"/>
    </w:rPr>
  </w:style>
  <w:style w:type="paragraph" w:styleId="20">
    <w:name w:val="annotation subject"/>
    <w:basedOn w:val="6"/>
    <w:next w:val="6"/>
    <w:link w:val="40"/>
    <w:qFormat/>
    <w:uiPriority w:val="0"/>
    <w:rPr>
      <w:b/>
    </w:rPr>
  </w:style>
  <w:style w:type="paragraph" w:styleId="21">
    <w:name w:val="Body Text First Indent 2"/>
    <w:basedOn w:val="8"/>
    <w:link w:val="58"/>
    <w:qFormat/>
    <w:locked/>
    <w:uiPriority w:val="0"/>
    <w:pPr>
      <w:ind w:firstLine="420" w:firstLineChars="200"/>
    </w:pPr>
    <w:rPr>
      <w:rFonts w:ascii="Calibri" w:hAnsi="Calibri" w:eastAsia="楷体_GB2312"/>
      <w:color w:val="000000"/>
      <w:kern w:val="2"/>
      <w:sz w:val="21"/>
    </w:rPr>
  </w:style>
  <w:style w:type="table" w:styleId="23">
    <w:name w:val="Table Grid"/>
    <w:basedOn w:val="22"/>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page number"/>
    <w:basedOn w:val="24"/>
    <w:qFormat/>
    <w:locked/>
    <w:uiPriority w:val="0"/>
  </w:style>
  <w:style w:type="character" w:styleId="26">
    <w:name w:val="Emphasis"/>
    <w:basedOn w:val="24"/>
    <w:qFormat/>
    <w:locked/>
    <w:uiPriority w:val="20"/>
    <w:rPr>
      <w:i/>
      <w:iCs/>
    </w:rPr>
  </w:style>
  <w:style w:type="character" w:styleId="27">
    <w:name w:val="Hyperlink"/>
    <w:basedOn w:val="24"/>
    <w:unhideWhenUsed/>
    <w:qFormat/>
    <w:locked/>
    <w:uiPriority w:val="99"/>
    <w:rPr>
      <w:color w:val="0000FF"/>
      <w:u w:val="single"/>
    </w:rPr>
  </w:style>
  <w:style w:type="character" w:styleId="28">
    <w:name w:val="annotation reference"/>
    <w:qFormat/>
    <w:uiPriority w:val="0"/>
    <w:rPr>
      <w:sz w:val="21"/>
    </w:rPr>
  </w:style>
  <w:style w:type="character" w:customStyle="1" w:styleId="29">
    <w:name w:val="页脚 Char"/>
    <w:link w:val="15"/>
    <w:qFormat/>
    <w:locked/>
    <w:uiPriority w:val="99"/>
    <w:rPr>
      <w:sz w:val="18"/>
    </w:rPr>
  </w:style>
  <w:style w:type="character" w:customStyle="1" w:styleId="30">
    <w:name w:val="日期 Char"/>
    <w:link w:val="12"/>
    <w:qFormat/>
    <w:locked/>
    <w:uiPriority w:val="0"/>
    <w:rPr>
      <w:rFonts w:ascii="Times New Roman" w:hAnsi="Times New Roman" w:eastAsia="宋体"/>
      <w:sz w:val="24"/>
    </w:rPr>
  </w:style>
  <w:style w:type="character" w:customStyle="1" w:styleId="31">
    <w:name w:val="页脚 字符"/>
    <w:basedOn w:val="24"/>
    <w:qFormat/>
    <w:uiPriority w:val="99"/>
  </w:style>
  <w:style w:type="character" w:customStyle="1" w:styleId="32">
    <w:name w:val="普通(网站) Char"/>
    <w:link w:val="19"/>
    <w:qFormat/>
    <w:locked/>
    <w:uiPriority w:val="0"/>
    <w:rPr>
      <w:rFonts w:ascii="宋体" w:hAnsi="宋体" w:eastAsia="宋体"/>
      <w:sz w:val="24"/>
    </w:rPr>
  </w:style>
  <w:style w:type="character" w:customStyle="1" w:styleId="33">
    <w:name w:val="正文文本 字符1"/>
    <w:semiHidden/>
    <w:qFormat/>
    <w:uiPriority w:val="0"/>
    <w:rPr>
      <w:rFonts w:ascii="Times New Roman" w:hAnsi="Times New Roman" w:eastAsia="宋体"/>
      <w:sz w:val="24"/>
    </w:rPr>
  </w:style>
  <w:style w:type="character" w:customStyle="1" w:styleId="34">
    <w:name w:val="正文文本 Char"/>
    <w:link w:val="7"/>
    <w:qFormat/>
    <w:locked/>
    <w:uiPriority w:val="0"/>
    <w:rPr>
      <w:sz w:val="18"/>
    </w:rPr>
  </w:style>
  <w:style w:type="character" w:customStyle="1" w:styleId="35">
    <w:name w:val="批注文字 Char1"/>
    <w:link w:val="6"/>
    <w:qFormat/>
    <w:locked/>
    <w:uiPriority w:val="0"/>
    <w:rPr>
      <w:rFonts w:ascii="Times New Roman" w:hAnsi="Times New Roman" w:eastAsia="宋体"/>
      <w:sz w:val="24"/>
    </w:rPr>
  </w:style>
  <w:style w:type="character" w:customStyle="1" w:styleId="36">
    <w:name w:val="表格 Char"/>
    <w:link w:val="37"/>
    <w:qFormat/>
    <w:locked/>
    <w:uiPriority w:val="0"/>
    <w:rPr>
      <w:rFonts w:ascii="宋体"/>
      <w:sz w:val="21"/>
    </w:rPr>
  </w:style>
  <w:style w:type="paragraph" w:customStyle="1" w:styleId="37">
    <w:name w:val="表格"/>
    <w:basedOn w:val="1"/>
    <w:next w:val="1"/>
    <w:link w:val="36"/>
    <w:qFormat/>
    <w:uiPriority w:val="0"/>
    <w:pPr>
      <w:adjustRightInd w:val="0"/>
      <w:snapToGrid w:val="0"/>
      <w:spacing w:beforeLines="10" w:afterLines="10" w:line="259" w:lineRule="auto"/>
      <w:jc w:val="center"/>
    </w:pPr>
    <w:rPr>
      <w:rFonts w:ascii="宋体"/>
      <w:kern w:val="0"/>
      <w:szCs w:val="20"/>
    </w:rPr>
  </w:style>
  <w:style w:type="character" w:customStyle="1" w:styleId="38">
    <w:name w:val="日期 字符"/>
    <w:semiHidden/>
    <w:qFormat/>
    <w:uiPriority w:val="0"/>
    <w:rPr>
      <w:rFonts w:ascii="Times New Roman" w:hAnsi="Times New Roman" w:eastAsia="宋体"/>
      <w:sz w:val="24"/>
    </w:rPr>
  </w:style>
  <w:style w:type="character" w:customStyle="1" w:styleId="39">
    <w:name w:val="批注框文本 Char1"/>
    <w:link w:val="14"/>
    <w:semiHidden/>
    <w:qFormat/>
    <w:locked/>
    <w:uiPriority w:val="0"/>
    <w:rPr>
      <w:rFonts w:ascii="Times New Roman" w:hAnsi="Times New Roman" w:eastAsia="宋体"/>
      <w:sz w:val="18"/>
    </w:rPr>
  </w:style>
  <w:style w:type="character" w:customStyle="1" w:styleId="40">
    <w:name w:val="批注主题 Char1"/>
    <w:link w:val="20"/>
    <w:semiHidden/>
    <w:qFormat/>
    <w:locked/>
    <w:uiPriority w:val="0"/>
    <w:rPr>
      <w:rFonts w:ascii="Times New Roman" w:hAnsi="Times New Roman" w:eastAsia="宋体"/>
      <w:b/>
      <w:kern w:val="2"/>
      <w:sz w:val="24"/>
    </w:rPr>
  </w:style>
  <w:style w:type="character" w:customStyle="1" w:styleId="41">
    <w:name w:val="页眉 Char1"/>
    <w:link w:val="16"/>
    <w:qFormat/>
    <w:locked/>
    <w:uiPriority w:val="0"/>
    <w:rPr>
      <w:sz w:val="18"/>
    </w:rPr>
  </w:style>
  <w:style w:type="character" w:customStyle="1" w:styleId="42">
    <w:name w:val="批注文字 字符1"/>
    <w:semiHidden/>
    <w:qFormat/>
    <w:uiPriority w:val="0"/>
    <w:rPr>
      <w:rFonts w:ascii="Times New Roman" w:hAnsi="Times New Roman" w:eastAsia="宋体"/>
      <w:sz w:val="24"/>
    </w:rPr>
  </w:style>
  <w:style w:type="character" w:customStyle="1" w:styleId="43">
    <w:name w:val="正文文本缩进 Char"/>
    <w:link w:val="8"/>
    <w:semiHidden/>
    <w:qFormat/>
    <w:locked/>
    <w:uiPriority w:val="0"/>
    <w:rPr>
      <w:rFonts w:ascii="Times New Roman" w:hAnsi="Times New Roman" w:eastAsia="宋体"/>
      <w:sz w:val="24"/>
    </w:rPr>
  </w:style>
  <w:style w:type="paragraph" w:customStyle="1" w:styleId="44">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45">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46">
    <w:name w:val="表格内文字"/>
    <w:basedOn w:val="1"/>
    <w:link w:val="81"/>
    <w:qFormat/>
    <w:uiPriority w:val="0"/>
    <w:pPr>
      <w:widowControl/>
      <w:tabs>
        <w:tab w:val="left" w:pos="0"/>
      </w:tabs>
      <w:snapToGrid w:val="0"/>
      <w:jc w:val="center"/>
    </w:pPr>
    <w:rPr>
      <w:rFonts w:ascii="FangSong_GB2312" w:hAnsi="宋体" w:eastAsia="FangSong_GB2312" w:cs="宋体"/>
      <w:w w:val="90"/>
      <w:kern w:val="18"/>
      <w:sz w:val="24"/>
    </w:rPr>
  </w:style>
  <w:style w:type="character" w:customStyle="1" w:styleId="47">
    <w:name w:val="正文文本 2 Char"/>
    <w:basedOn w:val="24"/>
    <w:link w:val="18"/>
    <w:qFormat/>
    <w:uiPriority w:val="0"/>
    <w:rPr>
      <w:kern w:val="2"/>
      <w:sz w:val="21"/>
      <w:szCs w:val="24"/>
    </w:rPr>
  </w:style>
  <w:style w:type="character" w:customStyle="1" w:styleId="48">
    <w:name w:val="批注文字 Char"/>
    <w:basedOn w:val="24"/>
    <w:qFormat/>
    <w:uiPriority w:val="99"/>
    <w:rPr>
      <w:rFonts w:ascii="Calibri" w:hAnsi="Calibri"/>
      <w:kern w:val="2"/>
      <w:sz w:val="21"/>
    </w:rPr>
  </w:style>
  <w:style w:type="paragraph" w:customStyle="1" w:styleId="49">
    <w:name w:val="Table Paragraph"/>
    <w:basedOn w:val="1"/>
    <w:qFormat/>
    <w:uiPriority w:val="1"/>
    <w:pPr>
      <w:autoSpaceDE w:val="0"/>
      <w:autoSpaceDN w:val="0"/>
      <w:adjustRightInd w:val="0"/>
      <w:jc w:val="left"/>
    </w:pPr>
    <w:rPr>
      <w:rFonts w:ascii="Calibri" w:hAnsi="Calibri"/>
      <w:kern w:val="0"/>
      <w:sz w:val="24"/>
    </w:rPr>
  </w:style>
  <w:style w:type="paragraph" w:customStyle="1" w:styleId="50">
    <w:name w:val="图表文字"/>
    <w:basedOn w:val="1"/>
    <w:link w:val="53"/>
    <w:qFormat/>
    <w:uiPriority w:val="0"/>
    <w:pPr>
      <w:spacing w:line="300" w:lineRule="exact"/>
      <w:jc w:val="center"/>
    </w:pPr>
    <w:rPr>
      <w:rFonts w:ascii="Calibri" w:hAnsi="Calibri"/>
      <w:bCs/>
      <w:szCs w:val="20"/>
    </w:rPr>
  </w:style>
  <w:style w:type="paragraph" w:customStyle="1" w:styleId="51">
    <w:name w:val="我的样式（正文）"/>
    <w:basedOn w:val="1"/>
    <w:qFormat/>
    <w:uiPriority w:val="0"/>
    <w:pPr>
      <w:spacing w:line="440" w:lineRule="exact"/>
    </w:pPr>
    <w:rPr>
      <w:rFonts w:ascii="宋体" w:hAnsi="Calibri"/>
      <w:sz w:val="28"/>
    </w:rPr>
  </w:style>
  <w:style w:type="character" w:customStyle="1" w:styleId="52">
    <w:name w:val="正文缩进 Char"/>
    <w:basedOn w:val="24"/>
    <w:link w:val="5"/>
    <w:qFormat/>
    <w:uiPriority w:val="0"/>
    <w:rPr>
      <w:rFonts w:ascii="Calibri" w:hAnsi="Calibri"/>
      <w:kern w:val="2"/>
      <w:sz w:val="21"/>
    </w:rPr>
  </w:style>
  <w:style w:type="character" w:customStyle="1" w:styleId="53">
    <w:name w:val="图表文字 Char"/>
    <w:link w:val="50"/>
    <w:qFormat/>
    <w:uiPriority w:val="0"/>
    <w:rPr>
      <w:rFonts w:ascii="Calibri" w:hAnsi="Calibri"/>
      <w:bCs/>
      <w:kern w:val="2"/>
      <w:sz w:val="21"/>
    </w:rPr>
  </w:style>
  <w:style w:type="character" w:customStyle="1" w:styleId="54">
    <w:name w:val="标题 2 Char"/>
    <w:basedOn w:val="24"/>
    <w:link w:val="4"/>
    <w:semiHidden/>
    <w:qFormat/>
    <w:uiPriority w:val="0"/>
    <w:rPr>
      <w:rFonts w:asciiTheme="majorHAnsi" w:hAnsiTheme="majorHAnsi" w:eastAsiaTheme="majorEastAsia" w:cstheme="majorBidi"/>
      <w:b/>
      <w:bCs/>
      <w:kern w:val="2"/>
      <w:sz w:val="32"/>
      <w:szCs w:val="32"/>
    </w:rPr>
  </w:style>
  <w:style w:type="character" w:customStyle="1" w:styleId="55">
    <w:name w:val="纯文本 Char"/>
    <w:basedOn w:val="24"/>
    <w:link w:val="10"/>
    <w:qFormat/>
    <w:uiPriority w:val="0"/>
    <w:rPr>
      <w:rFonts w:ascii="宋体" w:hAnsi="Courier New"/>
      <w:kern w:val="2"/>
      <w:sz w:val="21"/>
    </w:rPr>
  </w:style>
  <w:style w:type="character" w:customStyle="1" w:styleId="56">
    <w:name w:val="正文文本缩进 2 Char"/>
    <w:basedOn w:val="24"/>
    <w:link w:val="13"/>
    <w:qFormat/>
    <w:uiPriority w:val="0"/>
    <w:rPr>
      <w:rFonts w:ascii="宋体" w:hAnsi="Calibri"/>
      <w:bCs/>
      <w:kern w:val="2"/>
      <w:sz w:val="24"/>
    </w:rPr>
  </w:style>
  <w:style w:type="character" w:customStyle="1" w:styleId="57">
    <w:name w:val="正文文本缩进 3 Char"/>
    <w:basedOn w:val="24"/>
    <w:link w:val="17"/>
    <w:qFormat/>
    <w:uiPriority w:val="0"/>
    <w:rPr>
      <w:rFonts w:ascii="宋体" w:hAnsi="宋体"/>
      <w:kern w:val="2"/>
      <w:sz w:val="24"/>
    </w:rPr>
  </w:style>
  <w:style w:type="character" w:customStyle="1" w:styleId="58">
    <w:name w:val="正文首行缩进 2 Char"/>
    <w:basedOn w:val="43"/>
    <w:link w:val="21"/>
    <w:qFormat/>
    <w:uiPriority w:val="0"/>
    <w:rPr>
      <w:rFonts w:ascii="Calibri" w:hAnsi="Calibri" w:eastAsia="楷体_GB2312"/>
      <w:color w:val="000000"/>
      <w:kern w:val="2"/>
      <w:sz w:val="21"/>
    </w:rPr>
  </w:style>
  <w:style w:type="paragraph" w:customStyle="1" w:styleId="59">
    <w:name w:val="Body Text 21"/>
    <w:basedOn w:val="1"/>
    <w:qFormat/>
    <w:uiPriority w:val="0"/>
    <w:pPr>
      <w:textAlignment w:val="baseline"/>
    </w:pPr>
    <w:rPr>
      <w:rFonts w:ascii="Calibri" w:hAnsi="Calibri"/>
      <w:color w:val="000000"/>
      <w:sz w:val="24"/>
      <w:szCs w:val="20"/>
    </w:rPr>
  </w:style>
  <w:style w:type="paragraph" w:customStyle="1" w:styleId="60">
    <w:name w:val="图文框"/>
    <w:basedOn w:val="1"/>
    <w:qFormat/>
    <w:uiPriority w:val="0"/>
    <w:pPr>
      <w:adjustRightInd w:val="0"/>
      <w:snapToGrid w:val="0"/>
      <w:jc w:val="center"/>
    </w:pPr>
    <w:rPr>
      <w:rFonts w:ascii="宋体" w:hAnsi="宋体"/>
      <w:color w:val="000000"/>
      <w:sz w:val="18"/>
    </w:rPr>
  </w:style>
  <w:style w:type="paragraph" w:customStyle="1" w:styleId="61">
    <w:name w:val="表"/>
    <w:basedOn w:val="1"/>
    <w:qFormat/>
    <w:uiPriority w:val="0"/>
    <w:pPr>
      <w:keepNext/>
      <w:keepLines/>
      <w:adjustRightInd w:val="0"/>
      <w:spacing w:before="60"/>
      <w:jc w:val="center"/>
    </w:pPr>
    <w:rPr>
      <w:rFonts w:ascii="Calibri" w:hAnsi="Calibri" w:eastAsia="FangSong_GB2312"/>
      <w:kern w:val="21"/>
      <w:sz w:val="24"/>
      <w:szCs w:val="20"/>
    </w:rPr>
  </w:style>
  <w:style w:type="paragraph" w:customStyle="1" w:styleId="62">
    <w:name w:val="p0"/>
    <w:basedOn w:val="1"/>
    <w:qFormat/>
    <w:uiPriority w:val="0"/>
    <w:pPr>
      <w:widowControl/>
    </w:pPr>
    <w:rPr>
      <w:rFonts w:ascii="Calibri" w:hAnsi="Calibri"/>
      <w:kern w:val="0"/>
      <w:szCs w:val="21"/>
    </w:rPr>
  </w:style>
  <w:style w:type="paragraph" w:customStyle="1" w:styleId="63">
    <w:name w:val="表格文字"/>
    <w:basedOn w:val="1"/>
    <w:qFormat/>
    <w:uiPriority w:val="0"/>
    <w:pPr>
      <w:adjustRightInd w:val="0"/>
      <w:snapToGrid w:val="0"/>
      <w:jc w:val="center"/>
    </w:pPr>
    <w:rPr>
      <w:rFonts w:ascii="FangSong_GB2312" w:hAnsi="Arial Black" w:eastAsia="FangSong_GB2312"/>
      <w:kern w:val="44"/>
      <w:sz w:val="24"/>
      <w:szCs w:val="20"/>
    </w:rPr>
  </w:style>
  <w:style w:type="paragraph" w:customStyle="1" w:styleId="64">
    <w:name w:val="表格标题"/>
    <w:basedOn w:val="1"/>
    <w:qFormat/>
    <w:uiPriority w:val="0"/>
    <w:pPr>
      <w:adjustRightInd w:val="0"/>
      <w:spacing w:before="120" w:line="360" w:lineRule="auto"/>
      <w:jc w:val="center"/>
    </w:pPr>
    <w:rPr>
      <w:rFonts w:ascii="Calibri" w:hAnsi="Calibri" w:eastAsia="文鼎CS中宋"/>
      <w:kern w:val="0"/>
      <w:sz w:val="24"/>
      <w:szCs w:val="20"/>
    </w:rPr>
  </w:style>
  <w:style w:type="paragraph" w:customStyle="1" w:styleId="65">
    <w:name w:val="文本框样式"/>
    <w:basedOn w:val="1"/>
    <w:qFormat/>
    <w:uiPriority w:val="0"/>
    <w:pPr>
      <w:jc w:val="center"/>
    </w:pPr>
    <w:rPr>
      <w:rFonts w:ascii="Calibri" w:hAnsi="Calibri"/>
      <w:szCs w:val="21"/>
    </w:rPr>
  </w:style>
  <w:style w:type="paragraph" w:customStyle="1" w:styleId="66">
    <w:name w:val="图标题"/>
    <w:basedOn w:val="1"/>
    <w:qFormat/>
    <w:uiPriority w:val="0"/>
    <w:pPr>
      <w:spacing w:line="300" w:lineRule="exact"/>
    </w:pPr>
    <w:rPr>
      <w:rFonts w:ascii="FangSong_GB2312" w:hAnsi="Calibri" w:eastAsia="FangSong_GB2312"/>
      <w:b/>
      <w:bCs/>
      <w:sz w:val="24"/>
    </w:rPr>
  </w:style>
  <w:style w:type="character" w:customStyle="1" w:styleId="67">
    <w:name w:val="font11"/>
    <w:basedOn w:val="24"/>
    <w:qFormat/>
    <w:uiPriority w:val="0"/>
    <w:rPr>
      <w:rFonts w:hint="eastAsia" w:ascii="宋体" w:hAnsi="宋体" w:eastAsia="宋体" w:cs="宋体"/>
      <w:color w:val="000000"/>
      <w:sz w:val="18"/>
      <w:szCs w:val="18"/>
      <w:u w:val="none"/>
    </w:rPr>
  </w:style>
  <w:style w:type="character" w:customStyle="1" w:styleId="68">
    <w:name w:val="font21"/>
    <w:basedOn w:val="24"/>
    <w:qFormat/>
    <w:uiPriority w:val="0"/>
    <w:rPr>
      <w:rFonts w:hint="default" w:ascii="TimesNewRomanPSMT" w:hAnsi="TimesNewRomanPSMT" w:eastAsia="TimesNewRomanPSMT" w:cs="TimesNewRomanPSMT"/>
      <w:color w:val="000000"/>
      <w:sz w:val="18"/>
      <w:szCs w:val="18"/>
      <w:u w:val="none"/>
    </w:rPr>
  </w:style>
  <w:style w:type="paragraph" w:customStyle="1" w:styleId="69">
    <w:name w:val="xl2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70">
    <w:name w:val="Other|1"/>
    <w:basedOn w:val="1"/>
    <w:qFormat/>
    <w:uiPriority w:val="0"/>
    <w:rPr>
      <w:rFonts w:ascii="MingLiU" w:hAnsi="MingLiU" w:eastAsia="MingLiU" w:cs="MingLiU"/>
      <w:sz w:val="19"/>
      <w:szCs w:val="19"/>
      <w:lang w:val="zh-TW" w:eastAsia="zh-TW" w:bidi="zh-TW"/>
    </w:rPr>
  </w:style>
  <w:style w:type="paragraph" w:customStyle="1" w:styleId="71">
    <w:name w:val="Body text|1"/>
    <w:basedOn w:val="1"/>
    <w:qFormat/>
    <w:uiPriority w:val="0"/>
    <w:pPr>
      <w:spacing w:after="180" w:line="413" w:lineRule="auto"/>
    </w:pPr>
    <w:rPr>
      <w:rFonts w:ascii="宋体" w:hAnsi="宋体" w:cs="宋体"/>
      <w:szCs w:val="20"/>
      <w:lang w:val="zh-TW" w:eastAsia="zh-TW" w:bidi="zh-TW"/>
    </w:rPr>
  </w:style>
  <w:style w:type="paragraph" w:customStyle="1" w:styleId="72">
    <w:name w:val="Table caption|1"/>
    <w:basedOn w:val="1"/>
    <w:qFormat/>
    <w:uiPriority w:val="0"/>
    <w:rPr>
      <w:rFonts w:ascii="MingLiU" w:hAnsi="MingLiU" w:eastAsia="MingLiU" w:cs="MingLiU"/>
      <w:sz w:val="19"/>
      <w:szCs w:val="19"/>
      <w:lang w:val="zh-TW" w:eastAsia="zh-TW" w:bidi="zh-TW"/>
    </w:rPr>
  </w:style>
  <w:style w:type="character" w:customStyle="1" w:styleId="73">
    <w:name w:val="批注框文本 Char"/>
    <w:basedOn w:val="24"/>
    <w:qFormat/>
    <w:uiPriority w:val="0"/>
    <w:rPr>
      <w:rFonts w:ascii="Calibri" w:hAnsi="Calibri"/>
      <w:kern w:val="2"/>
      <w:sz w:val="18"/>
      <w:szCs w:val="18"/>
    </w:rPr>
  </w:style>
  <w:style w:type="character" w:styleId="74">
    <w:name w:val="Placeholder Text"/>
    <w:basedOn w:val="24"/>
    <w:unhideWhenUsed/>
    <w:qFormat/>
    <w:uiPriority w:val="99"/>
    <w:rPr>
      <w:color w:val="808080"/>
    </w:rPr>
  </w:style>
  <w:style w:type="paragraph" w:styleId="75">
    <w:name w:val="List Paragraph"/>
    <w:basedOn w:val="1"/>
    <w:unhideWhenUsed/>
    <w:qFormat/>
    <w:uiPriority w:val="99"/>
    <w:pPr>
      <w:ind w:firstLine="420" w:firstLineChars="200"/>
    </w:pPr>
    <w:rPr>
      <w:rFonts w:ascii="Calibri" w:hAnsi="Calibri"/>
      <w:szCs w:val="20"/>
    </w:rPr>
  </w:style>
  <w:style w:type="character" w:customStyle="1" w:styleId="76">
    <w:name w:val="批注主题 Char"/>
    <w:basedOn w:val="48"/>
    <w:qFormat/>
    <w:uiPriority w:val="0"/>
    <w:rPr>
      <w:rFonts w:ascii="Calibri" w:hAnsi="Calibri"/>
      <w:kern w:val="2"/>
      <w:sz w:val="21"/>
    </w:rPr>
  </w:style>
  <w:style w:type="character" w:customStyle="1" w:styleId="77">
    <w:name w:val="页眉 Char"/>
    <w:basedOn w:val="24"/>
    <w:qFormat/>
    <w:uiPriority w:val="0"/>
    <w:rPr>
      <w:rFonts w:ascii="Calibri" w:hAnsi="Calibri"/>
      <w:kern w:val="2"/>
      <w:sz w:val="18"/>
      <w:szCs w:val="24"/>
    </w:rPr>
  </w:style>
  <w:style w:type="paragraph" w:customStyle="1" w:styleId="78">
    <w:name w:val="样式 自动设置"/>
    <w:basedOn w:val="1"/>
    <w:qFormat/>
    <w:uiPriority w:val="0"/>
    <w:pPr>
      <w:autoSpaceDE w:val="0"/>
      <w:autoSpaceDN w:val="0"/>
      <w:adjustRightInd w:val="0"/>
      <w:snapToGrid w:val="0"/>
      <w:spacing w:beforeLines="50" w:line="288" w:lineRule="auto"/>
      <w:ind w:firstLine="200" w:firstLineChars="200"/>
    </w:pPr>
    <w:rPr>
      <w:rFonts w:cs="宋体"/>
      <w:sz w:val="24"/>
      <w:szCs w:val="20"/>
    </w:rPr>
  </w:style>
  <w:style w:type="paragraph" w:customStyle="1" w:styleId="79">
    <w:name w:val="默认段落字体 Para Char Char Char Char"/>
    <w:basedOn w:val="1"/>
    <w:qFormat/>
    <w:uiPriority w:val="0"/>
    <w:rPr>
      <w:sz w:val="24"/>
    </w:rPr>
  </w:style>
  <w:style w:type="paragraph" w:customStyle="1" w:styleId="80">
    <w:name w:val="默认段落字体 Para Char"/>
    <w:basedOn w:val="1"/>
    <w:qFormat/>
    <w:uiPriority w:val="0"/>
    <w:rPr>
      <w:rFonts w:ascii="楷体" w:hAnsi="楷体" w:cs="楷体"/>
      <w:sz w:val="24"/>
    </w:rPr>
  </w:style>
  <w:style w:type="character" w:customStyle="1" w:styleId="81">
    <w:name w:val="表格内文字 Char"/>
    <w:link w:val="46"/>
    <w:qFormat/>
    <w:uiPriority w:val="0"/>
    <w:rPr>
      <w:rFonts w:ascii="FangSong_GB2312" w:hAnsi="宋体" w:eastAsia="FangSong_GB2312" w:cs="宋体"/>
      <w:w w:val="90"/>
      <w:kern w:val="18"/>
      <w:sz w:val="24"/>
      <w:szCs w:val="24"/>
    </w:rPr>
  </w:style>
  <w:style w:type="character" w:customStyle="1" w:styleId="82">
    <w:name w:val="15"/>
    <w:basedOn w:val="24"/>
    <w:qFormat/>
    <w:uiPriority w:val="0"/>
    <w:rPr>
      <w:rFonts w:hint="eastAsia" w:ascii="宋体" w:hAnsi="宋体" w:eastAsia="宋体" w:cs="Times New Roman"/>
      <w:color w:val="000000"/>
      <w:sz w:val="21"/>
      <w:szCs w:val="21"/>
    </w:rPr>
  </w:style>
  <w:style w:type="character" w:customStyle="1" w:styleId="83">
    <w:name w:val="16"/>
    <w:basedOn w:val="24"/>
    <w:qFormat/>
    <w:uiPriority w:val="0"/>
    <w:rPr>
      <w:rFonts w:hint="eastAsia" w:ascii="宋体" w:hAnsi="宋体" w:eastAsia="宋体" w:cs="Times New Roman"/>
      <w:color w:val="000000"/>
      <w:sz w:val="22"/>
      <w:szCs w:val="22"/>
    </w:rPr>
  </w:style>
  <w:style w:type="paragraph" w:customStyle="1" w:styleId="84">
    <w:name w:val="+正文"/>
    <w:basedOn w:val="1"/>
    <w:qFormat/>
    <w:uiPriority w:val="0"/>
    <w:pPr>
      <w:spacing w:line="360" w:lineRule="auto"/>
      <w:ind w:firstLine="200" w:firstLineChars="200"/>
    </w:pPr>
    <w:rPr>
      <w:sz w:val="24"/>
    </w:rPr>
  </w:style>
  <w:style w:type="paragraph" w:customStyle="1" w:styleId="85">
    <w:name w:val="1  正文"/>
    <w:basedOn w:val="1"/>
    <w:qFormat/>
    <w:uiPriority w:val="0"/>
    <w:pPr>
      <w:spacing w:line="360" w:lineRule="auto"/>
      <w:ind w:firstLine="480" w:firstLineChars="200"/>
    </w:pPr>
    <w:rPr>
      <w:sz w:val="24"/>
    </w:rPr>
  </w:style>
  <w:style w:type="paragraph" w:customStyle="1" w:styleId="86">
    <w:name w:val="表内文字"/>
    <w:basedOn w:val="1"/>
    <w:qFormat/>
    <w:uiPriority w:val="0"/>
    <w:pPr>
      <w:jc w:val="center"/>
    </w:pPr>
    <w:rPr>
      <w:sz w:val="24"/>
    </w:rPr>
  </w:style>
  <w:style w:type="paragraph" w:customStyle="1" w:styleId="87">
    <w:name w:val="msolist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4.wmf"/><Relationship Id="rId18" Type="http://schemas.openxmlformats.org/officeDocument/2006/relationships/oleObject" Target="embeddings/oleObject3.bin"/><Relationship Id="rId17" Type="http://schemas.openxmlformats.org/officeDocument/2006/relationships/image" Target="media/image3.wmf"/><Relationship Id="rId16" Type="http://schemas.openxmlformats.org/officeDocument/2006/relationships/oleObject" Target="embeddings/oleObject2.bin"/><Relationship Id="rId15" Type="http://schemas.openxmlformats.org/officeDocument/2006/relationships/image" Target="media/image2.png"/><Relationship Id="rId14" Type="http://schemas.openxmlformats.org/officeDocument/2006/relationships/image" Target="media/image1.wmf"/><Relationship Id="rId13" Type="http://schemas.openxmlformats.org/officeDocument/2006/relationships/oleObject" Target="embeddings/oleObject1.bin"/><Relationship Id="rId12" Type="http://schemas.openxmlformats.org/officeDocument/2006/relationships/theme" Target="theme/theme1.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1"/>
    <customShpInfo spid="_x0000_s2050"/>
    <customShpInfo spid="_x0000_s2049"/>
    <customShpInfo spid="_x0000_s1578"/>
    <customShpInfo spid="_x0000_s1579"/>
    <customShpInfo spid="_x0000_s1580"/>
    <customShpInfo spid="_x0000_s1581"/>
    <customShpInfo spid="_x0000_s1582"/>
    <customShpInfo spid="_x0000_s1583"/>
    <customShpInfo spid="_x0000_s1584"/>
    <customShpInfo spid="_x0000_s1585"/>
    <customShpInfo spid="_x0000_s1586"/>
    <customShpInfo spid="_x0000_s1587"/>
    <customShpInfo spid="_x0000_s1588"/>
    <customShpInfo spid="_x0000_s1589"/>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606"/>
    <customShpInfo spid="_x0000_s1607"/>
    <customShpInfo spid="_x0000_s1608"/>
    <customShpInfo spid="_x0000_s1609"/>
    <customShpInfo spid="_x0000_s1610"/>
    <customShpInfo spid="_x0000_s1611"/>
    <customShpInfo spid="_x0000_s1612"/>
    <customShpInfo spid="_x0000_s1613"/>
    <customShpInfo spid="_x0000_s1614"/>
    <customShpInfo spid="_x0000_s1615"/>
    <customShpInfo spid="_x0000_s1616"/>
    <customShpInfo spid="_x0000_s1617"/>
    <customShpInfo spid="_x0000_s1618"/>
    <customShpInfo spid="_x0000_s1619"/>
    <customShpInfo spid="_x0000_s1620"/>
    <customShpInfo spid="_x0000_s1621"/>
    <customShpInfo spid="_x0000_s1622"/>
    <customShpInfo spid="_x0000_s1623"/>
    <customShpInfo spid="_x0000_s1624"/>
    <customShpInfo spid="_x0000_s1625"/>
    <customShpInfo spid="_x0000_s1626"/>
    <customShpInfo spid="_x0000_s1627"/>
    <customShpInfo spid="_x0000_s1628"/>
    <customShpInfo spid="_x0000_s1629"/>
    <customShpInfo spid="_x0000_s1630"/>
    <customShpInfo spid="_x0000_s1577"/>
    <customShpInfo spid="_x0000_s1632"/>
    <customShpInfo spid="_x0000_s1633"/>
    <customShpInfo spid="_x0000_s1634"/>
    <customShpInfo spid="_x0000_s1635"/>
    <customShpInfo spid="_x0000_s1636"/>
    <customShpInfo spid="_x0000_s1637"/>
    <customShpInfo spid="_x0000_s1638"/>
    <customShpInfo spid="_x0000_s1639"/>
    <customShpInfo spid="_x0000_s1640"/>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52"/>
    <customShpInfo spid="_x0000_s1653"/>
    <customShpInfo spid="_x0000_s1654"/>
    <customShpInfo spid="_x0000_s1655"/>
    <customShpInfo spid="_x0000_s1656"/>
    <customShpInfo spid="_x0000_s1657"/>
    <customShpInfo spid="_x0000_s1658"/>
    <customShpInfo spid="_x0000_s1659"/>
    <customShpInfo spid="_x0000_s1660"/>
    <customShpInfo spid="_x0000_s1661"/>
    <customShpInfo spid="_x0000_s1662"/>
    <customShpInfo spid="_x0000_s1663"/>
    <customShpInfo spid="_x0000_s1631"/>
    <customShpInfo spid="_x0000_s113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9DF4AF5-248A-411D-A0BF-E61A56B12188}">
  <ds:schemaRefs/>
</ds:datastoreItem>
</file>

<file path=docProps/app.xml><?xml version="1.0" encoding="utf-8"?>
<Properties xmlns="http://schemas.openxmlformats.org/officeDocument/2006/extended-properties" xmlns:vt="http://schemas.openxmlformats.org/officeDocument/2006/docPropsVTypes">
  <Template>wdzx97.dot</Template>
  <Company>微软中国</Company>
  <Pages>56</Pages>
  <Words>6516</Words>
  <Characters>37147</Characters>
  <Lines>309</Lines>
  <Paragraphs>87</Paragraphs>
  <TotalTime>2</TotalTime>
  <ScaleCrop>false</ScaleCrop>
  <LinksUpToDate>false</LinksUpToDate>
  <CharactersWithSpaces>43576</CharactersWithSpaces>
  <Application>WPS Office_11.1.0.11411_F1E327BC-269C-435d-A152-05C5408002CA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2022-04-28T02:36:00Z</dcterms:created>
  <dc:creator>lhj</dc:creator>
  <cp:lastModifiedBy>WPS_1653614815</cp:lastModifiedBy>
  <cp:lastPrinted>2022-05-12T01:11:00Z</cp:lastPrinted>
  <dcterms:modified xsi:type="dcterms:W3CDTF">2022-06-08T02:22:20Z</dcterms:modified>
  <dc:title>附件2</dc:title>
  <cp:revision>304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2052-11.1.0.11411</vt:lpwstr>
  </property>
  <property fmtid="{D5CDD505-2E9C-101B-9397-08002B2CF9AE}" pid="3" name="ICV">
    <vt:lpwstr>33AFC2C736AD4787B65198C2481BCBA7</vt:lpwstr>
  </property>
</Properties>
</file>