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宋体" w:cs="Times New Roman"/>
          <w:color w:val="auto"/>
          <w:sz w:val="36"/>
          <w:szCs w:val="36"/>
        </w:rPr>
      </w:pPr>
    </w:p>
    <w:p>
      <w:pPr>
        <w:rPr>
          <w:rFonts w:hint="default" w:ascii="Times New Roman" w:hAnsi="Times New Roman" w:eastAsia="宋体" w:cs="Times New Roman"/>
          <w:color w:val="auto"/>
          <w:sz w:val="36"/>
          <w:szCs w:val="36"/>
        </w:rPr>
      </w:pPr>
    </w:p>
    <w:p>
      <w:pPr>
        <w:rPr>
          <w:rFonts w:hint="default" w:ascii="Times New Roman" w:hAnsi="Times New Roman" w:eastAsia="宋体" w:cs="Times New Roman"/>
          <w:color w:val="auto"/>
          <w:sz w:val="36"/>
          <w:szCs w:val="36"/>
        </w:rPr>
      </w:pPr>
    </w:p>
    <w:p>
      <w:pPr>
        <w:rPr>
          <w:rFonts w:hint="default" w:ascii="Times New Roman" w:hAnsi="Times New Roman" w:eastAsia="宋体" w:cs="Times New Roman"/>
          <w:color w:val="auto"/>
          <w:sz w:val="36"/>
          <w:szCs w:val="36"/>
        </w:rPr>
      </w:pPr>
    </w:p>
    <w:p>
      <w:pPr>
        <w:rPr>
          <w:rFonts w:hint="default" w:ascii="Times New Roman" w:hAnsi="Times New Roman" w:eastAsia="宋体" w:cs="Times New Roman"/>
          <w:color w:val="auto"/>
          <w:sz w:val="36"/>
          <w:szCs w:val="36"/>
        </w:rPr>
      </w:pPr>
    </w:p>
    <w:p>
      <w:pPr>
        <w:adjustRightInd w:val="0"/>
        <w:snapToGrid w:val="0"/>
        <w:jc w:val="center"/>
        <w:outlineLvl w:val="0"/>
        <w:rPr>
          <w:rFonts w:hint="default" w:ascii="Times New Roman" w:hAnsi="Times New Roman" w:eastAsia="宋体" w:cs="Times New Roman"/>
          <w:bCs/>
          <w:color w:val="auto"/>
          <w:sz w:val="72"/>
          <w:szCs w:val="72"/>
        </w:rPr>
      </w:pPr>
      <w:r>
        <w:rPr>
          <w:rFonts w:hint="default" w:ascii="Times New Roman" w:hAnsi="Times New Roman" w:eastAsia="宋体" w:cs="Times New Roman"/>
          <w:bCs/>
          <w:color w:val="auto"/>
          <w:sz w:val="72"/>
          <w:szCs w:val="72"/>
        </w:rPr>
        <w:t>建设项目环境影响报告表</w:t>
      </w:r>
    </w:p>
    <w:p>
      <w:pPr>
        <w:adjustRightInd w:val="0"/>
        <w:snapToGrid w:val="0"/>
        <w:spacing w:beforeLines="80"/>
        <w:jc w:val="center"/>
        <w:rPr>
          <w:rFonts w:hint="default" w:ascii="Times New Roman" w:hAnsi="Times New Roman" w:eastAsia="宋体" w:cs="Times New Roman"/>
          <w:bCs/>
          <w:color w:val="auto"/>
          <w:sz w:val="48"/>
          <w:szCs w:val="48"/>
        </w:rPr>
      </w:pPr>
      <w:r>
        <w:rPr>
          <w:rFonts w:hint="default" w:ascii="Times New Roman" w:hAnsi="Times New Roman" w:eastAsia="宋体" w:cs="Times New Roman"/>
          <w:bCs/>
          <w:color w:val="auto"/>
          <w:sz w:val="48"/>
          <w:szCs w:val="48"/>
        </w:rPr>
        <w:t>（污染影响类）</w:t>
      </w:r>
    </w:p>
    <w:p>
      <w:pPr>
        <w:adjustRightInd w:val="0"/>
        <w:snapToGrid w:val="0"/>
        <w:spacing w:line="288" w:lineRule="auto"/>
        <w:jc w:val="center"/>
        <w:outlineLvl w:val="9"/>
        <w:rPr>
          <w:rFonts w:hint="default" w:ascii="Times New Roman" w:hAnsi="Times New Roman" w:eastAsia="宋体" w:cs="Times New Roman"/>
          <w:color w:val="auto"/>
          <w:kern w:val="44"/>
          <w:sz w:val="44"/>
          <w:szCs w:val="44"/>
        </w:rPr>
      </w:pPr>
    </w:p>
    <w:p>
      <w:pPr>
        <w:jc w:val="center"/>
        <w:rPr>
          <w:rFonts w:hint="default" w:ascii="Times New Roman" w:hAnsi="Times New Roman" w:eastAsia="宋体" w:cs="Times New Roman"/>
          <w:color w:val="auto"/>
          <w:sz w:val="52"/>
          <w:szCs w:val="52"/>
        </w:rPr>
      </w:pPr>
    </w:p>
    <w:p>
      <w:pPr>
        <w:ind w:firstLine="1040"/>
        <w:rPr>
          <w:rFonts w:hint="default" w:ascii="Times New Roman" w:hAnsi="Times New Roman" w:eastAsia="宋体" w:cs="Times New Roman"/>
          <w:color w:val="auto"/>
          <w:sz w:val="44"/>
          <w:szCs w:val="44"/>
        </w:rPr>
      </w:pPr>
    </w:p>
    <w:p>
      <w:pPr>
        <w:ind w:firstLine="1040"/>
        <w:rPr>
          <w:rFonts w:hint="default" w:ascii="Times New Roman" w:hAnsi="Times New Roman" w:eastAsia="宋体" w:cs="Times New Roman"/>
          <w:color w:val="auto"/>
          <w:sz w:val="44"/>
          <w:szCs w:val="44"/>
        </w:rPr>
      </w:pPr>
    </w:p>
    <w:p>
      <w:pPr>
        <w:adjustRightInd w:val="0"/>
        <w:snapToGrid w:val="0"/>
        <w:spacing w:line="288" w:lineRule="auto"/>
        <w:ind w:firstLine="360" w:firstLineChars="100"/>
        <w:rPr>
          <w:rFonts w:hint="default" w:ascii="Times New Roman" w:hAnsi="Times New Roman" w:eastAsia="宋体" w:cs="Times New Roman"/>
          <w:color w:val="auto"/>
          <w:sz w:val="36"/>
          <w:szCs w:val="36"/>
          <w:u w:val="single"/>
        </w:rPr>
      </w:pPr>
      <w:r>
        <w:rPr>
          <w:rFonts w:hint="default" w:ascii="Times New Roman" w:hAnsi="Times New Roman" w:eastAsia="宋体" w:cs="Times New Roman"/>
          <w:color w:val="auto"/>
          <w:sz w:val="36"/>
          <w:szCs w:val="36"/>
        </w:rPr>
        <w:t>项目名称：</w:t>
      </w:r>
      <w:r>
        <w:rPr>
          <w:rFonts w:hint="default" w:ascii="Times New Roman" w:hAnsi="Times New Roman" w:eastAsia="宋体" w:cs="Times New Roman"/>
          <w:color w:val="auto"/>
          <w:sz w:val="36"/>
          <w:szCs w:val="36"/>
          <w:u w:val="single"/>
        </w:rPr>
        <w:t xml:space="preserve">   </w:t>
      </w:r>
      <w:r>
        <w:rPr>
          <w:rFonts w:hint="default" w:ascii="Times New Roman" w:hAnsi="Times New Roman" w:eastAsia="宋体" w:cs="Times New Roman"/>
          <w:color w:val="auto"/>
          <w:sz w:val="36"/>
          <w:szCs w:val="36"/>
          <w:u w:val="single"/>
          <w:lang w:val="en-US" w:eastAsia="zh-CN"/>
        </w:rPr>
        <w:t xml:space="preserve"> </w:t>
      </w:r>
      <w:r>
        <w:rPr>
          <w:rFonts w:hint="default" w:ascii="Times New Roman" w:hAnsi="Times New Roman" w:eastAsia="宋体" w:cs="Times New Roman"/>
          <w:color w:val="auto"/>
          <w:sz w:val="36"/>
          <w:szCs w:val="36"/>
          <w:u w:val="single"/>
        </w:rPr>
        <w:t xml:space="preserve">  </w:t>
      </w:r>
      <w:r>
        <w:rPr>
          <w:rFonts w:hint="default" w:ascii="Times New Roman" w:hAnsi="Times New Roman" w:eastAsia="宋体" w:cs="Times New Roman"/>
          <w:color w:val="auto"/>
          <w:sz w:val="36"/>
          <w:szCs w:val="36"/>
          <w:u w:val="single"/>
          <w:lang w:eastAsia="zh-CN"/>
        </w:rPr>
        <w:t>年加工550万件机械零部件项目</w:t>
      </w:r>
      <w:r>
        <w:rPr>
          <w:rFonts w:hint="default" w:ascii="Times New Roman" w:hAnsi="Times New Roman" w:eastAsia="宋体" w:cs="Times New Roman"/>
          <w:color w:val="auto"/>
          <w:sz w:val="36"/>
          <w:szCs w:val="36"/>
          <w:u w:val="single"/>
        </w:rPr>
        <w:t xml:space="preserve">  </w:t>
      </w:r>
    </w:p>
    <w:p>
      <w:pPr>
        <w:adjustRightInd w:val="0"/>
        <w:snapToGrid w:val="0"/>
        <w:spacing w:line="288" w:lineRule="auto"/>
        <w:ind w:firstLine="360" w:firstLineChars="100"/>
        <w:rPr>
          <w:rFonts w:hint="default" w:ascii="Times New Roman" w:hAnsi="Times New Roman" w:eastAsia="宋体" w:cs="Times New Roman"/>
          <w:color w:val="auto"/>
          <w:sz w:val="36"/>
          <w:szCs w:val="36"/>
          <w:u w:val="single"/>
        </w:rPr>
      </w:pPr>
      <w:r>
        <w:rPr>
          <w:rFonts w:hint="default" w:ascii="Times New Roman" w:hAnsi="Times New Roman" w:eastAsia="宋体" w:cs="Times New Roman"/>
          <w:color w:val="auto"/>
          <w:sz w:val="36"/>
          <w:szCs w:val="36"/>
        </w:rPr>
        <w:t>建设单位（盖章）：</w:t>
      </w:r>
      <w:r>
        <w:rPr>
          <w:rFonts w:hint="default" w:ascii="Times New Roman" w:hAnsi="Times New Roman" w:eastAsia="宋体" w:cs="Times New Roman"/>
          <w:color w:val="auto"/>
          <w:sz w:val="36"/>
          <w:szCs w:val="36"/>
          <w:u w:val="single"/>
        </w:rPr>
        <w:t xml:space="preserve">   </w:t>
      </w:r>
      <w:r>
        <w:rPr>
          <w:rFonts w:hint="default" w:ascii="Times New Roman" w:hAnsi="Times New Roman" w:eastAsia="宋体" w:cs="Times New Roman"/>
          <w:color w:val="auto"/>
          <w:sz w:val="36"/>
          <w:szCs w:val="36"/>
          <w:u w:val="single"/>
          <w:lang w:eastAsia="zh-CN"/>
        </w:rPr>
        <w:t>常州市共创商贸有限公司</w:t>
      </w:r>
      <w:r>
        <w:rPr>
          <w:rFonts w:hint="default" w:ascii="Times New Roman" w:hAnsi="Times New Roman" w:eastAsia="宋体" w:cs="Times New Roman"/>
          <w:color w:val="auto"/>
          <w:sz w:val="36"/>
          <w:szCs w:val="36"/>
          <w:u w:val="single"/>
        </w:rPr>
        <w:t xml:space="preserve">   </w:t>
      </w:r>
    </w:p>
    <w:p>
      <w:pPr>
        <w:adjustRightInd w:val="0"/>
        <w:snapToGrid w:val="0"/>
        <w:spacing w:line="288" w:lineRule="auto"/>
        <w:ind w:firstLine="360" w:firstLineChars="100"/>
        <w:rPr>
          <w:rFonts w:hint="default" w:ascii="Times New Roman" w:hAnsi="Times New Roman" w:eastAsia="宋体" w:cs="Times New Roman"/>
          <w:color w:val="auto"/>
          <w:sz w:val="36"/>
          <w:szCs w:val="36"/>
          <w:u w:val="single"/>
        </w:rPr>
      </w:pPr>
      <w:r>
        <w:rPr>
          <w:rFonts w:hint="default" w:ascii="Times New Roman" w:hAnsi="Times New Roman" w:eastAsia="宋体" w:cs="Times New Roman"/>
          <w:color w:val="auto"/>
          <w:sz w:val="36"/>
          <w:szCs w:val="36"/>
        </w:rPr>
        <w:t>编制日期：</w:t>
      </w:r>
      <w:r>
        <w:rPr>
          <w:rFonts w:hint="default" w:ascii="Times New Roman" w:hAnsi="Times New Roman" w:eastAsia="宋体" w:cs="Times New Roman"/>
          <w:color w:val="auto"/>
          <w:sz w:val="36"/>
          <w:szCs w:val="36"/>
          <w:u w:val="single"/>
        </w:rPr>
        <w:t xml:space="preserve">           </w:t>
      </w:r>
      <w:r>
        <w:rPr>
          <w:rFonts w:hint="eastAsia" w:cs="Times New Roman"/>
          <w:color w:val="auto"/>
          <w:sz w:val="36"/>
          <w:szCs w:val="36"/>
          <w:u w:val="single"/>
          <w:lang w:val="en-US" w:eastAsia="zh-CN"/>
        </w:rPr>
        <w:t xml:space="preserve">  </w:t>
      </w:r>
      <w:r>
        <w:rPr>
          <w:rFonts w:hint="default" w:ascii="Times New Roman" w:hAnsi="Times New Roman" w:eastAsia="宋体" w:cs="Times New Roman"/>
          <w:color w:val="auto"/>
          <w:sz w:val="36"/>
          <w:szCs w:val="36"/>
          <w:u w:val="single"/>
        </w:rPr>
        <w:t xml:space="preserve">  二零二</w:t>
      </w:r>
      <w:r>
        <w:rPr>
          <w:rFonts w:hint="default" w:ascii="Times New Roman" w:hAnsi="Times New Roman" w:eastAsia="宋体" w:cs="Times New Roman"/>
          <w:color w:val="auto"/>
          <w:sz w:val="36"/>
          <w:szCs w:val="36"/>
          <w:u w:val="single"/>
          <w:lang w:val="en-US" w:eastAsia="zh-CN"/>
        </w:rPr>
        <w:t>二</w:t>
      </w:r>
      <w:r>
        <w:rPr>
          <w:rFonts w:hint="default" w:ascii="Times New Roman" w:hAnsi="Times New Roman" w:eastAsia="宋体" w:cs="Times New Roman"/>
          <w:color w:val="auto"/>
          <w:sz w:val="36"/>
          <w:szCs w:val="36"/>
          <w:u w:val="single"/>
        </w:rPr>
        <w:t>年</w:t>
      </w:r>
      <w:r>
        <w:rPr>
          <w:rFonts w:hint="default" w:ascii="Times New Roman" w:hAnsi="Times New Roman" w:eastAsia="宋体" w:cs="Times New Roman"/>
          <w:color w:val="auto"/>
          <w:sz w:val="36"/>
          <w:szCs w:val="36"/>
          <w:u w:val="single"/>
          <w:lang w:val="en-US" w:eastAsia="zh-CN"/>
        </w:rPr>
        <w:t>二</w:t>
      </w:r>
      <w:r>
        <w:rPr>
          <w:rFonts w:hint="default" w:ascii="Times New Roman" w:hAnsi="Times New Roman" w:eastAsia="宋体" w:cs="Times New Roman"/>
          <w:color w:val="auto"/>
          <w:sz w:val="36"/>
          <w:szCs w:val="36"/>
          <w:u w:val="single"/>
        </w:rPr>
        <w:t xml:space="preserve">月       </w:t>
      </w:r>
    </w:p>
    <w:p>
      <w:pPr>
        <w:adjustRightInd w:val="0"/>
        <w:snapToGrid w:val="0"/>
        <w:spacing w:line="288" w:lineRule="auto"/>
        <w:ind w:firstLine="1040"/>
        <w:rPr>
          <w:rFonts w:hint="default" w:ascii="Times New Roman" w:hAnsi="Times New Roman" w:eastAsia="宋体" w:cs="Times New Roman"/>
          <w:color w:val="auto"/>
          <w:sz w:val="36"/>
          <w:szCs w:val="36"/>
          <w:u w:val="single"/>
        </w:rPr>
      </w:pPr>
      <w:bookmarkStart w:id="0" w:name="_Hlk57884087"/>
    </w:p>
    <w:p>
      <w:pPr>
        <w:adjustRightInd w:val="0"/>
        <w:snapToGrid w:val="0"/>
        <w:spacing w:line="288" w:lineRule="auto"/>
        <w:rPr>
          <w:rFonts w:hint="default" w:ascii="Times New Roman" w:hAnsi="Times New Roman" w:eastAsia="宋体" w:cs="Times New Roman"/>
          <w:color w:val="auto"/>
          <w:sz w:val="36"/>
          <w:szCs w:val="36"/>
        </w:rPr>
      </w:pPr>
    </w:p>
    <w:p>
      <w:pPr>
        <w:adjustRightInd w:val="0"/>
        <w:snapToGrid w:val="0"/>
        <w:spacing w:line="288" w:lineRule="auto"/>
        <w:rPr>
          <w:rFonts w:hint="default" w:ascii="Times New Roman" w:hAnsi="Times New Roman" w:eastAsia="宋体" w:cs="Times New Roman"/>
          <w:color w:val="auto"/>
          <w:sz w:val="36"/>
          <w:szCs w:val="36"/>
        </w:rPr>
      </w:pPr>
    </w:p>
    <w:p>
      <w:pPr>
        <w:adjustRightInd w:val="0"/>
        <w:snapToGrid w:val="0"/>
        <w:spacing w:line="288" w:lineRule="auto"/>
        <w:ind w:firstLine="1040"/>
        <w:rPr>
          <w:rFonts w:hint="default" w:ascii="Times New Roman" w:hAnsi="Times New Roman" w:eastAsia="宋体" w:cs="Times New Roman"/>
          <w:color w:val="auto"/>
          <w:sz w:val="36"/>
          <w:szCs w:val="36"/>
        </w:rPr>
      </w:pPr>
    </w:p>
    <w:p>
      <w:pPr>
        <w:adjustRightInd w:val="0"/>
        <w:snapToGrid w:val="0"/>
        <w:spacing w:line="288" w:lineRule="auto"/>
        <w:ind w:firstLine="1040"/>
        <w:rPr>
          <w:rFonts w:hint="default" w:ascii="Times New Roman" w:hAnsi="Times New Roman" w:eastAsia="宋体" w:cs="Times New Roman"/>
          <w:color w:val="auto"/>
          <w:sz w:val="36"/>
          <w:szCs w:val="36"/>
        </w:rPr>
      </w:pPr>
    </w:p>
    <w:p>
      <w:pPr>
        <w:adjustRightInd w:val="0"/>
        <w:snapToGrid w:val="0"/>
        <w:spacing w:line="288" w:lineRule="auto"/>
        <w:ind w:firstLine="1040"/>
        <w:rPr>
          <w:rFonts w:hint="default" w:ascii="Times New Roman" w:hAnsi="Times New Roman" w:eastAsia="宋体" w:cs="Times New Roman"/>
          <w:color w:val="auto"/>
          <w:sz w:val="36"/>
          <w:szCs w:val="36"/>
        </w:rPr>
      </w:pPr>
    </w:p>
    <w:p>
      <w:pPr>
        <w:adjustRightInd w:val="0"/>
        <w:snapToGrid w:val="0"/>
        <w:spacing w:line="288" w:lineRule="auto"/>
        <w:ind w:firstLine="1040"/>
        <w:rPr>
          <w:rFonts w:hint="default" w:ascii="Times New Roman" w:hAnsi="Times New Roman" w:eastAsia="宋体" w:cs="Times New Roman"/>
          <w:color w:val="auto"/>
          <w:sz w:val="36"/>
          <w:szCs w:val="36"/>
        </w:rPr>
      </w:pPr>
    </w:p>
    <w:bookmarkEnd w:id="0"/>
    <w:p>
      <w:pPr>
        <w:adjustRightInd w:val="0"/>
        <w:snapToGrid w:val="0"/>
        <w:spacing w:line="288" w:lineRule="auto"/>
        <w:jc w:val="center"/>
        <w:rPr>
          <w:rFonts w:hint="default" w:ascii="Times New Roman" w:hAnsi="Times New Roman" w:eastAsia="宋体" w:cs="Times New Roman"/>
          <w:color w:val="auto"/>
          <w:sz w:val="36"/>
          <w:szCs w:val="36"/>
        </w:rPr>
      </w:pPr>
      <w:r>
        <w:rPr>
          <w:rFonts w:hint="default" w:ascii="Times New Roman" w:hAnsi="Times New Roman" w:eastAsia="宋体" w:cs="Times New Roman"/>
          <w:color w:val="auto"/>
          <w:sz w:val="36"/>
          <w:szCs w:val="36"/>
        </w:rPr>
        <w:t>中华人民共和国生态环境部制</w:t>
      </w:r>
    </w:p>
    <w:p>
      <w:pPr>
        <w:adjustRightInd w:val="0"/>
        <w:snapToGrid w:val="0"/>
        <w:spacing w:line="288" w:lineRule="auto"/>
        <w:ind w:firstLine="1040"/>
        <w:rPr>
          <w:rFonts w:hint="default" w:ascii="Times New Roman" w:hAnsi="Times New Roman" w:eastAsia="宋体" w:cs="Times New Roman"/>
          <w:color w:val="auto"/>
          <w:sz w:val="36"/>
          <w:szCs w:val="36"/>
        </w:rPr>
        <w:sectPr>
          <w:footerReference r:id="rId6" w:type="first"/>
          <w:footerReference r:id="rId4" w:type="default"/>
          <w:headerReference r:id="rId3" w:type="even"/>
          <w:footerReference r:id="rId5" w:type="even"/>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titlePg/>
          <w:docGrid w:linePitch="312" w:charSpace="0"/>
        </w:sectPr>
      </w:pPr>
    </w:p>
    <w:p>
      <w:pPr>
        <w:pStyle w:val="18"/>
        <w:spacing w:before="0" w:beforeAutospacing="0" w:after="0" w:afterAutospacing="0"/>
        <w:contextualSpacing/>
        <w:jc w:val="center"/>
        <w:outlineLvl w:val="0"/>
        <w:rPr>
          <w:rFonts w:hint="default" w:ascii="Times New Roman" w:hAnsi="Times New Roman" w:eastAsia="宋体" w:cs="Times New Roman"/>
          <w:snapToGrid w:val="0"/>
          <w:color w:val="auto"/>
          <w:sz w:val="30"/>
          <w:szCs w:val="30"/>
        </w:rPr>
      </w:pPr>
      <w:r>
        <w:rPr>
          <w:rFonts w:hint="default" w:ascii="Times New Roman" w:hAnsi="Times New Roman" w:eastAsia="宋体" w:cs="Times New Roman"/>
          <w:snapToGrid w:val="0"/>
          <w:color w:val="auto"/>
          <w:sz w:val="30"/>
          <w:szCs w:val="30"/>
        </w:rPr>
        <w:t>一、建设项目基本情况</w:t>
      </w:r>
    </w:p>
    <w:tbl>
      <w:tblPr>
        <w:tblStyle w:val="22"/>
        <w:tblW w:w="88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481"/>
        <w:gridCol w:w="1777"/>
        <w:gridCol w:w="1746"/>
        <w:gridCol w:w="2211"/>
        <w:gridCol w:w="26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258" w:type="dxa"/>
            <w:gridSpan w:val="2"/>
            <w:tcMar>
              <w:top w:w="16" w:type="dxa"/>
              <w:left w:w="16" w:type="dxa"/>
              <w:right w:w="16" w:type="dxa"/>
            </w:tcMar>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建设项目名称</w:t>
            </w:r>
          </w:p>
        </w:tc>
        <w:tc>
          <w:tcPr>
            <w:tcW w:w="6572" w:type="dxa"/>
            <w:gridSpan w:val="3"/>
            <w:vAlign w:val="center"/>
          </w:tcPr>
          <w:p>
            <w:pPr>
              <w:adjustRightInd w:val="0"/>
              <w:snapToGrid w:val="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年加工550万件机械零部件项目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258" w:type="dxa"/>
            <w:gridSpan w:val="2"/>
            <w:tcMar>
              <w:top w:w="16" w:type="dxa"/>
              <w:left w:w="16" w:type="dxa"/>
              <w:right w:w="16" w:type="dxa"/>
            </w:tcMar>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项目代码</w:t>
            </w:r>
          </w:p>
        </w:tc>
        <w:tc>
          <w:tcPr>
            <w:tcW w:w="6572" w:type="dxa"/>
            <w:gridSpan w:val="3"/>
            <w:vAlign w:val="center"/>
          </w:tcPr>
          <w:p>
            <w:pPr>
              <w:adjustRightInd w:val="0"/>
              <w:snapToGrid w:val="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2201-320412-89-01-377230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258" w:type="dxa"/>
            <w:gridSpan w:val="2"/>
            <w:tcMar>
              <w:top w:w="16" w:type="dxa"/>
              <w:left w:w="16" w:type="dxa"/>
              <w:right w:w="16" w:type="dxa"/>
            </w:tcMar>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建设单位联系人</w:t>
            </w:r>
          </w:p>
        </w:tc>
        <w:tc>
          <w:tcPr>
            <w:tcW w:w="1746"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w:t>
            </w:r>
            <w:bookmarkStart w:id="13" w:name="_GoBack"/>
            <w:bookmarkEnd w:id="13"/>
          </w:p>
        </w:tc>
        <w:tc>
          <w:tcPr>
            <w:tcW w:w="2211"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联系方式</w:t>
            </w:r>
          </w:p>
        </w:tc>
        <w:tc>
          <w:tcPr>
            <w:tcW w:w="261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258" w:type="dxa"/>
            <w:gridSpan w:val="2"/>
            <w:tcMar>
              <w:top w:w="16" w:type="dxa"/>
              <w:left w:w="16" w:type="dxa"/>
              <w:right w:w="16" w:type="dxa"/>
            </w:tcMar>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建设地点</w:t>
            </w:r>
          </w:p>
        </w:tc>
        <w:tc>
          <w:tcPr>
            <w:tcW w:w="6572" w:type="dxa"/>
            <w:gridSpan w:val="3"/>
            <w:vAlign w:val="center"/>
          </w:tcPr>
          <w:p>
            <w:pPr>
              <w:adjustRightInd w:val="0"/>
              <w:snapToGrid w:val="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江苏省常州市武进区前黄镇寨灵路19号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258" w:type="dxa"/>
            <w:gridSpan w:val="2"/>
            <w:tcMar>
              <w:top w:w="16" w:type="dxa"/>
              <w:left w:w="16" w:type="dxa"/>
              <w:right w:w="16" w:type="dxa"/>
            </w:tcMar>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地理坐标</w:t>
            </w:r>
          </w:p>
        </w:tc>
        <w:tc>
          <w:tcPr>
            <w:tcW w:w="6572" w:type="dxa"/>
            <w:gridSpan w:val="3"/>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r>
              <w:rPr>
                <w:rFonts w:hint="default" w:ascii="Times New Roman" w:hAnsi="Times New Roman" w:eastAsia="宋体" w:cs="Times New Roman"/>
                <w:color w:val="auto"/>
                <w:szCs w:val="21"/>
                <w:u w:val="single"/>
              </w:rPr>
              <w:t>119</w:t>
            </w:r>
            <w:r>
              <w:rPr>
                <w:rFonts w:hint="default" w:ascii="Times New Roman" w:hAnsi="Times New Roman" w:eastAsia="宋体" w:cs="Times New Roman"/>
                <w:color w:val="auto"/>
                <w:szCs w:val="21"/>
              </w:rPr>
              <w:t>度</w:t>
            </w:r>
            <w:r>
              <w:rPr>
                <w:rFonts w:hint="default" w:ascii="Times New Roman" w:hAnsi="Times New Roman" w:eastAsia="宋体" w:cs="Times New Roman"/>
                <w:color w:val="auto"/>
                <w:szCs w:val="21"/>
                <w:u w:val="single"/>
                <w:lang w:val="en-US" w:eastAsia="zh-CN"/>
              </w:rPr>
              <w:t>90</w:t>
            </w:r>
            <w:r>
              <w:rPr>
                <w:rFonts w:hint="default" w:ascii="Times New Roman" w:hAnsi="Times New Roman" w:eastAsia="宋体" w:cs="Times New Roman"/>
                <w:color w:val="auto"/>
                <w:szCs w:val="21"/>
              </w:rPr>
              <w:t>分</w:t>
            </w:r>
            <w:r>
              <w:rPr>
                <w:rFonts w:hint="default" w:ascii="Times New Roman" w:hAnsi="Times New Roman" w:eastAsia="宋体" w:cs="Times New Roman"/>
                <w:color w:val="auto"/>
                <w:szCs w:val="21"/>
                <w:u w:val="single"/>
                <w:lang w:val="en-US" w:eastAsia="zh-CN"/>
              </w:rPr>
              <w:t>41.98</w:t>
            </w:r>
            <w:r>
              <w:rPr>
                <w:rFonts w:hint="eastAsia" w:cs="Times New Roman"/>
                <w:color w:val="auto"/>
                <w:szCs w:val="21"/>
                <w:u w:val="single"/>
                <w:lang w:val="en-US" w:eastAsia="zh-CN"/>
              </w:rPr>
              <w:t>1</w:t>
            </w:r>
            <w:r>
              <w:rPr>
                <w:rFonts w:hint="default" w:ascii="Times New Roman" w:hAnsi="Times New Roman" w:eastAsia="宋体" w:cs="Times New Roman"/>
                <w:color w:val="auto"/>
                <w:szCs w:val="21"/>
              </w:rPr>
              <w:t>秒，</w:t>
            </w:r>
            <w:r>
              <w:rPr>
                <w:rFonts w:hint="default" w:ascii="Times New Roman" w:hAnsi="Times New Roman" w:eastAsia="宋体" w:cs="Times New Roman"/>
                <w:color w:val="auto"/>
                <w:szCs w:val="21"/>
                <w:u w:val="single"/>
              </w:rPr>
              <w:t>31</w:t>
            </w:r>
            <w:r>
              <w:rPr>
                <w:rFonts w:hint="default" w:ascii="Times New Roman" w:hAnsi="Times New Roman" w:eastAsia="宋体" w:cs="Times New Roman"/>
                <w:color w:val="auto"/>
                <w:szCs w:val="21"/>
              </w:rPr>
              <w:t>度</w:t>
            </w:r>
            <w:r>
              <w:rPr>
                <w:rFonts w:hint="default" w:ascii="Times New Roman" w:hAnsi="Times New Roman" w:eastAsia="宋体" w:cs="Times New Roman"/>
                <w:color w:val="auto"/>
                <w:szCs w:val="21"/>
                <w:u w:val="single"/>
                <w:lang w:val="en-US" w:eastAsia="zh-CN"/>
              </w:rPr>
              <w:t>58</w:t>
            </w:r>
            <w:r>
              <w:rPr>
                <w:rFonts w:hint="default" w:ascii="Times New Roman" w:hAnsi="Times New Roman" w:eastAsia="宋体" w:cs="Times New Roman"/>
                <w:color w:val="auto"/>
                <w:szCs w:val="21"/>
              </w:rPr>
              <w:t>分</w:t>
            </w:r>
            <w:r>
              <w:rPr>
                <w:rFonts w:hint="default" w:ascii="Times New Roman" w:hAnsi="Times New Roman" w:eastAsia="宋体" w:cs="Times New Roman"/>
                <w:color w:val="auto"/>
                <w:szCs w:val="21"/>
                <w:u w:val="single"/>
                <w:lang w:val="en-US" w:eastAsia="zh-CN"/>
              </w:rPr>
              <w:t>28.49</w:t>
            </w:r>
            <w:r>
              <w:rPr>
                <w:rFonts w:hint="eastAsia" w:cs="Times New Roman"/>
                <w:color w:val="auto"/>
                <w:szCs w:val="21"/>
                <w:u w:val="single"/>
                <w:lang w:val="en-US" w:eastAsia="zh-CN"/>
              </w:rPr>
              <w:t>3</w:t>
            </w:r>
            <w:r>
              <w:rPr>
                <w:rFonts w:hint="default" w:ascii="Times New Roman" w:hAnsi="Times New Roman" w:eastAsia="宋体" w:cs="Times New Roman"/>
                <w:color w:val="auto"/>
                <w:szCs w:val="21"/>
              </w:rPr>
              <w:t>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2258" w:type="dxa"/>
            <w:gridSpan w:val="2"/>
            <w:tcMar>
              <w:top w:w="16" w:type="dxa"/>
              <w:left w:w="16" w:type="dxa"/>
              <w:right w:w="16" w:type="dxa"/>
            </w:tcMar>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国民经济</w:t>
            </w:r>
          </w:p>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行业类别</w:t>
            </w:r>
          </w:p>
        </w:tc>
        <w:tc>
          <w:tcPr>
            <w:tcW w:w="1746" w:type="dxa"/>
            <w:vAlign w:val="center"/>
          </w:tcPr>
          <w:p>
            <w:pPr>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rPr>
              <w:t>C</w:t>
            </w:r>
            <w:r>
              <w:rPr>
                <w:rFonts w:hint="default" w:ascii="Times New Roman" w:hAnsi="Times New Roman" w:eastAsia="宋体" w:cs="Times New Roman"/>
                <w:color w:val="auto"/>
                <w:szCs w:val="21"/>
                <w:lang w:val="en-US" w:eastAsia="zh-CN"/>
              </w:rPr>
              <w:t>3360</w:t>
            </w:r>
            <w:r>
              <w:rPr>
                <w:rFonts w:hint="default" w:ascii="Times New Roman" w:hAnsi="Times New Roman" w:eastAsia="宋体" w:cs="Times New Roman"/>
                <w:color w:val="auto"/>
                <w:szCs w:val="21"/>
                <w:lang w:eastAsia="zh-CN"/>
              </w:rPr>
              <w:t>金属表面处理及热处理加工</w:t>
            </w:r>
          </w:p>
        </w:tc>
        <w:tc>
          <w:tcPr>
            <w:tcW w:w="2211" w:type="dxa"/>
            <w:vAlign w:val="center"/>
          </w:tcPr>
          <w:p>
            <w:pPr>
              <w:adjustRightInd w:val="0"/>
              <w:snapToGrid w:val="0"/>
              <w:jc w:val="center"/>
              <w:rPr>
                <w:rFonts w:hint="default" w:ascii="Times New Roman" w:hAnsi="Times New Roman" w:eastAsia="宋体" w:cs="Times New Roman"/>
                <w:color w:val="auto"/>
                <w:szCs w:val="21"/>
              </w:rPr>
            </w:pPr>
            <w:bookmarkStart w:id="1" w:name="_Hlk49843745"/>
            <w:r>
              <w:rPr>
                <w:rFonts w:hint="default" w:ascii="Times New Roman" w:hAnsi="Times New Roman" w:eastAsia="宋体" w:cs="Times New Roman"/>
                <w:color w:val="auto"/>
                <w:szCs w:val="21"/>
              </w:rPr>
              <w:t>建设项目</w:t>
            </w:r>
          </w:p>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行业类别</w:t>
            </w:r>
            <w:bookmarkEnd w:id="1"/>
          </w:p>
        </w:tc>
        <w:tc>
          <w:tcPr>
            <w:tcW w:w="261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67</w:t>
            </w:r>
          </w:p>
          <w:p>
            <w:pPr>
              <w:adjustRightInd w:val="0"/>
              <w:snapToGrid w:val="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金属表面处理及热处理加工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2258" w:type="dxa"/>
            <w:gridSpan w:val="2"/>
            <w:tcMar>
              <w:top w:w="16" w:type="dxa"/>
              <w:left w:w="16" w:type="dxa"/>
              <w:right w:w="16" w:type="dxa"/>
            </w:tcMar>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建设性质</w:t>
            </w:r>
          </w:p>
        </w:tc>
        <w:tc>
          <w:tcPr>
            <w:tcW w:w="1746" w:type="dxa"/>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sym w:font="Wingdings 2" w:char="00A3"/>
            </w:r>
            <w:r>
              <w:rPr>
                <w:rFonts w:hint="default" w:ascii="Times New Roman" w:hAnsi="Times New Roman" w:eastAsia="宋体" w:cs="Times New Roman"/>
                <w:color w:val="auto"/>
                <w:szCs w:val="21"/>
              </w:rPr>
              <w:t>新建（迁建）</w:t>
            </w:r>
          </w:p>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sym w:font="Wingdings 2" w:char="00A3"/>
            </w:r>
            <w:r>
              <w:rPr>
                <w:rFonts w:hint="default" w:ascii="Times New Roman" w:hAnsi="Times New Roman" w:eastAsia="宋体" w:cs="Times New Roman"/>
                <w:color w:val="auto"/>
                <w:szCs w:val="21"/>
              </w:rPr>
              <w:t>改建</w:t>
            </w:r>
          </w:p>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sym w:font="Wingdings 2" w:char="0052"/>
            </w:r>
            <w:r>
              <w:rPr>
                <w:rFonts w:hint="default" w:ascii="Times New Roman" w:hAnsi="Times New Roman" w:eastAsia="宋体" w:cs="Times New Roman"/>
                <w:color w:val="auto"/>
                <w:szCs w:val="21"/>
              </w:rPr>
              <w:t>扩建</w:t>
            </w:r>
          </w:p>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sym w:font="Wingdings 2" w:char="00A3"/>
            </w:r>
            <w:r>
              <w:rPr>
                <w:rFonts w:hint="default" w:ascii="Times New Roman" w:hAnsi="Times New Roman" w:eastAsia="宋体" w:cs="Times New Roman"/>
                <w:color w:val="auto"/>
                <w:szCs w:val="21"/>
              </w:rPr>
              <w:t>技术改造</w:t>
            </w:r>
          </w:p>
        </w:tc>
        <w:tc>
          <w:tcPr>
            <w:tcW w:w="2211"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建设项目</w:t>
            </w:r>
          </w:p>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申报情形</w:t>
            </w:r>
          </w:p>
        </w:tc>
        <w:tc>
          <w:tcPr>
            <w:tcW w:w="2615" w:type="dxa"/>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sym w:font="Wingdings 2" w:char="0052"/>
            </w:r>
            <w:r>
              <w:rPr>
                <w:rFonts w:hint="default" w:ascii="Times New Roman" w:hAnsi="Times New Roman" w:eastAsia="宋体" w:cs="Times New Roman"/>
                <w:color w:val="auto"/>
                <w:szCs w:val="21"/>
              </w:rPr>
              <w:t>首次申报项目</w:t>
            </w:r>
          </w:p>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sym w:font="Wingdings 2" w:char="00A3"/>
            </w:r>
            <w:r>
              <w:rPr>
                <w:rFonts w:hint="default" w:ascii="Times New Roman" w:hAnsi="Times New Roman" w:eastAsia="宋体" w:cs="Times New Roman"/>
                <w:color w:val="auto"/>
                <w:szCs w:val="21"/>
              </w:rPr>
              <w:t>不予批准后再次申报项目</w:t>
            </w:r>
          </w:p>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sym w:font="Wingdings 2" w:char="00A3"/>
            </w:r>
            <w:r>
              <w:rPr>
                <w:rFonts w:hint="default" w:ascii="Times New Roman" w:hAnsi="Times New Roman" w:eastAsia="宋体" w:cs="Times New Roman"/>
                <w:color w:val="auto"/>
                <w:szCs w:val="21"/>
              </w:rPr>
              <w:t>超五年重新审核项目</w:t>
            </w:r>
          </w:p>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sym w:font="Wingdings 2" w:char="00A3"/>
            </w:r>
            <w:r>
              <w:rPr>
                <w:rFonts w:hint="default" w:ascii="Times New Roman" w:hAnsi="Times New Roman" w:eastAsia="宋体" w:cs="Times New Roman"/>
                <w:color w:val="auto"/>
                <w:szCs w:val="21"/>
              </w:rPr>
              <w:t>重大变动重新报批项目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2258" w:type="dxa"/>
            <w:gridSpan w:val="2"/>
            <w:tcMar>
              <w:top w:w="16" w:type="dxa"/>
              <w:left w:w="16" w:type="dxa"/>
              <w:right w:w="16" w:type="dxa"/>
            </w:tcMar>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项目审批（核准/</w:t>
            </w:r>
          </w:p>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备案）部门（选填）</w:t>
            </w:r>
          </w:p>
        </w:tc>
        <w:tc>
          <w:tcPr>
            <w:tcW w:w="1746"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常州市武进区行政审批局</w:t>
            </w:r>
          </w:p>
        </w:tc>
        <w:tc>
          <w:tcPr>
            <w:tcW w:w="2211"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项目审批（核准/备案）文号（选填）</w:t>
            </w:r>
          </w:p>
        </w:tc>
        <w:tc>
          <w:tcPr>
            <w:tcW w:w="2615"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武行审备[202</w:t>
            </w:r>
            <w:r>
              <w:rPr>
                <w:rFonts w:hint="default" w:ascii="Times New Roman" w:hAnsi="Times New Roman" w:eastAsia="宋体" w:cs="Times New Roman"/>
                <w:color w:val="auto"/>
                <w:szCs w:val="21"/>
                <w:lang w:val="en-US" w:eastAsia="zh-CN"/>
              </w:rPr>
              <w:t>2</w:t>
            </w:r>
            <w:r>
              <w:rPr>
                <w:rFonts w:hint="default" w:ascii="Times New Roman" w:hAnsi="Times New Roman" w:eastAsia="宋体" w:cs="Times New Roman"/>
                <w:color w:val="auto"/>
                <w:szCs w:val="21"/>
              </w:rPr>
              <w:t>]</w:t>
            </w:r>
            <w:r>
              <w:rPr>
                <w:rFonts w:hint="default" w:ascii="Times New Roman" w:hAnsi="Times New Roman" w:eastAsia="宋体" w:cs="Times New Roman"/>
                <w:color w:val="auto"/>
                <w:szCs w:val="21"/>
                <w:lang w:val="en-US" w:eastAsia="zh-CN"/>
              </w:rPr>
              <w:t>12</w:t>
            </w:r>
            <w:r>
              <w:rPr>
                <w:rFonts w:hint="default" w:ascii="Times New Roman" w:hAnsi="Times New Roman" w:eastAsia="宋体" w:cs="Times New Roman"/>
                <w:color w:val="auto"/>
                <w:szCs w:val="21"/>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258" w:type="dxa"/>
            <w:gridSpan w:val="2"/>
            <w:tcMar>
              <w:top w:w="16" w:type="dxa"/>
              <w:left w:w="16" w:type="dxa"/>
              <w:right w:w="16" w:type="dxa"/>
            </w:tcMar>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总投资（万元）</w:t>
            </w:r>
          </w:p>
        </w:tc>
        <w:tc>
          <w:tcPr>
            <w:tcW w:w="1746"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500</w:t>
            </w:r>
          </w:p>
        </w:tc>
        <w:tc>
          <w:tcPr>
            <w:tcW w:w="2211" w:type="dxa"/>
            <w:tcMar>
              <w:top w:w="16" w:type="dxa"/>
              <w:left w:w="16" w:type="dxa"/>
              <w:right w:w="16" w:type="dxa"/>
            </w:tcMar>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环保投资（万元）</w:t>
            </w:r>
          </w:p>
        </w:tc>
        <w:tc>
          <w:tcPr>
            <w:tcW w:w="261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258" w:type="dxa"/>
            <w:gridSpan w:val="2"/>
            <w:tcMar>
              <w:top w:w="16" w:type="dxa"/>
              <w:left w:w="16" w:type="dxa"/>
              <w:right w:w="16" w:type="dxa"/>
            </w:tcMar>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环保投资占比（%）</w:t>
            </w:r>
          </w:p>
        </w:tc>
        <w:tc>
          <w:tcPr>
            <w:tcW w:w="1746"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10</w:t>
            </w:r>
          </w:p>
        </w:tc>
        <w:tc>
          <w:tcPr>
            <w:tcW w:w="2211" w:type="dxa"/>
            <w:tcMar>
              <w:top w:w="16" w:type="dxa"/>
              <w:left w:w="16" w:type="dxa"/>
              <w:right w:w="16" w:type="dxa"/>
            </w:tcMar>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施工工期</w:t>
            </w:r>
          </w:p>
        </w:tc>
        <w:tc>
          <w:tcPr>
            <w:tcW w:w="2615"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258" w:type="dxa"/>
            <w:gridSpan w:val="2"/>
            <w:tcMar>
              <w:top w:w="16" w:type="dxa"/>
              <w:left w:w="16" w:type="dxa"/>
              <w:right w:w="16" w:type="dxa"/>
            </w:tcMar>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是否开工建设</w:t>
            </w:r>
          </w:p>
        </w:tc>
        <w:tc>
          <w:tcPr>
            <w:tcW w:w="1746" w:type="dxa"/>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sym w:font="Wingdings 2" w:char="0052"/>
            </w:r>
            <w:r>
              <w:rPr>
                <w:rFonts w:hint="default" w:ascii="Times New Roman" w:hAnsi="Times New Roman" w:eastAsia="宋体" w:cs="Times New Roman"/>
                <w:color w:val="auto"/>
                <w:szCs w:val="21"/>
              </w:rPr>
              <w:t>否</w:t>
            </w:r>
          </w:p>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sym w:font="Wingdings 2" w:char="00A3"/>
            </w:r>
            <w:r>
              <w:rPr>
                <w:rFonts w:hint="default" w:ascii="Times New Roman" w:hAnsi="Times New Roman" w:eastAsia="宋体" w:cs="Times New Roman"/>
                <w:color w:val="auto"/>
                <w:szCs w:val="21"/>
              </w:rPr>
              <w:t>是：</w:t>
            </w:r>
            <w:r>
              <w:rPr>
                <w:rFonts w:hint="default" w:ascii="Times New Roman" w:hAnsi="Times New Roman" w:eastAsia="宋体" w:cs="Times New Roman"/>
                <w:color w:val="auto"/>
                <w:szCs w:val="21"/>
                <w:u w:val="single"/>
              </w:rPr>
              <w:t xml:space="preserve">             </w:t>
            </w:r>
          </w:p>
        </w:tc>
        <w:tc>
          <w:tcPr>
            <w:tcW w:w="2211" w:type="dxa"/>
            <w:tcMar>
              <w:top w:w="16" w:type="dxa"/>
              <w:left w:w="16" w:type="dxa"/>
              <w:right w:w="16" w:type="dxa"/>
            </w:tcMar>
            <w:vAlign w:val="center"/>
          </w:tcPr>
          <w:p>
            <w:pPr>
              <w:adjustRightInd w:val="0"/>
              <w:snapToGrid w:val="0"/>
              <w:jc w:val="center"/>
              <w:rPr>
                <w:rFonts w:hint="default" w:ascii="Times New Roman" w:hAnsi="Times New Roman" w:eastAsia="宋体" w:cs="Times New Roman"/>
                <w:color w:val="auto"/>
                <w:spacing w:val="-6"/>
                <w:szCs w:val="21"/>
              </w:rPr>
            </w:pPr>
            <w:r>
              <w:rPr>
                <w:rFonts w:hint="default" w:ascii="Times New Roman" w:hAnsi="Times New Roman" w:eastAsia="宋体" w:cs="Times New Roman"/>
                <w:color w:val="auto"/>
                <w:spacing w:val="-6"/>
                <w:szCs w:val="21"/>
              </w:rPr>
              <w:t>用地（用海）</w:t>
            </w:r>
          </w:p>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6"/>
                <w:szCs w:val="21"/>
              </w:rPr>
              <w:t>面积（m</w:t>
            </w:r>
            <w:r>
              <w:rPr>
                <w:rFonts w:hint="default" w:ascii="Times New Roman" w:hAnsi="Times New Roman" w:eastAsia="宋体" w:cs="Times New Roman"/>
                <w:color w:val="auto"/>
                <w:spacing w:val="-6"/>
                <w:szCs w:val="21"/>
                <w:vertAlign w:val="superscript"/>
              </w:rPr>
              <w:t>2</w:t>
            </w:r>
            <w:r>
              <w:rPr>
                <w:rFonts w:hint="default" w:ascii="Times New Roman" w:hAnsi="Times New Roman" w:eastAsia="宋体" w:cs="Times New Roman"/>
                <w:color w:val="auto"/>
                <w:spacing w:val="-6"/>
                <w:szCs w:val="21"/>
              </w:rPr>
              <w:t>）</w:t>
            </w:r>
          </w:p>
        </w:tc>
        <w:tc>
          <w:tcPr>
            <w:tcW w:w="261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258" w:type="dxa"/>
            <w:gridSpan w:val="2"/>
            <w:vAlign w:val="center"/>
          </w:tcPr>
          <w:p>
            <w:pPr>
              <w:autoSpaceDE w:val="0"/>
              <w:autoSpaceDN w:val="0"/>
              <w:adjustRightInd w:val="0"/>
              <w:snapToGri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专项评价设置情况</w:t>
            </w:r>
          </w:p>
        </w:tc>
        <w:tc>
          <w:tcPr>
            <w:tcW w:w="6572" w:type="dxa"/>
            <w:gridSpan w:val="3"/>
            <w:vAlign w:val="center"/>
          </w:tcPr>
          <w:p>
            <w:pPr>
              <w:autoSpaceDE w:val="0"/>
              <w:autoSpaceDN w:val="0"/>
              <w:adjustRightInd w:val="0"/>
              <w:snapToGrid w:val="0"/>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258" w:type="dxa"/>
            <w:gridSpan w:val="2"/>
            <w:vAlign w:val="center"/>
          </w:tcPr>
          <w:p>
            <w:pPr>
              <w:autoSpaceDE w:val="0"/>
              <w:autoSpaceDN w:val="0"/>
              <w:adjustRightInd w:val="0"/>
              <w:snapToGri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szCs w:val="21"/>
              </w:rPr>
              <w:t>规划情况</w:t>
            </w:r>
          </w:p>
        </w:tc>
        <w:tc>
          <w:tcPr>
            <w:tcW w:w="6572" w:type="dxa"/>
            <w:gridSpan w:val="3"/>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规划名称：</w:t>
            </w:r>
            <w:r>
              <w:rPr>
                <w:rFonts w:hint="default" w:ascii="Times New Roman" w:hAnsi="Times New Roman" w:eastAsia="宋体" w:cs="Times New Roman"/>
                <w:color w:val="auto"/>
              </w:rPr>
              <w:t>《常州市武进区前黄镇控制性详细规划（修改）》</w:t>
            </w:r>
          </w:p>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审批机关：</w:t>
            </w:r>
            <w:r>
              <w:rPr>
                <w:rFonts w:hint="default" w:ascii="Times New Roman" w:hAnsi="Times New Roman" w:eastAsia="宋体" w:cs="Times New Roman"/>
                <w:color w:val="auto"/>
              </w:rPr>
              <w:t>常州市人民政府</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审批文件名称及文号：</w:t>
            </w:r>
            <w:r>
              <w:rPr>
                <w:rFonts w:hint="default" w:ascii="Times New Roman" w:hAnsi="Times New Roman" w:eastAsia="宋体" w:cs="Times New Roman"/>
                <w:color w:val="auto"/>
              </w:rPr>
              <w:t>常政复【2019】72号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258" w:type="dxa"/>
            <w:gridSpan w:val="2"/>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规划环境影响</w:t>
            </w:r>
          </w:p>
          <w:p>
            <w:pPr>
              <w:adjustRightInd w:val="0"/>
              <w:snapToGri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szCs w:val="21"/>
              </w:rPr>
              <w:t>评价情况</w:t>
            </w:r>
          </w:p>
        </w:tc>
        <w:tc>
          <w:tcPr>
            <w:tcW w:w="6572" w:type="dxa"/>
            <w:gridSpan w:val="3"/>
            <w:vAlign w:val="center"/>
          </w:tcPr>
          <w:p>
            <w:pPr>
              <w:autoSpaceDE w:val="0"/>
              <w:autoSpaceDN w:val="0"/>
              <w:rPr>
                <w:rFonts w:hint="default" w:ascii="Times New Roman" w:hAnsi="Times New Roman" w:eastAsia="宋体" w:cs="Times New Roman"/>
                <w:color w:val="auto"/>
                <w:kern w:val="0"/>
                <w:szCs w:val="21"/>
                <w:lang w:eastAsia="zh-CN"/>
              </w:rPr>
            </w:pPr>
            <w:r>
              <w:rPr>
                <w:rFonts w:hint="default" w:ascii="Times New Roman" w:hAnsi="Times New Roman" w:eastAsia="宋体" w:cs="Times New Roman"/>
                <w:color w:val="auto"/>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58" w:type="dxa"/>
            <w:gridSpan w:val="2"/>
            <w:vAlign w:val="center"/>
          </w:tcPr>
          <w:p>
            <w:pPr>
              <w:autoSpaceDE w:val="0"/>
              <w:autoSpaceDN w:val="0"/>
              <w:adjustRightInd w:val="0"/>
              <w:snapToGri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规划及规划环境</w:t>
            </w:r>
          </w:p>
          <w:p>
            <w:pPr>
              <w:autoSpaceDE w:val="0"/>
              <w:autoSpaceDN w:val="0"/>
              <w:adjustRightInd w:val="0"/>
              <w:snapToGri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影响评价符合性分析</w:t>
            </w:r>
          </w:p>
        </w:tc>
        <w:tc>
          <w:tcPr>
            <w:tcW w:w="6572" w:type="dxa"/>
            <w:gridSpan w:val="3"/>
            <w:vAlign w:val="center"/>
          </w:tcPr>
          <w:p>
            <w:pPr>
              <w:adjustRightInd w:val="0"/>
              <w:snapToGrid w:val="0"/>
              <w:rPr>
                <w:rFonts w:hint="default" w:ascii="Times New Roman" w:hAnsi="Times New Roman" w:eastAsia="宋体" w:cs="Times New Roman"/>
                <w:b/>
                <w:color w:val="auto"/>
              </w:rPr>
            </w:pPr>
            <w:r>
              <w:rPr>
                <w:rFonts w:hint="default" w:ascii="Times New Roman" w:hAnsi="Times New Roman" w:eastAsia="宋体" w:cs="Times New Roman"/>
                <w:b/>
                <w:color w:val="auto"/>
              </w:rPr>
              <w:t>与规划及规划环境影响评价符合性分析：</w:t>
            </w:r>
          </w:p>
          <w:p>
            <w:pPr>
              <w:adjustRightInd w:val="0"/>
              <w:snapToGrid w:val="0"/>
              <w:ind w:firstLine="422" w:firstLineChars="200"/>
              <w:rPr>
                <w:rFonts w:hint="default" w:ascii="Times New Roman" w:hAnsi="Times New Roman" w:eastAsia="宋体" w:cs="Times New Roman"/>
                <w:b/>
                <w:color w:val="auto"/>
              </w:rPr>
            </w:pPr>
            <w:r>
              <w:rPr>
                <w:rFonts w:hint="default" w:ascii="Times New Roman" w:hAnsi="Times New Roman" w:eastAsia="宋体" w:cs="Times New Roman"/>
                <w:b/>
                <w:color w:val="auto"/>
              </w:rPr>
              <w:t>一、与规划符合性分析</w:t>
            </w:r>
          </w:p>
          <w:p>
            <w:pPr>
              <w:adjustRightInd w:val="0"/>
              <w:snapToGrid w:val="0"/>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（1）规划范围：为前黄镇域范围，规划总用地面积约103.62平方公里。规划范围内共涉及8个编制单元，其中，前黄镇区及寨桥、运村片区共3个单元，镇区外围共5个编制单元。</w:t>
            </w:r>
          </w:p>
          <w:p>
            <w:pPr>
              <w:adjustRightInd w:val="0"/>
              <w:snapToGrid w:val="0"/>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2）主要功能：前黄镇城镇性质为常州市武进高新区一体化发展的南部紧密协作片区，西太湖东岸以先进制造为主导，现代农业、文旅休闲为特色的滨湖城镇，主要功能片区包括前黄镇区、寨桥片区和运村片区。</w:t>
            </w:r>
          </w:p>
          <w:p>
            <w:pPr>
              <w:adjustRightInd w:val="0"/>
              <w:snapToGrid w:val="0"/>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（3）人口容量：规划至2020年，前黄镇域常驻人口规模为12万人，城镇人口规模为7.5万人；其中前黄镇区城镇人口约5万人，寨桥片区城镇人口约1.5万人，运村片区城镇人口约1.0万人。</w:t>
            </w:r>
          </w:p>
          <w:p>
            <w:pPr>
              <w:adjustRightInd w:val="0"/>
              <w:snapToGrid w:val="0"/>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4）土地使用与兼容性原则：本规划所确定的土地用途是对未来土地使用主要性质的控制和引导。为适应城镇开发和土地利用的不确定性，在满足安全、环境等要求和相关标准、规范，符合规划导向及确保主要性质的前提下，提倡同一地块内不同使用功能的混合。规划条件阶段可结合具体建设情况，明确地块具体兼容的用地性质及比例，但不能改变地块的主要性质。用地兼容要求按照《常州市用地兼容表》执行。</w:t>
            </w:r>
          </w:p>
          <w:p>
            <w:pPr>
              <w:adjustRightInd w:val="0"/>
              <w:snapToGrid w:val="0"/>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（5）土地使用规划：规划范围内的土地使用以居住用地、商住混合用地和工业用地为主，以商业用地、商务用地和绿地为辅。</w:t>
            </w:r>
          </w:p>
          <w:p>
            <w:pPr>
              <w:adjustRightInd w:val="0"/>
              <w:snapToGrid w:val="0"/>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6）公共管理与公共服务设施：规范范围内公共管理与公共服务设施按“镇级（含一级社区级、二级社区级）——基层社区”二级结构组织，规划范围内划分为6个基层社区。规划范围内共配置幼儿园9所、小学5所、初中3所、九年一贯制学校1所。</w:t>
            </w:r>
          </w:p>
          <w:p>
            <w:pPr>
              <w:adjustRightInd w:val="0"/>
              <w:snapToGrid w:val="0"/>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（7）历史文化保护：前黄镇拥有杨桥-中国传统村落，省级文保单位1处、市级文保单位8处以及历史建筑39处。</w:t>
            </w:r>
          </w:p>
          <w:p>
            <w:pPr>
              <w:adjustRightInd w:val="0"/>
              <w:snapToGrid w:val="0"/>
              <w:ind w:firstLine="420" w:firstLineChars="200"/>
              <w:rPr>
                <w:rFonts w:hint="eastAsia" w:ascii="Times New Roman" w:hAnsi="Times New Roman" w:eastAsia="宋体" w:cs="Times New Roman"/>
                <w:b w:val="0"/>
                <w:bCs w:val="0"/>
                <w:color w:val="auto"/>
                <w:lang w:eastAsia="zh-CN"/>
              </w:rPr>
            </w:pPr>
            <w:r>
              <w:rPr>
                <w:rFonts w:hint="default" w:ascii="Times New Roman" w:hAnsi="Times New Roman" w:eastAsia="宋体" w:cs="Times New Roman"/>
                <w:b w:val="0"/>
                <w:bCs/>
                <w:color w:val="auto"/>
              </w:rPr>
              <w:t>本项目位于</w:t>
            </w:r>
            <w:r>
              <w:rPr>
                <w:rFonts w:hint="default" w:ascii="Times New Roman" w:hAnsi="Times New Roman" w:eastAsia="宋体" w:cs="Times New Roman"/>
                <w:b w:val="0"/>
                <w:bCs/>
                <w:color w:val="auto"/>
                <w:lang w:eastAsia="zh-CN"/>
              </w:rPr>
              <w:t>江苏省常州市武进区前黄镇寨灵路19号</w:t>
            </w:r>
            <w:r>
              <w:rPr>
                <w:rFonts w:hint="default" w:ascii="Times New Roman" w:hAnsi="Times New Roman" w:eastAsia="宋体" w:cs="Times New Roman"/>
                <w:b w:val="0"/>
                <w:bCs/>
                <w:color w:val="auto"/>
              </w:rPr>
              <w:t>，根据常州市武进区前黄镇控制性详细规划图（见附图6），本项目所在地为二类工业用地；同时</w:t>
            </w:r>
            <w:r>
              <w:rPr>
                <w:rFonts w:hint="default" w:ascii="Times New Roman" w:hAnsi="Times New Roman" w:eastAsia="宋体" w:cs="Times New Roman"/>
                <w:b w:val="0"/>
                <w:bCs w:val="0"/>
                <w:color w:val="auto"/>
              </w:rPr>
              <w:t>根据出租方提供的土地证及宗地图（武集用（2007）第1200582号，见附件5），建设项目用地性质为工业用地，故用地性质符合规划</w:t>
            </w:r>
            <w:r>
              <w:rPr>
                <w:rFonts w:hint="eastAsia" w:cs="Times New Roman"/>
                <w:b w:val="0"/>
                <w:bCs w:val="0"/>
                <w:color w:val="auto"/>
                <w:lang w:eastAsia="zh-CN"/>
              </w:rPr>
              <w:t>。</w:t>
            </w:r>
          </w:p>
          <w:p>
            <w:pPr>
              <w:adjustRightInd w:val="0"/>
              <w:snapToGrid w:val="0"/>
              <w:ind w:firstLine="422" w:firstLineChars="200"/>
              <w:rPr>
                <w:rFonts w:hint="default" w:ascii="Times New Roman" w:hAnsi="Times New Roman" w:eastAsia="宋体" w:cs="Times New Roman"/>
                <w:b/>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481" w:type="dxa"/>
            <w:vAlign w:val="center"/>
          </w:tcPr>
          <w:p>
            <w:pPr>
              <w:autoSpaceDE w:val="0"/>
              <w:autoSpaceDN w:val="0"/>
              <w:adjustRightInd w:val="0"/>
              <w:snapToGri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其他符合性分析</w:t>
            </w:r>
          </w:p>
        </w:tc>
        <w:tc>
          <w:tcPr>
            <w:tcW w:w="8349" w:type="dxa"/>
            <w:gridSpan w:val="4"/>
            <w:vAlign w:val="center"/>
          </w:tcPr>
          <w:p>
            <w:pPr>
              <w:autoSpaceDE w:val="0"/>
              <w:autoSpaceDN w:val="0"/>
              <w:adjustRightInd w:val="0"/>
              <w:snapToGrid w:val="0"/>
              <w:spacing w:line="360" w:lineRule="auto"/>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lang w:val="en-US" w:eastAsia="zh-CN"/>
              </w:rPr>
              <w:t>1</w:t>
            </w:r>
            <w:r>
              <w:rPr>
                <w:rFonts w:hint="default" w:ascii="Times New Roman" w:hAnsi="Times New Roman" w:eastAsia="宋体" w:cs="Times New Roman"/>
                <w:b/>
                <w:bCs/>
                <w:color w:val="auto"/>
                <w:sz w:val="24"/>
              </w:rPr>
              <w:t>、产业政策相符性分析</w:t>
            </w:r>
          </w:p>
          <w:p>
            <w:pPr>
              <w:autoSpaceDE w:val="0"/>
              <w:autoSpaceDN w:val="0"/>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szCs w:val="24"/>
              </w:rPr>
              <w:t>本项目产业政策相符性分析具体见表1-1</w:t>
            </w:r>
            <w:r>
              <w:rPr>
                <w:rFonts w:hint="default" w:ascii="Times New Roman" w:hAnsi="Times New Roman" w:eastAsia="宋体" w:cs="Times New Roman"/>
                <w:color w:val="auto"/>
                <w:sz w:val="24"/>
              </w:rPr>
              <w:t>。</w:t>
            </w:r>
          </w:p>
          <w:p>
            <w:pPr>
              <w:widowControl/>
              <w:jc w:val="center"/>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kern w:val="0"/>
                <w:sz w:val="24"/>
                <w:lang w:bidi="ar"/>
              </w:rPr>
              <w:t xml:space="preserve">表1-1  </w:t>
            </w:r>
            <w:r>
              <w:rPr>
                <w:rFonts w:hint="default" w:ascii="Times New Roman" w:hAnsi="Times New Roman" w:eastAsia="宋体" w:cs="Times New Roman"/>
                <w:b/>
                <w:bCs/>
                <w:color w:val="auto"/>
                <w:sz w:val="24"/>
                <w:szCs w:val="24"/>
              </w:rPr>
              <w:t>本项目产业政策相符性</w:t>
            </w:r>
            <w:r>
              <w:rPr>
                <w:rFonts w:hint="default" w:ascii="Times New Roman" w:hAnsi="Times New Roman" w:eastAsia="宋体" w:cs="Times New Roman"/>
                <w:b/>
                <w:bCs/>
                <w:color w:val="auto"/>
                <w:sz w:val="24"/>
                <w:szCs w:val="24"/>
                <w:lang w:val="en-US" w:eastAsia="zh-CN"/>
              </w:rPr>
              <w:t>分析</w:t>
            </w:r>
          </w:p>
          <w:tbl>
            <w:tblPr>
              <w:tblStyle w:val="22"/>
              <w:tblW w:w="4999"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69"/>
              <w:gridCol w:w="792"/>
              <w:gridCol w:w="6107"/>
              <w:gridCol w:w="76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88" w:type="pct"/>
                  <w:noWrap w:val="0"/>
                  <w:vAlign w:val="center"/>
                </w:tcPr>
                <w:p>
                  <w:pPr>
                    <w:autoSpaceDE w:val="0"/>
                    <w:autoSpaceDN w:val="0"/>
                    <w:snapToGrid w:val="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序号</w:t>
                  </w:r>
                </w:p>
              </w:tc>
              <w:tc>
                <w:tcPr>
                  <w:tcW w:w="487" w:type="pct"/>
                  <w:noWrap w:val="0"/>
                  <w:vAlign w:val="center"/>
                </w:tcPr>
                <w:p>
                  <w:pPr>
                    <w:autoSpaceDE w:val="0"/>
                    <w:autoSpaceDN w:val="0"/>
                    <w:snapToGrid w:val="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判断类型</w:t>
                  </w:r>
                </w:p>
              </w:tc>
              <w:tc>
                <w:tcPr>
                  <w:tcW w:w="3754" w:type="pct"/>
                  <w:noWrap w:val="0"/>
                  <w:vAlign w:val="center"/>
                </w:tcPr>
                <w:p>
                  <w:pPr>
                    <w:autoSpaceDE w:val="0"/>
                    <w:autoSpaceDN w:val="0"/>
                    <w:snapToGrid w:val="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对照分析</w:t>
                  </w:r>
                </w:p>
              </w:tc>
              <w:tc>
                <w:tcPr>
                  <w:tcW w:w="469" w:type="pct"/>
                  <w:noWrap w:val="0"/>
                  <w:vAlign w:val="center"/>
                </w:tcPr>
                <w:p>
                  <w:pPr>
                    <w:autoSpaceDE w:val="0"/>
                    <w:autoSpaceDN w:val="0"/>
                    <w:snapToGrid w:val="0"/>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rPr>
                    <w:t>是否</w:t>
                  </w:r>
                  <w:r>
                    <w:rPr>
                      <w:rFonts w:hint="default" w:ascii="Times New Roman" w:hAnsi="Times New Roman" w:eastAsia="宋体" w:cs="Times New Roman"/>
                      <w:b/>
                      <w:bCs/>
                      <w:color w:val="auto"/>
                      <w:sz w:val="21"/>
                      <w:szCs w:val="21"/>
                      <w:lang w:val="en-US" w:eastAsia="zh-CN"/>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288" w:type="pct"/>
                  <w:noWrap w:val="0"/>
                  <w:vAlign w:val="center"/>
                </w:tcPr>
                <w:p>
                  <w:pPr>
                    <w:autoSpaceDE w:val="0"/>
                    <w:autoSpaceDN w:val="0"/>
                    <w:snapToGrid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487" w:type="pct"/>
                  <w:vMerge w:val="restart"/>
                  <w:noWrap w:val="0"/>
                  <w:vAlign w:val="center"/>
                </w:tcPr>
                <w:p>
                  <w:pPr>
                    <w:autoSpaceDE w:val="0"/>
                    <w:autoSpaceDN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产业政策</w:t>
                  </w:r>
                </w:p>
              </w:tc>
              <w:tc>
                <w:tcPr>
                  <w:tcW w:w="3754" w:type="pct"/>
                  <w:noWrap w:val="0"/>
                  <w:vAlign w:val="center"/>
                </w:tcPr>
                <w:p>
                  <w:pPr>
                    <w:autoSpaceDE w:val="0"/>
                    <w:autoSpaceDN w:val="0"/>
                    <w:snapToGrid w:val="0"/>
                    <w:ind w:firstLine="420" w:firstLineChars="20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本项目属于</w:t>
                  </w:r>
                  <w:r>
                    <w:rPr>
                      <w:rFonts w:hint="default" w:ascii="Times New Roman" w:hAnsi="Times New Roman" w:eastAsia="宋体" w:cs="Times New Roman"/>
                      <w:color w:val="auto"/>
                      <w:szCs w:val="21"/>
                      <w:lang w:eastAsia="zh-CN"/>
                    </w:rPr>
                    <w:t>金属表面处理及热处理加工</w:t>
                  </w:r>
                  <w:r>
                    <w:rPr>
                      <w:rFonts w:hint="default" w:ascii="Times New Roman" w:hAnsi="Times New Roman" w:eastAsia="宋体" w:cs="Times New Roman"/>
                      <w:color w:val="auto"/>
                      <w:sz w:val="21"/>
                      <w:szCs w:val="21"/>
                    </w:rPr>
                    <w:t>项目，不属于《产业结构调整指导目录（20</w:t>
                  </w:r>
                  <w:r>
                    <w:rPr>
                      <w:rFonts w:hint="eastAsia" w:cs="Times New Roman"/>
                      <w:color w:val="auto"/>
                      <w:sz w:val="21"/>
                      <w:szCs w:val="21"/>
                      <w:lang w:val="en-US" w:eastAsia="zh-CN"/>
                    </w:rPr>
                    <w:t>21年修改</w:t>
                  </w:r>
                  <w:r>
                    <w:rPr>
                      <w:rFonts w:hint="default" w:ascii="Times New Roman" w:hAnsi="Times New Roman" w:eastAsia="宋体" w:cs="Times New Roman"/>
                      <w:color w:val="auto"/>
                      <w:sz w:val="21"/>
                      <w:szCs w:val="21"/>
                    </w:rPr>
                    <w:t>）》中的限制及淘汰类</w:t>
                  </w:r>
                </w:p>
              </w:tc>
              <w:tc>
                <w:tcPr>
                  <w:tcW w:w="469" w:type="pct"/>
                  <w:noWrap w:val="0"/>
                  <w:vAlign w:val="center"/>
                </w:tcPr>
                <w:p>
                  <w:pPr>
                    <w:autoSpaceDE w:val="0"/>
                    <w:autoSpaceDN w:val="0"/>
                    <w:snapToGrid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57" w:hRule="atLeast"/>
              </w:trPr>
              <w:tc>
                <w:tcPr>
                  <w:tcW w:w="288" w:type="pct"/>
                  <w:noWrap w:val="0"/>
                  <w:vAlign w:val="center"/>
                </w:tcPr>
                <w:p>
                  <w:pPr>
                    <w:autoSpaceDE w:val="0"/>
                    <w:autoSpaceDN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487" w:type="pct"/>
                  <w:vMerge w:val="continue"/>
                  <w:noWrap w:val="0"/>
                  <w:vAlign w:val="center"/>
                </w:tcPr>
                <w:p>
                  <w:pPr>
                    <w:autoSpaceDE w:val="0"/>
                    <w:autoSpaceDN w:val="0"/>
                    <w:snapToGrid w:val="0"/>
                    <w:jc w:val="center"/>
                    <w:rPr>
                      <w:rFonts w:hint="default" w:ascii="Times New Roman" w:hAnsi="Times New Roman" w:eastAsia="宋体" w:cs="Times New Roman"/>
                      <w:color w:val="auto"/>
                      <w:sz w:val="21"/>
                      <w:szCs w:val="21"/>
                    </w:rPr>
                  </w:pPr>
                </w:p>
              </w:tc>
              <w:tc>
                <w:tcPr>
                  <w:tcW w:w="3754" w:type="pct"/>
                  <w:noWrap w:val="0"/>
                  <w:vAlign w:val="center"/>
                </w:tcPr>
                <w:p>
                  <w:pPr>
                    <w:autoSpaceDE w:val="0"/>
                    <w:autoSpaceDN w:val="0"/>
                    <w:snapToGrid w:val="0"/>
                    <w:ind w:firstLine="420" w:firstLineChars="20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本项目属于</w:t>
                  </w:r>
                  <w:r>
                    <w:rPr>
                      <w:rFonts w:hint="default" w:ascii="Times New Roman" w:hAnsi="Times New Roman" w:eastAsia="宋体" w:cs="Times New Roman"/>
                      <w:color w:val="auto"/>
                      <w:szCs w:val="21"/>
                      <w:lang w:eastAsia="zh-CN"/>
                    </w:rPr>
                    <w:t>金属表面处理及热处理加工</w:t>
                  </w:r>
                  <w:r>
                    <w:rPr>
                      <w:rFonts w:hint="default" w:ascii="Times New Roman" w:hAnsi="Times New Roman" w:eastAsia="宋体" w:cs="Times New Roman"/>
                      <w:color w:val="auto"/>
                      <w:sz w:val="21"/>
                      <w:szCs w:val="21"/>
                    </w:rPr>
                    <w:t>项目，不属于《江苏省产业结构调整限制、淘汰和禁止目录（2018年本）》中的限制、淘汰及禁止类</w:t>
                  </w:r>
                </w:p>
              </w:tc>
              <w:tc>
                <w:tcPr>
                  <w:tcW w:w="469" w:type="pct"/>
                  <w:noWrap w:val="0"/>
                  <w:vAlign w:val="center"/>
                </w:tcPr>
                <w:p>
                  <w:pPr>
                    <w:autoSpaceDE w:val="0"/>
                    <w:autoSpaceDN w:val="0"/>
                    <w:snapToGrid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54" w:hRule="atLeast"/>
              </w:trPr>
              <w:tc>
                <w:tcPr>
                  <w:tcW w:w="288" w:type="pct"/>
                  <w:noWrap w:val="0"/>
                  <w:vAlign w:val="center"/>
                </w:tcPr>
                <w:p>
                  <w:pPr>
                    <w:autoSpaceDE w:val="0"/>
                    <w:autoSpaceDN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w:t>
                  </w:r>
                </w:p>
              </w:tc>
              <w:tc>
                <w:tcPr>
                  <w:tcW w:w="487" w:type="pct"/>
                  <w:vMerge w:val="continue"/>
                  <w:noWrap w:val="0"/>
                  <w:vAlign w:val="center"/>
                </w:tcPr>
                <w:p>
                  <w:pPr>
                    <w:autoSpaceDE w:val="0"/>
                    <w:autoSpaceDN w:val="0"/>
                    <w:snapToGrid w:val="0"/>
                    <w:jc w:val="center"/>
                    <w:rPr>
                      <w:rFonts w:hint="default" w:ascii="Times New Roman" w:hAnsi="Times New Roman" w:eastAsia="宋体" w:cs="Times New Roman"/>
                      <w:color w:val="auto"/>
                      <w:sz w:val="21"/>
                      <w:szCs w:val="21"/>
                    </w:rPr>
                  </w:pPr>
                </w:p>
              </w:tc>
              <w:tc>
                <w:tcPr>
                  <w:tcW w:w="3754" w:type="pct"/>
                  <w:noWrap w:val="0"/>
                  <w:vAlign w:val="center"/>
                </w:tcPr>
                <w:p>
                  <w:pPr>
                    <w:autoSpaceDE w:val="0"/>
                    <w:autoSpaceDN w:val="0"/>
                    <w:snapToGrid w:val="0"/>
                    <w:ind w:firstLine="420" w:firstLineChars="20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本项目属于</w:t>
                  </w:r>
                  <w:r>
                    <w:rPr>
                      <w:rFonts w:hint="default" w:ascii="Times New Roman" w:hAnsi="Times New Roman" w:eastAsia="宋体" w:cs="Times New Roman"/>
                      <w:color w:val="auto"/>
                      <w:szCs w:val="21"/>
                      <w:lang w:eastAsia="zh-CN"/>
                    </w:rPr>
                    <w:t>金属表面处理及热处理加工</w:t>
                  </w:r>
                  <w:r>
                    <w:rPr>
                      <w:rFonts w:hint="default" w:ascii="Times New Roman" w:hAnsi="Times New Roman" w:eastAsia="宋体" w:cs="Times New Roman"/>
                      <w:color w:val="auto"/>
                      <w:sz w:val="21"/>
                      <w:szCs w:val="21"/>
                    </w:rPr>
                    <w:t>项目，不属于《江苏省工业和信息产业结构调整限制淘汰目录和能耗限额》（2015年本）中限制类目录中的项目，不涉及淘汰类目录中的落后工艺装备和产品</w:t>
                  </w:r>
                </w:p>
              </w:tc>
              <w:tc>
                <w:tcPr>
                  <w:tcW w:w="469" w:type="pct"/>
                  <w:noWrap w:val="0"/>
                  <w:vAlign w:val="center"/>
                </w:tcPr>
                <w:p>
                  <w:pPr>
                    <w:autoSpaceDE w:val="0"/>
                    <w:autoSpaceDN w:val="0"/>
                    <w:snapToGrid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288" w:type="pct"/>
                  <w:noWrap w:val="0"/>
                  <w:vAlign w:val="center"/>
                </w:tcPr>
                <w:p>
                  <w:pPr>
                    <w:autoSpaceDE w:val="0"/>
                    <w:autoSpaceDN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w:t>
                  </w:r>
                </w:p>
              </w:tc>
              <w:tc>
                <w:tcPr>
                  <w:tcW w:w="487" w:type="pct"/>
                  <w:vMerge w:val="continue"/>
                  <w:noWrap w:val="0"/>
                  <w:vAlign w:val="center"/>
                </w:tcPr>
                <w:p>
                  <w:pPr>
                    <w:autoSpaceDE w:val="0"/>
                    <w:autoSpaceDN w:val="0"/>
                    <w:snapToGrid w:val="0"/>
                    <w:jc w:val="center"/>
                    <w:rPr>
                      <w:rFonts w:hint="default" w:ascii="Times New Roman" w:hAnsi="Times New Roman" w:eastAsia="宋体" w:cs="Times New Roman"/>
                      <w:color w:val="auto"/>
                      <w:sz w:val="21"/>
                      <w:szCs w:val="21"/>
                    </w:rPr>
                  </w:pPr>
                </w:p>
              </w:tc>
              <w:tc>
                <w:tcPr>
                  <w:tcW w:w="3754" w:type="pct"/>
                  <w:noWrap w:val="0"/>
                  <w:vAlign w:val="center"/>
                </w:tcPr>
                <w:p>
                  <w:pPr>
                    <w:autoSpaceDE w:val="0"/>
                    <w:autoSpaceDN w:val="0"/>
                    <w:snapToGrid w:val="0"/>
                    <w:ind w:firstLine="420" w:firstLineChars="20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本项目属于</w:t>
                  </w:r>
                  <w:r>
                    <w:rPr>
                      <w:rFonts w:hint="default" w:ascii="Times New Roman" w:hAnsi="Times New Roman" w:eastAsia="宋体" w:cs="Times New Roman"/>
                      <w:color w:val="auto"/>
                      <w:szCs w:val="21"/>
                      <w:lang w:eastAsia="zh-CN"/>
                    </w:rPr>
                    <w:t>金属表面处理及热处理加工</w:t>
                  </w:r>
                  <w:r>
                    <w:rPr>
                      <w:rFonts w:hint="default" w:ascii="Times New Roman" w:hAnsi="Times New Roman" w:eastAsia="宋体" w:cs="Times New Roman"/>
                      <w:color w:val="auto"/>
                      <w:sz w:val="21"/>
                      <w:szCs w:val="21"/>
                    </w:rPr>
                    <w:t>项目，不属于《长江经济带发展负面清单指南》中的禁止类项目；不属于《市场准入负面清单（2020年版）》中的禁止类项目</w:t>
                  </w:r>
                </w:p>
              </w:tc>
              <w:tc>
                <w:tcPr>
                  <w:tcW w:w="469" w:type="pct"/>
                  <w:noWrap w:val="0"/>
                  <w:vAlign w:val="center"/>
                </w:tcPr>
                <w:p>
                  <w:pPr>
                    <w:autoSpaceDE w:val="0"/>
                    <w:autoSpaceDN w:val="0"/>
                    <w:snapToGrid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288" w:type="pct"/>
                  <w:noWrap w:val="0"/>
                  <w:vAlign w:val="center"/>
                </w:tcPr>
                <w:p>
                  <w:pPr>
                    <w:autoSpaceDE w:val="0"/>
                    <w:autoSpaceDN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w:t>
                  </w:r>
                </w:p>
              </w:tc>
              <w:tc>
                <w:tcPr>
                  <w:tcW w:w="487" w:type="pct"/>
                  <w:vMerge w:val="continue"/>
                  <w:noWrap w:val="0"/>
                  <w:vAlign w:val="center"/>
                </w:tcPr>
                <w:p>
                  <w:pPr>
                    <w:autoSpaceDE w:val="0"/>
                    <w:autoSpaceDN w:val="0"/>
                    <w:snapToGrid w:val="0"/>
                    <w:jc w:val="center"/>
                    <w:rPr>
                      <w:rFonts w:hint="default" w:ascii="Times New Roman" w:hAnsi="Times New Roman" w:eastAsia="宋体" w:cs="Times New Roman"/>
                      <w:color w:val="auto"/>
                      <w:sz w:val="21"/>
                      <w:szCs w:val="21"/>
                    </w:rPr>
                  </w:pPr>
                </w:p>
              </w:tc>
              <w:tc>
                <w:tcPr>
                  <w:tcW w:w="3754" w:type="pct"/>
                  <w:noWrap w:val="0"/>
                  <w:vAlign w:val="center"/>
                </w:tcPr>
                <w:p>
                  <w:pPr>
                    <w:autoSpaceDE w:val="0"/>
                    <w:autoSpaceDN w:val="0"/>
                    <w:snapToGrid w:val="0"/>
                    <w:ind w:firstLine="420" w:firstLineChars="20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本项目已在常州市武进区行政审批局进行了备案（备案号：</w:t>
                  </w:r>
                  <w:r>
                    <w:rPr>
                      <w:rFonts w:hint="default" w:ascii="Times New Roman" w:hAnsi="Times New Roman" w:eastAsia="宋体" w:cs="Times New Roman"/>
                      <w:color w:val="auto"/>
                      <w:szCs w:val="21"/>
                    </w:rPr>
                    <w:t>武行审备[202</w:t>
                  </w:r>
                  <w:r>
                    <w:rPr>
                      <w:rFonts w:hint="default" w:ascii="Times New Roman" w:hAnsi="Times New Roman" w:eastAsia="宋体" w:cs="Times New Roman"/>
                      <w:color w:val="auto"/>
                      <w:szCs w:val="21"/>
                      <w:lang w:val="en-US" w:eastAsia="zh-CN"/>
                    </w:rPr>
                    <w:t>2</w:t>
                  </w:r>
                  <w:r>
                    <w:rPr>
                      <w:rFonts w:hint="default" w:ascii="Times New Roman" w:hAnsi="Times New Roman" w:eastAsia="宋体" w:cs="Times New Roman"/>
                      <w:color w:val="auto"/>
                      <w:szCs w:val="21"/>
                    </w:rPr>
                    <w:t>]</w:t>
                  </w:r>
                  <w:r>
                    <w:rPr>
                      <w:rFonts w:hint="default" w:ascii="Times New Roman" w:hAnsi="Times New Roman" w:eastAsia="宋体" w:cs="Times New Roman"/>
                      <w:color w:val="auto"/>
                      <w:szCs w:val="21"/>
                      <w:lang w:val="en-US" w:eastAsia="zh-CN"/>
                    </w:rPr>
                    <w:t>12</w:t>
                  </w:r>
                  <w:r>
                    <w:rPr>
                      <w:rFonts w:hint="default" w:ascii="Times New Roman" w:hAnsi="Times New Roman" w:eastAsia="宋体" w:cs="Times New Roman"/>
                      <w:color w:val="auto"/>
                      <w:szCs w:val="21"/>
                    </w:rPr>
                    <w:t>号</w:t>
                  </w:r>
                  <w:r>
                    <w:rPr>
                      <w:rFonts w:hint="default" w:ascii="Times New Roman" w:hAnsi="Times New Roman" w:eastAsia="宋体" w:cs="Times New Roman"/>
                      <w:color w:val="auto"/>
                      <w:sz w:val="21"/>
                      <w:szCs w:val="21"/>
                    </w:rPr>
                    <w:t>，见附件），符合区域产业政策</w:t>
                  </w:r>
                </w:p>
              </w:tc>
              <w:tc>
                <w:tcPr>
                  <w:tcW w:w="469" w:type="pct"/>
                  <w:noWrap w:val="0"/>
                  <w:vAlign w:val="center"/>
                </w:tcPr>
                <w:p>
                  <w:pPr>
                    <w:autoSpaceDE w:val="0"/>
                    <w:autoSpaceDN w:val="0"/>
                    <w:snapToGrid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是</w:t>
                  </w:r>
                </w:p>
              </w:tc>
            </w:tr>
          </w:tbl>
          <w:p>
            <w:pPr>
              <w:autoSpaceDE w:val="0"/>
              <w:autoSpaceDN w:val="0"/>
              <w:adjustRightInd w:val="0"/>
              <w:snapToGrid w:val="0"/>
              <w:spacing w:line="360" w:lineRule="auto"/>
              <w:ind w:firstLine="480" w:firstLineChars="200"/>
              <w:jc w:val="left"/>
              <w:rPr>
                <w:rFonts w:hint="default" w:ascii="Times New Roman" w:hAnsi="Times New Roman" w:eastAsia="宋体" w:cs="Times New Roman"/>
                <w:b/>
                <w:color w:val="auto"/>
                <w:sz w:val="24"/>
              </w:rPr>
            </w:pPr>
            <w:r>
              <w:rPr>
                <w:rFonts w:hint="default" w:ascii="Times New Roman" w:hAnsi="Times New Roman" w:eastAsia="宋体" w:cs="Times New Roman"/>
                <w:color w:val="auto"/>
                <w:sz w:val="24"/>
                <w:szCs w:val="24"/>
              </w:rPr>
              <w:t>由上表可知，本项目符合国家及地方产业政策。</w:t>
            </w:r>
          </w:p>
          <w:p>
            <w:pPr>
              <w:autoSpaceDE w:val="0"/>
              <w:autoSpaceDN w:val="0"/>
              <w:adjustRightInd w:val="0"/>
              <w:snapToGrid w:val="0"/>
              <w:spacing w:line="360" w:lineRule="auto"/>
              <w:jc w:val="left"/>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lang w:val="en-US" w:eastAsia="zh-CN"/>
              </w:rPr>
              <w:t>2</w:t>
            </w:r>
            <w:r>
              <w:rPr>
                <w:rFonts w:hint="default" w:ascii="Times New Roman" w:hAnsi="Times New Roman" w:eastAsia="宋体" w:cs="Times New Roman"/>
                <w:b/>
                <w:color w:val="auto"/>
                <w:sz w:val="24"/>
              </w:rPr>
              <w:t>、“三线一单”控制要求相符性分析</w:t>
            </w:r>
          </w:p>
          <w:p>
            <w:pPr>
              <w:autoSpaceDE w:val="0"/>
              <w:autoSpaceDN w:val="0"/>
              <w:adjustRightInd w:val="0"/>
              <w:snapToGrid w:val="0"/>
              <w:spacing w:line="360" w:lineRule="auto"/>
              <w:ind w:firstLine="482" w:firstLineChars="200"/>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（1）根据《关于以改善环境质量为核心加强环境影响评价管理的通知》（环环评[2016]150号），对本项目建设进行“三线一单”相符性分析：</w:t>
            </w:r>
          </w:p>
          <w:p>
            <w:pPr>
              <w:widowControl/>
              <w:jc w:val="center"/>
              <w:rPr>
                <w:rFonts w:hint="default" w:ascii="Times New Roman" w:hAnsi="Times New Roman" w:eastAsia="宋体" w:cs="Times New Roman"/>
                <w:color w:val="auto"/>
              </w:rPr>
            </w:pPr>
            <w:r>
              <w:rPr>
                <w:rFonts w:hint="default" w:ascii="Times New Roman" w:hAnsi="Times New Roman" w:eastAsia="宋体" w:cs="Times New Roman"/>
                <w:b/>
                <w:bCs/>
                <w:color w:val="auto"/>
                <w:kern w:val="0"/>
                <w:sz w:val="24"/>
                <w:lang w:bidi="ar"/>
              </w:rPr>
              <w:t>表1-</w:t>
            </w:r>
            <w:r>
              <w:rPr>
                <w:rFonts w:hint="default" w:ascii="Times New Roman" w:hAnsi="Times New Roman" w:eastAsia="宋体" w:cs="Times New Roman"/>
                <w:b/>
                <w:bCs/>
                <w:color w:val="auto"/>
                <w:kern w:val="0"/>
                <w:sz w:val="24"/>
                <w:lang w:val="en-US" w:eastAsia="zh-CN" w:bidi="ar"/>
              </w:rPr>
              <w:t>2</w:t>
            </w:r>
            <w:r>
              <w:rPr>
                <w:rFonts w:hint="default" w:ascii="Times New Roman" w:hAnsi="Times New Roman" w:eastAsia="宋体" w:cs="Times New Roman"/>
                <w:b/>
                <w:bCs/>
                <w:color w:val="auto"/>
                <w:kern w:val="0"/>
                <w:sz w:val="24"/>
                <w:lang w:bidi="ar"/>
              </w:rPr>
              <w:t xml:space="preserve">  “三线一单”符合性分析情况一览表</w:t>
            </w:r>
          </w:p>
          <w:tbl>
            <w:tblPr>
              <w:tblStyle w:val="22"/>
              <w:tblW w:w="8044"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64"/>
              <w:gridCol w:w="785"/>
              <w:gridCol w:w="6040"/>
              <w:gridCol w:w="75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4" w:type="dxa"/>
                  <w:noWrap w:val="0"/>
                  <w:vAlign w:val="center"/>
                </w:tcPr>
                <w:p>
                  <w:pPr>
                    <w:autoSpaceDE w:val="0"/>
                    <w:autoSpaceDN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序号</w:t>
                  </w:r>
                </w:p>
              </w:tc>
              <w:tc>
                <w:tcPr>
                  <w:tcW w:w="785" w:type="dxa"/>
                  <w:noWrap w:val="0"/>
                  <w:vAlign w:val="center"/>
                </w:tcPr>
                <w:p>
                  <w:pPr>
                    <w:autoSpaceDE w:val="0"/>
                    <w:autoSpaceDN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判断类型</w:t>
                  </w:r>
                </w:p>
              </w:tc>
              <w:tc>
                <w:tcPr>
                  <w:tcW w:w="6040" w:type="dxa"/>
                  <w:noWrap w:val="0"/>
                  <w:vAlign w:val="center"/>
                </w:tcPr>
                <w:p>
                  <w:pPr>
                    <w:autoSpaceDE w:val="0"/>
                    <w:autoSpaceDN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对照分析</w:t>
                  </w:r>
                </w:p>
              </w:tc>
              <w:tc>
                <w:tcPr>
                  <w:tcW w:w="755" w:type="dxa"/>
                  <w:noWrap w:val="0"/>
                  <w:vAlign w:val="center"/>
                </w:tcPr>
                <w:p>
                  <w:pPr>
                    <w:autoSpaceDE w:val="0"/>
                    <w:autoSpaceDN w:val="0"/>
                    <w:snapToGrid w:val="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rPr>
                    <w:t>是否</w:t>
                  </w:r>
                  <w:r>
                    <w:rPr>
                      <w:rFonts w:hint="default" w:ascii="Times New Roman" w:hAnsi="Times New Roman" w:eastAsia="宋体" w:cs="Times New Roman"/>
                      <w:b/>
                      <w:bCs/>
                      <w:color w:val="auto"/>
                      <w:szCs w:val="21"/>
                      <w:lang w:val="en-US" w:eastAsia="zh-CN"/>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76" w:hRule="atLeast"/>
              </w:trPr>
              <w:tc>
                <w:tcPr>
                  <w:tcW w:w="464" w:type="dxa"/>
                  <w:noWrap w:val="0"/>
                  <w:vAlign w:val="center"/>
                </w:tcPr>
                <w:p>
                  <w:pPr>
                    <w:autoSpaceDE w:val="0"/>
                    <w:autoSpaceDN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785" w:type="dxa"/>
                  <w:noWrap w:val="0"/>
                  <w:vAlign w:val="center"/>
                </w:tcPr>
                <w:p>
                  <w:pPr>
                    <w:autoSpaceDE w:val="0"/>
                    <w:autoSpaceDN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生态红线</w:t>
                  </w:r>
                </w:p>
              </w:tc>
              <w:tc>
                <w:tcPr>
                  <w:tcW w:w="6040" w:type="dxa"/>
                  <w:noWrap w:val="0"/>
                  <w:vAlign w:val="center"/>
                </w:tcPr>
                <w:p>
                  <w:pPr>
                    <w:autoSpaceDE w:val="0"/>
                    <w:autoSpaceDN w:val="0"/>
                    <w:snapToGrid w:val="0"/>
                    <w:ind w:firstLine="420" w:firstLineChars="200"/>
                    <w:jc w:val="left"/>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根据《省政府关于印发江苏省生态空间管控区域规划的通知》（苏政发[2020]1号）、《省政府关于印发江苏省国家级生态保护红线规划的通知》（苏政发[2018]74号）</w:t>
                  </w:r>
                  <w:r>
                    <w:rPr>
                      <w:rFonts w:hint="eastAsia" w:cs="Times New Roman"/>
                      <w:color w:val="auto"/>
                      <w:szCs w:val="21"/>
                      <w:lang w:val="en-US" w:eastAsia="zh-CN"/>
                    </w:rPr>
                    <w:t>文件</w:t>
                  </w:r>
                  <w:r>
                    <w:rPr>
                      <w:rFonts w:hint="default" w:ascii="Times New Roman" w:hAnsi="Times New Roman" w:eastAsia="宋体" w:cs="Times New Roman"/>
                      <w:color w:val="auto"/>
                      <w:szCs w:val="21"/>
                    </w:rPr>
                    <w:t>，距离本项目最近的国家级生态保护红线区域</w:t>
                  </w:r>
                  <w:r>
                    <w:rPr>
                      <w:rFonts w:hint="default" w:ascii="Times New Roman" w:hAnsi="Times New Roman" w:eastAsia="宋体" w:cs="Times New Roman"/>
                      <w:color w:val="auto"/>
                      <w:szCs w:val="21"/>
                      <w:lang w:val="en-US" w:eastAsia="zh-CN"/>
                    </w:rPr>
                    <w:t>及</w:t>
                  </w:r>
                  <w:r>
                    <w:rPr>
                      <w:rFonts w:hint="default" w:ascii="Times New Roman" w:hAnsi="Times New Roman" w:eastAsia="宋体" w:cs="Times New Roman"/>
                      <w:color w:val="auto"/>
                      <w:szCs w:val="21"/>
                    </w:rPr>
                    <w:t>最近的江苏省生态空间管控区域</w:t>
                  </w:r>
                  <w:r>
                    <w:rPr>
                      <w:rFonts w:hint="default" w:ascii="Times New Roman" w:hAnsi="Times New Roman" w:eastAsia="宋体" w:cs="Times New Roman"/>
                      <w:color w:val="auto"/>
                      <w:szCs w:val="21"/>
                      <w:lang w:val="en-US" w:eastAsia="zh-CN"/>
                    </w:rPr>
                    <w:t>均</w:t>
                  </w:r>
                  <w:r>
                    <w:rPr>
                      <w:rFonts w:hint="default" w:ascii="Times New Roman" w:hAnsi="Times New Roman" w:eastAsia="宋体" w:cs="Times New Roman"/>
                      <w:color w:val="auto"/>
                      <w:szCs w:val="21"/>
                    </w:rPr>
                    <w:t>为滆湖重要湿地（武进区），位于项目西侧</w:t>
                  </w:r>
                  <w:r>
                    <w:rPr>
                      <w:rFonts w:hint="default" w:ascii="Times New Roman" w:hAnsi="Times New Roman" w:eastAsia="宋体" w:cs="Times New Roman"/>
                      <w:color w:val="auto"/>
                      <w:szCs w:val="21"/>
                      <w:lang w:val="en-US" w:eastAsia="zh-CN"/>
                    </w:rPr>
                    <w:t>2.5</w:t>
                  </w:r>
                  <w:r>
                    <w:rPr>
                      <w:rFonts w:hint="default" w:ascii="Times New Roman" w:hAnsi="Times New Roman" w:eastAsia="宋体" w:cs="Times New Roman"/>
                      <w:color w:val="auto"/>
                      <w:szCs w:val="21"/>
                    </w:rPr>
                    <w:t>km处。因此本项目不在文件中所列的国家级生态保护红线范围及生态空间管控区域范围内，</w:t>
                  </w:r>
                  <w:r>
                    <w:rPr>
                      <w:rFonts w:hint="default" w:ascii="Times New Roman" w:hAnsi="Times New Roman" w:eastAsia="宋体" w:cs="Times New Roman"/>
                      <w:color w:val="auto"/>
                      <w:szCs w:val="21"/>
                      <w:lang w:val="en-US" w:eastAsia="zh-CN"/>
                    </w:rPr>
                    <w:t>符合</w:t>
                  </w:r>
                  <w:r>
                    <w:rPr>
                      <w:rFonts w:hint="default" w:ascii="Times New Roman" w:hAnsi="Times New Roman" w:eastAsia="宋体" w:cs="Times New Roman"/>
                      <w:color w:val="auto"/>
                      <w:szCs w:val="21"/>
                    </w:rPr>
                    <w:t>《省政府关于印发江苏省生态空间管控区域规划的通知》（苏政发[2020]1号）、《省政府关于印发江苏省国家级生态保护红线规划的通知》（苏政发[2018]74号）</w:t>
                  </w:r>
                  <w:r>
                    <w:rPr>
                      <w:rFonts w:hint="default" w:ascii="Times New Roman" w:hAnsi="Times New Roman" w:eastAsia="宋体" w:cs="Times New Roman"/>
                      <w:color w:val="auto"/>
                      <w:szCs w:val="21"/>
                      <w:lang w:val="en-US" w:eastAsia="zh-CN"/>
                    </w:rPr>
                    <w:t>文件要求。</w:t>
                  </w:r>
                </w:p>
              </w:tc>
              <w:tc>
                <w:tcPr>
                  <w:tcW w:w="755" w:type="dxa"/>
                  <w:noWrap w:val="0"/>
                  <w:vAlign w:val="center"/>
                </w:tcPr>
                <w:p>
                  <w:pPr>
                    <w:autoSpaceDE w:val="0"/>
                    <w:autoSpaceDN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4" w:type="dxa"/>
                  <w:noWrap w:val="0"/>
                  <w:vAlign w:val="center"/>
                </w:tcPr>
                <w:p>
                  <w:pPr>
                    <w:autoSpaceDE w:val="0"/>
                    <w:autoSpaceDN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785" w:type="dxa"/>
                  <w:noWrap w:val="0"/>
                  <w:vAlign w:val="center"/>
                </w:tcPr>
                <w:p>
                  <w:pPr>
                    <w:autoSpaceDE w:val="0"/>
                    <w:autoSpaceDN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环境质量底线</w:t>
                  </w:r>
                </w:p>
              </w:tc>
              <w:tc>
                <w:tcPr>
                  <w:tcW w:w="6040" w:type="dxa"/>
                  <w:noWrap w:val="0"/>
                  <w:vAlign w:val="center"/>
                </w:tcPr>
                <w:p>
                  <w:pPr>
                    <w:autoSpaceDE w:val="0"/>
                    <w:autoSpaceDN w:val="0"/>
                    <w:snapToGrid w:val="0"/>
                    <w:ind w:firstLine="420" w:firstLineChars="200"/>
                    <w:jc w:val="left"/>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根据《2020年度常州市生态环境状况公报》，2020年常州市环境空气中SO</w:t>
                  </w:r>
                  <w:r>
                    <w:rPr>
                      <w:rFonts w:hint="default" w:ascii="Times New Roman" w:hAnsi="Times New Roman" w:eastAsia="宋体" w:cs="Times New Roman"/>
                      <w:color w:val="auto"/>
                      <w:szCs w:val="21"/>
                      <w:vertAlign w:val="subscript"/>
                    </w:rPr>
                    <w:t>2</w:t>
                  </w:r>
                  <w:r>
                    <w:rPr>
                      <w:rFonts w:hint="default" w:ascii="Times New Roman" w:hAnsi="Times New Roman" w:eastAsia="宋体" w:cs="Times New Roman"/>
                      <w:color w:val="auto"/>
                      <w:szCs w:val="21"/>
                    </w:rPr>
                    <w:t>年均值与日均值、NO</w:t>
                  </w:r>
                  <w:r>
                    <w:rPr>
                      <w:rFonts w:hint="default" w:ascii="Times New Roman" w:hAnsi="Times New Roman" w:eastAsia="宋体" w:cs="Times New Roman"/>
                      <w:color w:val="auto"/>
                      <w:szCs w:val="21"/>
                      <w:vertAlign w:val="subscript"/>
                    </w:rPr>
                    <w:t>2</w:t>
                  </w:r>
                  <w:r>
                    <w:rPr>
                      <w:rFonts w:hint="default" w:ascii="Times New Roman" w:hAnsi="Times New Roman" w:eastAsia="宋体" w:cs="Times New Roman"/>
                      <w:color w:val="auto"/>
                      <w:szCs w:val="21"/>
                    </w:rPr>
                    <w:t>年均值、PM</w:t>
                  </w:r>
                  <w:r>
                    <w:rPr>
                      <w:rFonts w:hint="default" w:ascii="Times New Roman" w:hAnsi="Times New Roman" w:eastAsia="宋体" w:cs="Times New Roman"/>
                      <w:color w:val="auto"/>
                      <w:szCs w:val="21"/>
                      <w:vertAlign w:val="subscript"/>
                    </w:rPr>
                    <w:t>10</w:t>
                  </w:r>
                  <w:r>
                    <w:rPr>
                      <w:rFonts w:hint="default" w:ascii="Times New Roman" w:hAnsi="Times New Roman" w:eastAsia="宋体" w:cs="Times New Roman"/>
                      <w:color w:val="auto"/>
                      <w:szCs w:val="21"/>
                    </w:rPr>
                    <w:t>年均值和CO日均值均达到环境空气质量二级标准；NO</w:t>
                  </w:r>
                  <w:r>
                    <w:rPr>
                      <w:rFonts w:hint="default" w:ascii="Times New Roman" w:hAnsi="Times New Roman" w:eastAsia="宋体" w:cs="Times New Roman"/>
                      <w:color w:val="auto"/>
                      <w:szCs w:val="21"/>
                      <w:vertAlign w:val="subscript"/>
                    </w:rPr>
                    <w:t>2</w:t>
                  </w:r>
                  <w:r>
                    <w:rPr>
                      <w:rFonts w:hint="default" w:ascii="Times New Roman" w:hAnsi="Times New Roman" w:eastAsia="宋体" w:cs="Times New Roman"/>
                      <w:color w:val="auto"/>
                      <w:szCs w:val="21"/>
                    </w:rPr>
                    <w:t>日均值、PM</w:t>
                  </w:r>
                  <w:r>
                    <w:rPr>
                      <w:rFonts w:hint="default" w:ascii="Times New Roman" w:hAnsi="Times New Roman" w:eastAsia="宋体" w:cs="Times New Roman"/>
                      <w:color w:val="auto"/>
                      <w:szCs w:val="21"/>
                      <w:vertAlign w:val="subscript"/>
                    </w:rPr>
                    <w:t>10</w:t>
                  </w:r>
                  <w:r>
                    <w:rPr>
                      <w:rFonts w:hint="default" w:ascii="Times New Roman" w:hAnsi="Times New Roman" w:eastAsia="宋体" w:cs="Times New Roman"/>
                      <w:color w:val="auto"/>
                      <w:szCs w:val="21"/>
                    </w:rPr>
                    <w:t>日均值、PM</w:t>
                  </w:r>
                  <w:r>
                    <w:rPr>
                      <w:rFonts w:hint="default" w:ascii="Times New Roman" w:hAnsi="Times New Roman" w:eastAsia="宋体" w:cs="Times New Roman"/>
                      <w:color w:val="auto"/>
                      <w:szCs w:val="21"/>
                      <w:vertAlign w:val="subscript"/>
                    </w:rPr>
                    <w:t>2.5</w:t>
                  </w:r>
                  <w:r>
                    <w:rPr>
                      <w:rFonts w:hint="default" w:ascii="Times New Roman" w:hAnsi="Times New Roman" w:eastAsia="宋体" w:cs="Times New Roman"/>
                      <w:color w:val="auto"/>
                      <w:szCs w:val="21"/>
                    </w:rPr>
                    <w:t>年均值和日均值、臭氧日最大8小时滑动均值均超过环境空气质量二级标准。项目所在区NO</w:t>
                  </w:r>
                  <w:r>
                    <w:rPr>
                      <w:rFonts w:hint="default" w:ascii="Times New Roman" w:hAnsi="Times New Roman" w:eastAsia="宋体" w:cs="Times New Roman"/>
                      <w:color w:val="auto"/>
                      <w:szCs w:val="21"/>
                      <w:vertAlign w:val="subscript"/>
                    </w:rPr>
                    <w:t>2</w:t>
                  </w:r>
                  <w:r>
                    <w:rPr>
                      <w:rFonts w:hint="default" w:ascii="Times New Roman" w:hAnsi="Times New Roman" w:eastAsia="宋体" w:cs="Times New Roman"/>
                      <w:color w:val="auto"/>
                      <w:szCs w:val="21"/>
                    </w:rPr>
                    <w:t>、PM</w:t>
                  </w:r>
                  <w:r>
                    <w:rPr>
                      <w:rFonts w:hint="default" w:ascii="Times New Roman" w:hAnsi="Times New Roman" w:eastAsia="宋体" w:cs="Times New Roman"/>
                      <w:color w:val="auto"/>
                      <w:szCs w:val="21"/>
                      <w:vertAlign w:val="subscript"/>
                    </w:rPr>
                    <w:t>10</w:t>
                  </w:r>
                  <w:r>
                    <w:rPr>
                      <w:rFonts w:hint="default" w:ascii="Times New Roman" w:hAnsi="Times New Roman" w:eastAsia="宋体" w:cs="Times New Roman"/>
                      <w:color w:val="auto"/>
                      <w:szCs w:val="21"/>
                    </w:rPr>
                    <w:t>、PM</w:t>
                  </w:r>
                  <w:r>
                    <w:rPr>
                      <w:rFonts w:hint="default" w:ascii="Times New Roman" w:hAnsi="Times New Roman" w:eastAsia="宋体" w:cs="Times New Roman"/>
                      <w:color w:val="auto"/>
                      <w:szCs w:val="21"/>
                      <w:vertAlign w:val="subscript"/>
                    </w:rPr>
                    <w:t>2.5</w:t>
                  </w:r>
                  <w:r>
                    <w:rPr>
                      <w:rFonts w:hint="default" w:ascii="Times New Roman" w:hAnsi="Times New Roman" w:eastAsia="宋体" w:cs="Times New Roman"/>
                      <w:color w:val="auto"/>
                      <w:szCs w:val="21"/>
                    </w:rPr>
                    <w:t>、O</w:t>
                  </w:r>
                  <w:r>
                    <w:rPr>
                      <w:rFonts w:hint="default" w:ascii="Times New Roman" w:hAnsi="Times New Roman" w:eastAsia="宋体" w:cs="Times New Roman"/>
                      <w:color w:val="auto"/>
                      <w:szCs w:val="21"/>
                      <w:vertAlign w:val="subscript"/>
                    </w:rPr>
                    <w:t>3</w:t>
                  </w:r>
                  <w:r>
                    <w:rPr>
                      <w:rFonts w:hint="default" w:ascii="Times New Roman" w:hAnsi="Times New Roman" w:eastAsia="宋体" w:cs="Times New Roman"/>
                      <w:color w:val="auto"/>
                      <w:szCs w:val="21"/>
                    </w:rPr>
                    <w:t>超标，因此判定为非达标区。</w:t>
                  </w:r>
                  <w:r>
                    <w:rPr>
                      <w:rFonts w:hint="default" w:ascii="Times New Roman" w:hAnsi="Times New Roman" w:eastAsia="宋体" w:cs="Times New Roman"/>
                      <w:color w:val="auto"/>
                      <w:szCs w:val="21"/>
                      <w:lang w:val="en-US" w:eastAsia="zh-CN"/>
                    </w:rPr>
                    <w:t>提出</w:t>
                  </w:r>
                  <w:r>
                    <w:rPr>
                      <w:rFonts w:hint="default" w:ascii="Times New Roman" w:hAnsi="Times New Roman" w:eastAsia="宋体" w:cs="Times New Roman"/>
                      <w:color w:val="auto"/>
                      <w:szCs w:val="21"/>
                    </w:rPr>
                    <w:t>污染防治措施如下:全力推动污染物总量减排,实施锅炉综合整治,深度治理工业企业,提升大气污染防控能力</w:t>
                  </w:r>
                  <w:r>
                    <w:rPr>
                      <w:rFonts w:hint="default" w:ascii="Times New Roman" w:hAnsi="Times New Roman" w:eastAsia="宋体" w:cs="Times New Roman"/>
                      <w:color w:val="auto"/>
                      <w:szCs w:val="21"/>
                      <w:lang w:val="en-US" w:eastAsia="zh-CN"/>
                    </w:rPr>
                    <w:t>等</w:t>
                  </w:r>
                  <w:r>
                    <w:rPr>
                      <w:rFonts w:hint="default" w:ascii="Times New Roman" w:hAnsi="Times New Roman" w:eastAsia="宋体" w:cs="Times New Roman"/>
                      <w:color w:val="auto"/>
                      <w:szCs w:val="21"/>
                    </w:rPr>
                    <w:t>,在落实大气污染防治措施的情况下,区域环境空气质量可以得到改善。</w:t>
                  </w:r>
                  <w:r>
                    <w:rPr>
                      <w:rFonts w:hint="default" w:ascii="Times New Roman" w:hAnsi="Times New Roman" w:eastAsia="宋体" w:cs="Times New Roman"/>
                      <w:color w:val="auto"/>
                      <w:szCs w:val="21"/>
                      <w:lang w:val="en-US" w:eastAsia="zh-CN"/>
                    </w:rPr>
                    <w:t>本项目有机废气经“二级活性炭”处理后有组织排放，且天然气锅炉配套了低氮燃烧器，可有效减少污染物总量排放。</w:t>
                  </w:r>
                </w:p>
                <w:p>
                  <w:pPr>
                    <w:autoSpaceDE w:val="0"/>
                    <w:autoSpaceDN w:val="0"/>
                    <w:snapToGrid w:val="0"/>
                    <w:ind w:firstLine="420" w:firstLineChars="20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根据环境质量现状监测情况，项目大气、地表水、噪声监测结果均满足相应质量标准。本项目产生的污染物经采取相应污染物防治措施后，均能达标排放，本项目建设对周边环境影响较小，不会降低周边环境质量。</w:t>
                  </w:r>
                </w:p>
              </w:tc>
              <w:tc>
                <w:tcPr>
                  <w:tcW w:w="755" w:type="dxa"/>
                  <w:noWrap w:val="0"/>
                  <w:vAlign w:val="center"/>
                </w:tcPr>
                <w:p>
                  <w:pPr>
                    <w:autoSpaceDE w:val="0"/>
                    <w:autoSpaceDN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4" w:type="dxa"/>
                  <w:noWrap w:val="0"/>
                  <w:vAlign w:val="center"/>
                </w:tcPr>
                <w:p>
                  <w:pPr>
                    <w:autoSpaceDE w:val="0"/>
                    <w:autoSpaceDN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c>
                <w:tcPr>
                  <w:tcW w:w="785" w:type="dxa"/>
                  <w:noWrap w:val="0"/>
                  <w:vAlign w:val="center"/>
                </w:tcPr>
                <w:p>
                  <w:pPr>
                    <w:autoSpaceDE w:val="0"/>
                    <w:autoSpaceDN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资源利用上线</w:t>
                  </w:r>
                </w:p>
              </w:tc>
              <w:tc>
                <w:tcPr>
                  <w:tcW w:w="6040" w:type="dxa"/>
                  <w:noWrap w:val="0"/>
                  <w:vAlign w:val="center"/>
                </w:tcPr>
                <w:p>
                  <w:pPr>
                    <w:autoSpaceDE w:val="0"/>
                    <w:autoSpaceDN w:val="0"/>
                    <w:snapToGrid w:val="0"/>
                    <w:ind w:firstLine="420" w:firstLineChars="20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本项目不属于高耗能行业，所使用的能源主要为水、电能、天然气；本项目所在地水资源丰富，电力资源由当地电网公司输送，企业将采取有效的节水、节电措施，切实提高投入产出比，降低能耗，不会突破资源利用上线。符合资源利用上线相关要求。</w:t>
                  </w:r>
                </w:p>
              </w:tc>
              <w:tc>
                <w:tcPr>
                  <w:tcW w:w="755" w:type="dxa"/>
                  <w:noWrap w:val="0"/>
                  <w:vAlign w:val="center"/>
                </w:tcPr>
                <w:p>
                  <w:pPr>
                    <w:autoSpaceDE w:val="0"/>
                    <w:autoSpaceDN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4" w:type="dxa"/>
                  <w:noWrap w:val="0"/>
                  <w:vAlign w:val="center"/>
                </w:tcPr>
                <w:p>
                  <w:pPr>
                    <w:autoSpaceDE w:val="0"/>
                    <w:autoSpaceDN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w:t>
                  </w:r>
                </w:p>
              </w:tc>
              <w:tc>
                <w:tcPr>
                  <w:tcW w:w="785" w:type="dxa"/>
                  <w:noWrap w:val="0"/>
                  <w:vAlign w:val="center"/>
                </w:tcPr>
                <w:p>
                  <w:pPr>
                    <w:autoSpaceDE w:val="0"/>
                    <w:autoSpaceDN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环境准入负面清单</w:t>
                  </w:r>
                </w:p>
              </w:tc>
              <w:tc>
                <w:tcPr>
                  <w:tcW w:w="6040" w:type="dxa"/>
                  <w:noWrap w:val="0"/>
                  <w:vAlign w:val="center"/>
                </w:tcPr>
                <w:p>
                  <w:pPr>
                    <w:autoSpaceDE w:val="0"/>
                    <w:autoSpaceDN w:val="0"/>
                    <w:snapToGrid w:val="0"/>
                    <w:ind w:firstLine="420" w:firstLineChars="20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经对照《市场准入负面清单（2020年版）》，本项目不属于负面清单中禁止事项。同时，本项目也不属于《长江经济带发展负面清单指南</w:t>
                  </w:r>
                  <w:r>
                    <w:rPr>
                      <w:rFonts w:hint="default"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lang w:val="en-US" w:eastAsia="zh-CN"/>
                    </w:rPr>
                    <w:t>试行，2022年版</w:t>
                  </w:r>
                  <w:r>
                    <w:rPr>
                      <w:rFonts w:hint="default"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rPr>
                    <w:t>》中禁止建设类项目，未列入长江经济带发展负面清单。因此本项目符合环境准入负面清单相关要求</w:t>
                  </w:r>
                </w:p>
              </w:tc>
              <w:tc>
                <w:tcPr>
                  <w:tcW w:w="755" w:type="dxa"/>
                  <w:noWrap w:val="0"/>
                  <w:vAlign w:val="center"/>
                </w:tcPr>
                <w:p>
                  <w:pPr>
                    <w:autoSpaceDE w:val="0"/>
                    <w:autoSpaceDN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是</w:t>
                  </w:r>
                </w:p>
              </w:tc>
            </w:tr>
          </w:tbl>
          <w:p>
            <w:pPr>
              <w:spacing w:line="360" w:lineRule="auto"/>
              <w:ind w:firstLine="482" w:firstLineChars="200"/>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2）与《江苏省政府关于印发江苏省“三线一单”生态环境分区管控方案的通知》（苏政发[2020]49号）相符性</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本项目位于</w:t>
            </w:r>
            <w:r>
              <w:rPr>
                <w:rFonts w:hint="default" w:ascii="Times New Roman" w:hAnsi="Times New Roman" w:eastAsia="宋体" w:cs="Times New Roman"/>
                <w:color w:val="auto"/>
                <w:sz w:val="24"/>
                <w:lang w:eastAsia="zh-CN"/>
              </w:rPr>
              <w:t>江苏省常州市武进区前黄镇寨灵路19号</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val="en-US" w:eastAsia="zh-CN"/>
              </w:rPr>
              <w:t>本项目所在地位于长江流域及太湖流域，</w:t>
            </w:r>
            <w:r>
              <w:rPr>
                <w:rFonts w:hint="default" w:ascii="Times New Roman" w:hAnsi="Times New Roman" w:eastAsia="宋体" w:cs="Times New Roman"/>
                <w:color w:val="auto"/>
                <w:sz w:val="24"/>
              </w:rPr>
              <w:t>对照《江苏省政府关于印发江苏省“三线一单”生态环境分区管控方案的通知》（苏政发[2020]49号）可知，项目</w:t>
            </w:r>
            <w:r>
              <w:rPr>
                <w:rFonts w:hint="default" w:ascii="Times New Roman" w:hAnsi="Times New Roman" w:eastAsia="宋体" w:cs="Times New Roman"/>
                <w:color w:val="auto"/>
                <w:sz w:val="24"/>
                <w:lang w:val="en-US" w:eastAsia="zh-CN"/>
              </w:rPr>
              <w:t>属于重点</w:t>
            </w:r>
            <w:r>
              <w:rPr>
                <w:rFonts w:hint="default" w:ascii="Times New Roman" w:hAnsi="Times New Roman" w:eastAsia="宋体" w:cs="Times New Roman"/>
                <w:color w:val="auto"/>
                <w:sz w:val="24"/>
              </w:rPr>
              <w:t>管控单元，其</w:t>
            </w:r>
            <w:r>
              <w:rPr>
                <w:rFonts w:hint="default" w:ascii="Times New Roman" w:hAnsi="Times New Roman" w:eastAsia="宋体" w:cs="Times New Roman"/>
                <w:color w:val="auto"/>
                <w:sz w:val="24"/>
                <w:lang w:val="en-US" w:eastAsia="zh-CN"/>
              </w:rPr>
              <w:t>重点管控</w:t>
            </w:r>
            <w:r>
              <w:rPr>
                <w:rFonts w:hint="default" w:ascii="Times New Roman" w:hAnsi="Times New Roman" w:eastAsia="宋体" w:cs="Times New Roman"/>
                <w:color w:val="auto"/>
                <w:sz w:val="24"/>
              </w:rPr>
              <w:t>要求与本项目的相符性分析见表1-</w:t>
            </w:r>
            <w:r>
              <w:rPr>
                <w:rFonts w:hint="eastAsia" w:ascii="Times New Roman" w:hAnsi="Times New Roman" w:eastAsia="宋体" w:cs="Times New Roman"/>
                <w:color w:val="auto"/>
                <w:sz w:val="24"/>
                <w:lang w:val="en-US" w:eastAsia="zh-CN"/>
              </w:rPr>
              <w:t>3</w:t>
            </w:r>
            <w:r>
              <w:rPr>
                <w:rFonts w:hint="default" w:ascii="Times New Roman" w:hAnsi="Times New Roman" w:eastAsia="宋体" w:cs="Times New Roman"/>
                <w:color w:val="auto"/>
                <w:sz w:val="24"/>
              </w:rPr>
              <w:t>：</w:t>
            </w:r>
          </w:p>
          <w:p>
            <w:pPr>
              <w:jc w:val="center"/>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表1-</w:t>
            </w:r>
            <w:r>
              <w:rPr>
                <w:rFonts w:hint="eastAsia" w:ascii="Times New Roman" w:hAnsi="Times New Roman" w:eastAsia="宋体" w:cs="Times New Roman"/>
                <w:b/>
                <w:color w:val="auto"/>
                <w:sz w:val="24"/>
                <w:lang w:val="en-US" w:eastAsia="zh-CN"/>
              </w:rPr>
              <w:t>3</w:t>
            </w:r>
            <w:r>
              <w:rPr>
                <w:rFonts w:hint="default" w:ascii="Times New Roman" w:hAnsi="Times New Roman" w:eastAsia="宋体" w:cs="Times New Roman"/>
                <w:b/>
                <w:color w:val="auto"/>
                <w:sz w:val="24"/>
              </w:rPr>
              <w:t xml:space="preserve">  项目与苏政发[2020]49号相符性分析</w:t>
            </w:r>
          </w:p>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32"/>
              <w:gridCol w:w="5656"/>
              <w:gridCol w:w="174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0" w:type="pct"/>
                  <w:vAlign w:val="center"/>
                </w:tcPr>
                <w:p>
                  <w:pPr>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管控类别</w:t>
                  </w:r>
                </w:p>
              </w:tc>
              <w:tc>
                <w:tcPr>
                  <w:tcW w:w="3477" w:type="pct"/>
                  <w:vAlign w:val="center"/>
                </w:tcPr>
                <w:p>
                  <w:pPr>
                    <w:jc w:val="center"/>
                    <w:rPr>
                      <w:rFonts w:hint="default" w:ascii="Times New Roman" w:hAnsi="Times New Roman" w:eastAsia="宋体" w:cs="Times New Roman"/>
                      <w:b/>
                      <w:color w:val="auto"/>
                      <w:lang w:eastAsia="zh-CN"/>
                    </w:rPr>
                  </w:pPr>
                  <w:r>
                    <w:rPr>
                      <w:rFonts w:hint="default" w:ascii="Times New Roman" w:hAnsi="Times New Roman" w:eastAsia="宋体" w:cs="Times New Roman"/>
                      <w:b/>
                      <w:color w:val="auto"/>
                      <w:lang w:val="en-US" w:eastAsia="zh-CN"/>
                    </w:rPr>
                    <w:t>对照简析</w:t>
                  </w:r>
                </w:p>
              </w:tc>
              <w:tc>
                <w:tcPr>
                  <w:tcW w:w="1072" w:type="pct"/>
                  <w:vAlign w:val="center"/>
                </w:tcPr>
                <w:p>
                  <w:pPr>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3"/>
                  <w:vAlign w:val="center"/>
                </w:tcPr>
                <w:p>
                  <w:pPr>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长江流域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78" w:hRule="atLeast"/>
                <w:jc w:val="center"/>
              </w:trPr>
              <w:tc>
                <w:tcPr>
                  <w:tcW w:w="450" w:type="pct"/>
                  <w:vMerge w:val="restar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空间布局约束</w:t>
                  </w:r>
                </w:p>
              </w:tc>
              <w:tc>
                <w:tcPr>
                  <w:tcW w:w="3477" w:type="pct"/>
                  <w:tcBorders>
                    <w:bottom w:val="single" w:color="auto" w:sz="2" w:space="0"/>
                  </w:tcBorders>
                  <w:vAlign w:val="center"/>
                </w:tcPr>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1、始终把长江生态修复放在首位，坚持共抓大保护、不搞大开发，引导长江流域产业转型升级和布局优化调整，实现科学发展、有序发展、高质量发展。</w:t>
                  </w:r>
                </w:p>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2、加强生态空间保护，禁止在国家确定的生态保护红线和永久基本农田范围内，投资建设除国家重大战略资源勘查项目、生态保护修复和地质灾害治理项目、重大基础设施项目、军事国防项目以及农民基本生产生活等必要的民生项目以外的项目。</w:t>
                  </w:r>
                </w:p>
              </w:tc>
              <w:tc>
                <w:tcPr>
                  <w:tcW w:w="1072" w:type="pct"/>
                  <w:tcBorders>
                    <w:bottom w:val="single" w:color="auto" w:sz="2" w:space="0"/>
                  </w:tcBorders>
                  <w:vAlign w:val="center"/>
                </w:tcPr>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本项目位于</w:t>
                  </w:r>
                  <w:r>
                    <w:rPr>
                      <w:rFonts w:hint="default" w:ascii="Times New Roman" w:hAnsi="Times New Roman" w:eastAsia="宋体" w:cs="Times New Roman"/>
                      <w:color w:val="auto"/>
                      <w:lang w:eastAsia="zh-CN"/>
                    </w:rPr>
                    <w:t>江苏省常州市武进区前黄镇寨灵路19号</w:t>
                  </w:r>
                  <w:r>
                    <w:rPr>
                      <w:rFonts w:hint="default" w:ascii="Times New Roman" w:hAnsi="Times New Roman" w:eastAsia="宋体" w:cs="Times New Roman"/>
                      <w:color w:val="auto"/>
                    </w:rPr>
                    <w:t>，不在国家确定的生态保护红线和永久基本农田范围内。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27" w:hRule="atLeast"/>
                <w:jc w:val="center"/>
              </w:trPr>
              <w:tc>
                <w:tcPr>
                  <w:tcW w:w="450" w:type="pct"/>
                  <w:vMerge w:val="continue"/>
                  <w:vAlign w:val="center"/>
                </w:tcPr>
                <w:p>
                  <w:pPr>
                    <w:jc w:val="center"/>
                    <w:rPr>
                      <w:rFonts w:hint="default" w:ascii="Times New Roman" w:hAnsi="Times New Roman" w:eastAsia="宋体" w:cs="Times New Roman"/>
                      <w:color w:val="auto"/>
                    </w:rPr>
                  </w:pPr>
                </w:p>
              </w:tc>
              <w:tc>
                <w:tcPr>
                  <w:tcW w:w="3477" w:type="pct"/>
                  <w:tcBorders>
                    <w:top w:val="single" w:color="auto" w:sz="2" w:space="0"/>
                    <w:bottom w:val="single" w:color="auto" w:sz="2" w:space="0"/>
                  </w:tcBorders>
                  <w:vAlign w:val="center"/>
                </w:tcPr>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3、禁止在沿江地区新建或扩建化学工业园区，禁止新建或扩建以大宗进口油气资源为原料的石油加工、石油化工、基础有机无机化工、煤化工项目；禁止在长江干流和主要支流岸线1公里范围内新建危化品码头。</w:t>
                  </w:r>
                </w:p>
              </w:tc>
              <w:tc>
                <w:tcPr>
                  <w:tcW w:w="1072" w:type="pct"/>
                  <w:tcBorders>
                    <w:top w:val="single" w:color="auto" w:sz="2" w:space="0"/>
                    <w:bottom w:val="single" w:color="auto" w:sz="2" w:space="0"/>
                  </w:tcBorders>
                  <w:vAlign w:val="center"/>
                </w:tcPr>
                <w:p>
                  <w:pPr>
                    <w:ind w:firstLine="420" w:firstLineChars="200"/>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rPr>
                    <w:t>本项目从事</w:t>
                  </w:r>
                  <w:r>
                    <w:rPr>
                      <w:rFonts w:hint="default" w:ascii="Times New Roman" w:hAnsi="Times New Roman" w:eastAsia="宋体" w:cs="Times New Roman"/>
                      <w:color w:val="auto"/>
                      <w:szCs w:val="21"/>
                      <w:lang w:eastAsia="zh-CN"/>
                    </w:rPr>
                    <w:t>金属</w:t>
                  </w:r>
                </w:p>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szCs w:val="21"/>
                      <w:lang w:eastAsia="zh-CN"/>
                    </w:rPr>
                    <w:t>表面处理及热处理加工</w:t>
                  </w:r>
                  <w:r>
                    <w:rPr>
                      <w:rFonts w:hint="default" w:ascii="Times New Roman" w:hAnsi="Times New Roman" w:eastAsia="宋体" w:cs="Times New Roman"/>
                      <w:color w:val="auto"/>
                    </w:rPr>
                    <w:t>，不属于上述禁止建设的项目；本项目不在长江干流和主要支流岸线1公里范围内。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76" w:hRule="atLeast"/>
                <w:jc w:val="center"/>
              </w:trPr>
              <w:tc>
                <w:tcPr>
                  <w:tcW w:w="450" w:type="pct"/>
                  <w:vMerge w:val="continue"/>
                  <w:vAlign w:val="center"/>
                </w:tcPr>
                <w:p>
                  <w:pPr>
                    <w:jc w:val="center"/>
                    <w:rPr>
                      <w:rFonts w:hint="default" w:ascii="Times New Roman" w:hAnsi="Times New Roman" w:eastAsia="宋体" w:cs="Times New Roman"/>
                      <w:color w:val="auto"/>
                    </w:rPr>
                  </w:pPr>
                </w:p>
              </w:tc>
              <w:tc>
                <w:tcPr>
                  <w:tcW w:w="3477" w:type="pct"/>
                  <w:tcBorders>
                    <w:top w:val="single" w:color="auto" w:sz="2" w:space="0"/>
                    <w:bottom w:val="single" w:color="auto" w:sz="2" w:space="0"/>
                  </w:tcBorders>
                  <w:vAlign w:val="center"/>
                </w:tcPr>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4、强化港口布局优化，禁止建设不符合国家港口布局规划和《江苏省沿江沿海港口布局规划（2015-2030年）》《江苏省内河港口布局规划（2017-2035年）》的码头项目，禁止建设未纳入《长江干线过江通道布局规划》的过江干线通道项目。</w:t>
                  </w:r>
                </w:p>
              </w:tc>
              <w:tc>
                <w:tcPr>
                  <w:tcW w:w="1072" w:type="pct"/>
                  <w:tcBorders>
                    <w:top w:val="single" w:color="auto" w:sz="2" w:space="0"/>
                    <w:bottom w:val="single" w:color="auto" w:sz="2" w:space="0"/>
                  </w:tcBorders>
                  <w:vAlign w:val="center"/>
                </w:tcPr>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本项目从事</w:t>
                  </w:r>
                  <w:r>
                    <w:rPr>
                      <w:rFonts w:hint="default" w:ascii="Times New Roman" w:hAnsi="Times New Roman" w:eastAsia="宋体" w:cs="Times New Roman"/>
                      <w:color w:val="auto"/>
                      <w:szCs w:val="21"/>
                      <w:lang w:eastAsia="zh-CN"/>
                    </w:rPr>
                    <w:t>金属表面处理及热处理加工</w:t>
                  </w:r>
                  <w:r>
                    <w:rPr>
                      <w:rFonts w:hint="default" w:ascii="Times New Roman" w:hAnsi="Times New Roman" w:eastAsia="宋体" w:cs="Times New Roman"/>
                      <w:color w:val="auto"/>
                    </w:rPr>
                    <w:t>，不属于码头项目和过江干线通道项目。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0"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污染物排放管控</w:t>
                  </w:r>
                </w:p>
              </w:tc>
              <w:tc>
                <w:tcPr>
                  <w:tcW w:w="3477" w:type="pct"/>
                  <w:vAlign w:val="center"/>
                </w:tcPr>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1、根据《江苏省长江水污染防治条例》实施污染物总量控制制度。</w:t>
                  </w:r>
                </w:p>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2、全面加强和规范长江入河排污口管理，有效管控入河污染物排放，形成权责清晰、监控到位、管理规范的长江入河排污口监管体系，加快改善长江水环境质量。</w:t>
                  </w:r>
                </w:p>
              </w:tc>
              <w:tc>
                <w:tcPr>
                  <w:tcW w:w="1072" w:type="pct"/>
                  <w:vAlign w:val="center"/>
                </w:tcPr>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本项目</w:t>
                  </w:r>
                  <w:r>
                    <w:rPr>
                      <w:rFonts w:hint="default" w:ascii="Times New Roman" w:hAnsi="Times New Roman" w:eastAsia="宋体" w:cs="Times New Roman"/>
                      <w:color w:val="auto"/>
                      <w:lang w:val="en-US" w:eastAsia="zh-CN"/>
                    </w:rPr>
                    <w:t>生产废水经厂内污水处理厂处理达标后与生活污水</w:t>
                  </w:r>
                  <w:r>
                    <w:rPr>
                      <w:rFonts w:hint="default" w:ascii="Times New Roman" w:hAnsi="Times New Roman" w:eastAsia="宋体" w:cs="Times New Roman"/>
                      <w:color w:val="auto"/>
                    </w:rPr>
                    <w:t>接管进武南污水处理厂</w:t>
                  </w:r>
                  <w:r>
                    <w:rPr>
                      <w:rFonts w:hint="default" w:ascii="Times New Roman" w:hAnsi="Times New Roman" w:eastAsia="宋体" w:cs="Times New Roman"/>
                      <w:color w:val="auto"/>
                      <w:lang w:val="en-US" w:eastAsia="zh-CN"/>
                    </w:rPr>
                    <w:t>处理</w:t>
                  </w:r>
                  <w:r>
                    <w:rPr>
                      <w:rFonts w:hint="default" w:ascii="Times New Roman" w:hAnsi="Times New Roman" w:eastAsia="宋体" w:cs="Times New Roman"/>
                      <w:color w:val="auto"/>
                    </w:rPr>
                    <w:t>，生产废水不含N、P。</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0"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环境风险防控</w:t>
                  </w:r>
                </w:p>
              </w:tc>
              <w:tc>
                <w:tcPr>
                  <w:tcW w:w="3477" w:type="pct"/>
                  <w:vAlign w:val="center"/>
                </w:tcPr>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1、防范沿江环境风险。深化沿江石化、化工、医药、纺织、印染、化纤、危化品和石油类仓储、涉重金属和危险废物处置等重点企业环境风险防控。</w:t>
                  </w:r>
                </w:p>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2、加强饮用水水源保护。优化水源保护区划定，推动饮用水水源地规范化建设。</w:t>
                  </w:r>
                </w:p>
              </w:tc>
              <w:tc>
                <w:tcPr>
                  <w:tcW w:w="1072" w:type="pct"/>
                  <w:vAlign w:val="center"/>
                </w:tcPr>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本项目从事</w:t>
                  </w:r>
                  <w:r>
                    <w:rPr>
                      <w:rFonts w:hint="default" w:ascii="Times New Roman" w:hAnsi="Times New Roman" w:eastAsia="宋体" w:cs="Times New Roman"/>
                      <w:color w:val="auto"/>
                      <w:szCs w:val="21"/>
                      <w:lang w:eastAsia="zh-CN"/>
                    </w:rPr>
                    <w:t>金属表面处理及热处理加工</w:t>
                  </w:r>
                  <w:r>
                    <w:rPr>
                      <w:rFonts w:hint="default" w:ascii="Times New Roman" w:hAnsi="Times New Roman" w:eastAsia="宋体" w:cs="Times New Roman"/>
                      <w:color w:val="auto"/>
                    </w:rPr>
                    <w:t>，不属于上述行业。</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0"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资源利用效率要求</w:t>
                  </w:r>
                </w:p>
              </w:tc>
              <w:tc>
                <w:tcPr>
                  <w:tcW w:w="3477" w:type="pct"/>
                  <w:vAlign w:val="center"/>
                </w:tcPr>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到2020年长江干支流自然岸线保有率达到国家要求。</w:t>
                  </w:r>
                </w:p>
              </w:tc>
              <w:tc>
                <w:tcPr>
                  <w:tcW w:w="1072" w:type="pct"/>
                  <w:vAlign w:val="center"/>
                </w:tcPr>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3"/>
                  <w:vAlign w:val="center"/>
                </w:tcPr>
                <w:p>
                  <w:pPr>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太湖流域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0"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空间布局约束</w:t>
                  </w:r>
                </w:p>
              </w:tc>
              <w:tc>
                <w:tcPr>
                  <w:tcW w:w="3477" w:type="pct"/>
                  <w:vAlign w:val="center"/>
                </w:tcPr>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1、在太湖流域一、二、三级保护区，禁止新建、改建、扩建化学制浆造纸、制革、酿造、染料、印染、电镀以及其他排放含磷、氮等污染物的企业和项目，城镇污水集中处理等环境基础设施项目和《江苏省太湖水污染防治条例》第四十六条规定的情形除外。</w:t>
                  </w:r>
                </w:p>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2、在太湖流域一级保护区，禁止新建、扩建向水体排放污染物的建设项目，禁止新建、扩建畜禽养殖场，禁止新建、扩建高尔夫球场、水上游乐等开发项目以及设置水上餐饮经营设施。</w:t>
                  </w:r>
                </w:p>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3、在太湖流域二级保护区，禁止新建、扩建化工、医药生产项目，禁止新建、扩建污水集中处理设施排污口以外的排污口。</w:t>
                  </w:r>
                </w:p>
              </w:tc>
              <w:tc>
                <w:tcPr>
                  <w:tcW w:w="1072" w:type="pct"/>
                  <w:vAlign w:val="center"/>
                </w:tcPr>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本项目位于</w:t>
                  </w:r>
                  <w:r>
                    <w:rPr>
                      <w:rFonts w:hint="default" w:ascii="Times New Roman" w:hAnsi="Times New Roman" w:eastAsia="宋体" w:cs="Times New Roman"/>
                      <w:color w:val="auto"/>
                      <w:lang w:eastAsia="zh-CN"/>
                    </w:rPr>
                    <w:t>江苏省常州市武进区前黄镇寨灵路19号</w:t>
                  </w:r>
                  <w:r>
                    <w:rPr>
                      <w:rFonts w:hint="default" w:ascii="Times New Roman" w:hAnsi="Times New Roman" w:eastAsia="宋体" w:cs="Times New Roman"/>
                      <w:color w:val="auto"/>
                      <w:szCs w:val="21"/>
                    </w:rPr>
                    <w:t>，属于太湖流域三级保护区；本项目</w:t>
                  </w:r>
                  <w:r>
                    <w:rPr>
                      <w:rFonts w:hint="default" w:ascii="Times New Roman" w:hAnsi="Times New Roman" w:eastAsia="宋体" w:cs="Times New Roman"/>
                      <w:color w:val="auto"/>
                    </w:rPr>
                    <w:t>从事</w:t>
                  </w:r>
                  <w:r>
                    <w:rPr>
                      <w:rFonts w:hint="default" w:ascii="Times New Roman" w:hAnsi="Times New Roman" w:eastAsia="宋体" w:cs="Times New Roman"/>
                      <w:color w:val="auto"/>
                      <w:szCs w:val="21"/>
                      <w:lang w:eastAsia="zh-CN"/>
                    </w:rPr>
                    <w:t>金属表面处理及热处理加工</w:t>
                  </w:r>
                  <w:r>
                    <w:rPr>
                      <w:rFonts w:hint="default" w:ascii="Times New Roman" w:hAnsi="Times New Roman" w:eastAsia="宋体" w:cs="Times New Roman"/>
                      <w:color w:val="auto"/>
                      <w:szCs w:val="21"/>
                    </w:rPr>
                    <w:t>，无含氮磷生产废水排放。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0"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污染物排放管控</w:t>
                  </w:r>
                </w:p>
              </w:tc>
              <w:tc>
                <w:tcPr>
                  <w:tcW w:w="3477" w:type="pct"/>
                  <w:vAlign w:val="center"/>
                </w:tcPr>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城镇污水处理厂、纺织工业、化学工业、造纸工业、钢铁工业、电镀工业和食品工业的污水处理设施执行《太湖地区城镇污水处理厂及重点工业行业主要水污染物排放限值》。</w:t>
                  </w:r>
                </w:p>
              </w:tc>
              <w:tc>
                <w:tcPr>
                  <w:tcW w:w="1072" w:type="pct"/>
                  <w:vAlign w:val="center"/>
                </w:tcPr>
                <w:p>
                  <w:pPr>
                    <w:ind w:firstLine="42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本项目从事</w:t>
                  </w:r>
                  <w:r>
                    <w:rPr>
                      <w:rFonts w:hint="default" w:ascii="Times New Roman" w:hAnsi="Times New Roman" w:eastAsia="宋体" w:cs="Times New Roman"/>
                      <w:color w:val="auto"/>
                      <w:szCs w:val="21"/>
                      <w:lang w:eastAsia="zh-CN"/>
                    </w:rPr>
                    <w:t>金属表面处理及热处理</w:t>
                  </w:r>
                  <w:r>
                    <w:rPr>
                      <w:rFonts w:hint="default" w:ascii="Times New Roman" w:hAnsi="Times New Roman" w:eastAsia="宋体" w:cs="Times New Roman"/>
                      <w:color w:val="auto"/>
                      <w:lang w:eastAsia="zh-CN"/>
                    </w:rPr>
                    <w:t>加工</w:t>
                  </w:r>
                  <w:r>
                    <w:rPr>
                      <w:rFonts w:hint="default" w:ascii="Times New Roman" w:hAnsi="Times New Roman" w:eastAsia="宋体" w:cs="Times New Roman"/>
                      <w:color w:val="auto"/>
                    </w:rPr>
                    <w:t>，</w:t>
                  </w:r>
                  <w:r>
                    <w:rPr>
                      <w:rFonts w:hint="default" w:ascii="Times New Roman" w:hAnsi="Times New Roman" w:eastAsia="宋体" w:cs="Times New Roman"/>
                      <w:color w:val="auto"/>
                      <w:lang w:val="en-US" w:eastAsia="zh-CN"/>
                    </w:rPr>
                    <w:t>污水执行</w:t>
                  </w:r>
                  <w:r>
                    <w:rPr>
                      <w:rFonts w:hint="default" w:ascii="Times New Roman" w:hAnsi="Times New Roman" w:eastAsia="宋体" w:cs="Times New Roman"/>
                      <w:color w:val="auto"/>
                    </w:rPr>
                    <w:t>《太湖地区城镇污水处理厂及重点工业行业主要水污染物排放限值》</w:t>
                  </w:r>
                  <w:r>
                    <w:rPr>
                      <w:rFonts w:hint="default" w:ascii="Times New Roman" w:hAnsi="Times New Roman" w:eastAsia="宋体" w:cs="Times New Roman"/>
                      <w:color w:val="auto"/>
                      <w:lang w:val="en-US" w:eastAsia="zh-CN"/>
                    </w:rPr>
                    <w:t>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63" w:hRule="atLeast"/>
                <w:jc w:val="center"/>
              </w:trPr>
              <w:tc>
                <w:tcPr>
                  <w:tcW w:w="450"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环境风险防控</w:t>
                  </w:r>
                </w:p>
              </w:tc>
              <w:tc>
                <w:tcPr>
                  <w:tcW w:w="3477" w:type="pct"/>
                  <w:vAlign w:val="center"/>
                </w:tcPr>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1、运输剧毒物质、危险化学品的船舶不得进入太湖。</w:t>
                  </w:r>
                </w:p>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2、禁止向太湖流域水体排放或者倾倒油类、酸液、碱液、剧毒废渣废液、含放射性废渣废液、含病原体污水、工业废渣以及其他废弃物。</w:t>
                  </w:r>
                </w:p>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3、加强太湖流域生态环境风险应急管控，着力提高防控太湖蓝藻水华风险预警和应急处置能力。</w:t>
                  </w:r>
                </w:p>
              </w:tc>
              <w:tc>
                <w:tcPr>
                  <w:tcW w:w="1072" w:type="pct"/>
                  <w:vAlign w:val="center"/>
                </w:tcPr>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本项目将在生产过程中加强风险管控，严防污染物污染水体和周边外环境，不涉及《江苏省人民政府关于印发江苏省“三线一单”生态环境分区管控方案的通知》中规定的环境风险。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14" w:hRule="atLeast"/>
                <w:jc w:val="center"/>
              </w:trPr>
              <w:tc>
                <w:tcPr>
                  <w:tcW w:w="450"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资源利用效率要求</w:t>
                  </w:r>
                </w:p>
              </w:tc>
              <w:tc>
                <w:tcPr>
                  <w:tcW w:w="3477" w:type="pct"/>
                  <w:vAlign w:val="center"/>
                </w:tcPr>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1、太湖流域加强水资源配置与调度，优先满足居民生活用水，兼顾生产、生态用水以及航运等需要。</w:t>
                  </w:r>
                </w:p>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2、2020年底前，太湖流域所有省级以上开发区开展园区循环化改造。</w:t>
                  </w:r>
                </w:p>
              </w:tc>
              <w:tc>
                <w:tcPr>
                  <w:tcW w:w="1072" w:type="pct"/>
                  <w:vAlign w:val="center"/>
                </w:tcPr>
                <w:p>
                  <w:pPr>
                    <w:jc w:val="center"/>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val="en-US" w:eastAsia="zh-CN"/>
                    </w:rPr>
                    <w:t>/</w:t>
                  </w:r>
                </w:p>
              </w:tc>
            </w:tr>
          </w:tbl>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综上，本项目与《江苏省政府关于印发江苏省“三线一单”生态环境分区管控方案的通知》（苏政发[2020]49号）的要求相符。</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3）与《常州市“三线一单”生态环境分区管控实施方案》相符性</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本项目位于</w:t>
            </w:r>
            <w:r>
              <w:rPr>
                <w:rFonts w:hint="default" w:ascii="Times New Roman" w:hAnsi="Times New Roman" w:eastAsia="宋体" w:cs="Times New Roman"/>
                <w:color w:val="auto"/>
                <w:sz w:val="24"/>
                <w:lang w:eastAsia="zh-CN"/>
              </w:rPr>
              <w:t>江苏省常州市武进区前黄镇寨灵路19号</w:t>
            </w:r>
            <w:r>
              <w:rPr>
                <w:rFonts w:hint="default" w:ascii="Times New Roman" w:hAnsi="Times New Roman" w:eastAsia="宋体" w:cs="Times New Roman"/>
                <w:color w:val="auto"/>
                <w:sz w:val="24"/>
              </w:rPr>
              <w:t>，对照《常州市“三线一单”生态环境分区管控实施方案》（常环[2020]95号）可知，项目位于一般管控单元，其一般管控要求与本项目的相符性分析见下表：</w:t>
            </w:r>
          </w:p>
          <w:p>
            <w:pPr>
              <w:jc w:val="center"/>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表1-</w:t>
            </w:r>
            <w:r>
              <w:rPr>
                <w:rFonts w:hint="eastAsia" w:ascii="Times New Roman" w:hAnsi="Times New Roman" w:eastAsia="宋体" w:cs="Times New Roman"/>
                <w:b/>
                <w:color w:val="auto"/>
                <w:sz w:val="24"/>
                <w:lang w:val="en-US" w:eastAsia="zh-CN"/>
              </w:rPr>
              <w:t>4</w:t>
            </w:r>
            <w:r>
              <w:rPr>
                <w:rFonts w:hint="default" w:ascii="Times New Roman" w:hAnsi="Times New Roman" w:eastAsia="宋体" w:cs="Times New Roman"/>
                <w:b/>
                <w:color w:val="auto"/>
                <w:sz w:val="24"/>
              </w:rPr>
              <w:t xml:space="preserve">  与常环[2020]95号相符性分析</w:t>
            </w:r>
          </w:p>
          <w:tbl>
            <w:tblPr>
              <w:tblStyle w:val="22"/>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07"/>
              <w:gridCol w:w="888"/>
              <w:gridCol w:w="4513"/>
              <w:gridCol w:w="192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96" w:type="pct"/>
                  <w:noWrap w:val="0"/>
                  <w:vAlign w:val="center"/>
                </w:tcPr>
                <w:p>
                  <w:pPr>
                    <w:autoSpaceDE w:val="0"/>
                    <w:autoSpaceDN w:val="0"/>
                    <w:snapToGrid w:val="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环境管控单元名称</w:t>
                  </w:r>
                </w:p>
              </w:tc>
              <w:tc>
                <w:tcPr>
                  <w:tcW w:w="546" w:type="pct"/>
                  <w:noWrap w:val="0"/>
                  <w:vAlign w:val="center"/>
                </w:tcPr>
                <w:p>
                  <w:pPr>
                    <w:autoSpaceDE w:val="0"/>
                    <w:autoSpaceDN w:val="0"/>
                    <w:snapToGrid w:val="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kern w:val="0"/>
                      <w:sz w:val="21"/>
                      <w:szCs w:val="21"/>
                    </w:rPr>
                    <w:t>生态环境准入清单</w:t>
                  </w:r>
                </w:p>
              </w:tc>
              <w:tc>
                <w:tcPr>
                  <w:tcW w:w="2775" w:type="pct"/>
                  <w:noWrap w:val="0"/>
                  <w:vAlign w:val="center"/>
                </w:tcPr>
                <w:p>
                  <w:pPr>
                    <w:autoSpaceDE w:val="0"/>
                    <w:autoSpaceDN w:val="0"/>
                    <w:snapToGrid w:val="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对照简析</w:t>
                  </w:r>
                </w:p>
              </w:tc>
              <w:tc>
                <w:tcPr>
                  <w:tcW w:w="1182" w:type="pct"/>
                  <w:noWrap w:val="0"/>
                  <w:vAlign w:val="center"/>
                </w:tcPr>
                <w:p>
                  <w:pPr>
                    <w:autoSpaceDE w:val="0"/>
                    <w:autoSpaceDN w:val="0"/>
                    <w:snapToGrid w:val="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496" w:type="pct"/>
                  <w:vMerge w:val="restart"/>
                  <w:noWrap w:val="0"/>
                  <w:vAlign w:val="center"/>
                </w:tcPr>
                <w:p>
                  <w:pPr>
                    <w:autoSpaceDE w:val="0"/>
                    <w:autoSpaceDN w:val="0"/>
                    <w:snapToGrid w:val="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kern w:val="0"/>
                      <w:sz w:val="21"/>
                      <w:szCs w:val="21"/>
                      <w:lang w:val="en-US" w:eastAsia="zh-CN"/>
                    </w:rPr>
                    <w:t>前黄镇</w:t>
                  </w:r>
                </w:p>
              </w:tc>
              <w:tc>
                <w:tcPr>
                  <w:tcW w:w="546" w:type="pct"/>
                  <w:noWrap w:val="0"/>
                  <w:vAlign w:val="center"/>
                </w:tcPr>
                <w:p>
                  <w:pPr>
                    <w:autoSpaceDE w:val="0"/>
                    <w:autoSpaceDN w:val="0"/>
                    <w:snapToGrid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空间布局约束</w:t>
                  </w:r>
                </w:p>
              </w:tc>
              <w:tc>
                <w:tcPr>
                  <w:tcW w:w="2775" w:type="pct"/>
                  <w:noWrap w:val="0"/>
                  <w:vAlign w:val="center"/>
                </w:tcPr>
                <w:p>
                  <w:pPr>
                    <w:adjustRightInd w:val="0"/>
                    <w:snapToGrid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（1）各类开发建设活动应符合常州市总体规划、控制性详细规划、土地利用规划等相关要求。</w:t>
                  </w:r>
                </w:p>
                <w:p>
                  <w:pPr>
                    <w:adjustRightInd w:val="0"/>
                    <w:snapToGrid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（2）禁止引入列入《产业结构调整指导目录（2019年本）》、《江苏省产业结构调整限制、淘汰和禁止目录》、《江苏省工业和信息产业结构调整、限制、淘汰目录及能耗限额》淘汰类的产业。</w:t>
                  </w:r>
                </w:p>
                <w:p>
                  <w:pPr>
                    <w:adjustRightInd w:val="0"/>
                    <w:snapToGrid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（3）禁止引入不符合《江苏省太湖流域水污染防治条例》要求的项目。</w:t>
                  </w:r>
                </w:p>
                <w:p>
                  <w:pPr>
                    <w:adjustRightInd w:val="0"/>
                    <w:snapToGrid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（4）不得新建、改建、扩建印染项目。</w:t>
                  </w:r>
                </w:p>
                <w:p>
                  <w:pPr>
                    <w:autoSpaceDE w:val="0"/>
                    <w:autoSpaceDN w:val="0"/>
                    <w:snapToGrid w:val="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（5）禁养区范围内禁止建设畜禽养殖场、养殖小区。</w:t>
                  </w:r>
                </w:p>
              </w:tc>
              <w:tc>
                <w:tcPr>
                  <w:tcW w:w="1182" w:type="pct"/>
                  <w:noWrap w:val="0"/>
                  <w:vAlign w:val="center"/>
                </w:tcPr>
                <w:p>
                  <w:pPr>
                    <w:autoSpaceDE w:val="0"/>
                    <w:autoSpaceDN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本项目位于武进区前黄镇寨灵路19号，符合常州市总体规划、控制性详细规划、土地利用规划等要求；本项目为金属表面处理及热处理加工，符合环境准</w:t>
                  </w:r>
                  <w:r>
                    <w:rPr>
                      <w:rFonts w:hint="default" w:ascii="Times New Roman" w:hAnsi="Times New Roman" w:eastAsia="宋体" w:cs="Times New Roman"/>
                      <w:color w:val="auto"/>
                      <w:sz w:val="21"/>
                      <w:szCs w:val="21"/>
                    </w:rPr>
                    <w:t>入负面清单相关要求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13" w:hRule="atLeast"/>
                <w:jc w:val="center"/>
              </w:trPr>
              <w:tc>
                <w:tcPr>
                  <w:tcW w:w="496" w:type="pct"/>
                  <w:vMerge w:val="continue"/>
                  <w:noWrap w:val="0"/>
                  <w:vAlign w:val="center"/>
                </w:tcPr>
                <w:p>
                  <w:pPr>
                    <w:autoSpaceDE w:val="0"/>
                    <w:autoSpaceDN w:val="0"/>
                    <w:snapToGrid w:val="0"/>
                    <w:ind w:firstLine="420" w:firstLineChars="200"/>
                    <w:jc w:val="center"/>
                    <w:rPr>
                      <w:rFonts w:hint="default" w:ascii="Times New Roman" w:hAnsi="Times New Roman" w:eastAsia="宋体" w:cs="Times New Roman"/>
                      <w:color w:val="auto"/>
                      <w:sz w:val="21"/>
                      <w:szCs w:val="21"/>
                    </w:rPr>
                  </w:pPr>
                </w:p>
              </w:tc>
              <w:tc>
                <w:tcPr>
                  <w:tcW w:w="546" w:type="pct"/>
                  <w:noWrap w:val="0"/>
                  <w:vAlign w:val="center"/>
                </w:tcPr>
                <w:p>
                  <w:pPr>
                    <w:autoSpaceDE w:val="0"/>
                    <w:autoSpaceDN w:val="0"/>
                    <w:snapToGrid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污染物排放管控</w:t>
                  </w:r>
                </w:p>
              </w:tc>
              <w:tc>
                <w:tcPr>
                  <w:tcW w:w="2775" w:type="pct"/>
                  <w:noWrap w:val="0"/>
                  <w:vAlign w:val="center"/>
                </w:tcPr>
                <w:p>
                  <w:pPr>
                    <w:pStyle w:val="80"/>
                    <w:snapToGrid w:val="0"/>
                    <w:jc w:val="both"/>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（1）落实污染物总量控制制度，根据区域环境质量改善目标，削减污染物排放总量。</w:t>
                  </w:r>
                </w:p>
                <w:p>
                  <w:pPr>
                    <w:pStyle w:val="80"/>
                    <w:snapToGrid w:val="0"/>
                    <w:jc w:val="both"/>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（2）进一步开展管网排查，提升污水收集效率。强化餐饮油烟治理，加强噪声污染防治，严格施工扬尘监管，加强土壤和地下水污染防治与修复。</w:t>
                  </w:r>
                </w:p>
                <w:p>
                  <w:pPr>
                    <w:autoSpaceDE w:val="0"/>
                    <w:autoSpaceDN w:val="0"/>
                    <w:snapToGrid w:val="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（3）加强农业面源污染治理，严格控制化肥农药施加量，合理水产养殖布局，控制水产养殖污染，逐步削减农业面源污染物排放量。</w:t>
                  </w:r>
                </w:p>
              </w:tc>
              <w:tc>
                <w:tcPr>
                  <w:tcW w:w="1182" w:type="pct"/>
                  <w:noWrap w:val="0"/>
                  <w:vAlign w:val="center"/>
                </w:tcPr>
                <w:p>
                  <w:pPr>
                    <w:autoSpaceDE w:val="0"/>
                    <w:autoSpaceDN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0"/>
                      <w:sz w:val="21"/>
                      <w:szCs w:val="21"/>
                      <w:lang w:val="en-US" w:eastAsia="zh-CN"/>
                    </w:rPr>
                    <w:t>本项目</w:t>
                  </w:r>
                  <w:r>
                    <w:rPr>
                      <w:rFonts w:hint="default" w:ascii="Times New Roman" w:hAnsi="Times New Roman" w:eastAsia="宋体" w:cs="Times New Roman"/>
                      <w:color w:val="auto"/>
                      <w:kern w:val="0"/>
                      <w:sz w:val="21"/>
                      <w:szCs w:val="21"/>
                    </w:rPr>
                    <w:t>严格实施污染物总量控制制度</w:t>
                  </w:r>
                  <w:r>
                    <w:rPr>
                      <w:rFonts w:hint="default" w:ascii="Times New Roman" w:hAnsi="Times New Roman" w:eastAsia="宋体" w:cs="Times New Roman"/>
                      <w:color w:val="auto"/>
                      <w:kern w:val="0"/>
                      <w:sz w:val="21"/>
                      <w:szCs w:val="21"/>
                      <w:lang w:eastAsia="zh-CN"/>
                    </w:rPr>
                    <w:t>，</w:t>
                  </w:r>
                  <w:r>
                    <w:rPr>
                      <w:rFonts w:hint="default" w:ascii="Times New Roman" w:hAnsi="Times New Roman" w:eastAsia="宋体" w:cs="Times New Roman"/>
                      <w:color w:val="auto"/>
                      <w:kern w:val="0"/>
                      <w:sz w:val="21"/>
                      <w:szCs w:val="21"/>
                      <w:lang w:val="en-US" w:eastAsia="zh-CN"/>
                    </w:rPr>
                    <w:t>有机废气通过“二级活性炭”处理后排放，燃气锅炉配套了低氮燃烧器，可</w:t>
                  </w:r>
                  <w:r>
                    <w:rPr>
                      <w:rFonts w:hint="default" w:ascii="Times New Roman" w:hAnsi="Times New Roman" w:eastAsia="宋体" w:cs="Times New Roman"/>
                      <w:color w:val="auto"/>
                      <w:kern w:val="0"/>
                      <w:sz w:val="21"/>
                      <w:szCs w:val="21"/>
                    </w:rPr>
                    <w:t>有效减少主要污染物排放总量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496" w:type="pct"/>
                  <w:vMerge w:val="continue"/>
                  <w:noWrap w:val="0"/>
                  <w:vAlign w:val="center"/>
                </w:tcPr>
                <w:p>
                  <w:pPr>
                    <w:autoSpaceDE w:val="0"/>
                    <w:autoSpaceDN w:val="0"/>
                    <w:snapToGrid w:val="0"/>
                    <w:ind w:firstLine="420" w:firstLineChars="200"/>
                    <w:jc w:val="center"/>
                    <w:rPr>
                      <w:rFonts w:hint="default" w:ascii="Times New Roman" w:hAnsi="Times New Roman" w:eastAsia="宋体" w:cs="Times New Roman"/>
                      <w:color w:val="auto"/>
                      <w:sz w:val="21"/>
                      <w:szCs w:val="21"/>
                    </w:rPr>
                  </w:pPr>
                </w:p>
              </w:tc>
              <w:tc>
                <w:tcPr>
                  <w:tcW w:w="546" w:type="pct"/>
                  <w:noWrap w:val="0"/>
                  <w:vAlign w:val="center"/>
                </w:tcPr>
                <w:p>
                  <w:pPr>
                    <w:autoSpaceDE w:val="0"/>
                    <w:autoSpaceDN w:val="0"/>
                    <w:snapToGrid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环境风险防控</w:t>
                  </w:r>
                </w:p>
              </w:tc>
              <w:tc>
                <w:tcPr>
                  <w:tcW w:w="2775" w:type="pct"/>
                  <w:noWrap w:val="0"/>
                  <w:vAlign w:val="center"/>
                </w:tcPr>
                <w:p>
                  <w:pPr>
                    <w:pStyle w:val="80"/>
                    <w:snapToGrid w:val="0"/>
                    <w:jc w:val="both"/>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（1）加强环境风险防范应急体系建设，加强环境应急预案管理，定期开展应急演练，持续开展环境安全隐患排查整治，提升应急监测能力，加强应急物资管理。</w:t>
                  </w:r>
                </w:p>
                <w:p>
                  <w:pPr>
                    <w:autoSpaceDE w:val="0"/>
                    <w:autoSpaceDN w:val="0"/>
                    <w:snapToGrid w:val="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（2）合理布局商业、居住、科教等功能区块，严格控制噪声、恶臭、油烟等污染排放较大的建设项目布局。</w:t>
                  </w:r>
                </w:p>
              </w:tc>
              <w:tc>
                <w:tcPr>
                  <w:tcW w:w="1182" w:type="pct"/>
                  <w:noWrap w:val="0"/>
                  <w:vAlign w:val="center"/>
                </w:tcPr>
                <w:p>
                  <w:pPr>
                    <w:autoSpaceDE w:val="0"/>
                    <w:autoSpaceDN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0"/>
                      <w:sz w:val="21"/>
                      <w:szCs w:val="21"/>
                      <w:lang w:val="en-US" w:eastAsia="zh-CN"/>
                    </w:rPr>
                    <w:t>企业已建设环境风险防范应急体系，并定期开展应急演练。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30" w:hRule="atLeast"/>
                <w:jc w:val="center"/>
              </w:trPr>
              <w:tc>
                <w:tcPr>
                  <w:tcW w:w="496" w:type="pct"/>
                  <w:vMerge w:val="continue"/>
                  <w:noWrap w:val="0"/>
                  <w:vAlign w:val="center"/>
                </w:tcPr>
                <w:p>
                  <w:pPr>
                    <w:autoSpaceDE w:val="0"/>
                    <w:autoSpaceDN w:val="0"/>
                    <w:snapToGrid w:val="0"/>
                    <w:ind w:firstLine="420" w:firstLineChars="200"/>
                    <w:jc w:val="center"/>
                    <w:rPr>
                      <w:rFonts w:hint="default" w:ascii="Times New Roman" w:hAnsi="Times New Roman" w:eastAsia="宋体" w:cs="Times New Roman"/>
                      <w:color w:val="auto"/>
                      <w:sz w:val="21"/>
                      <w:szCs w:val="21"/>
                    </w:rPr>
                  </w:pPr>
                </w:p>
              </w:tc>
              <w:tc>
                <w:tcPr>
                  <w:tcW w:w="546" w:type="pct"/>
                  <w:noWrap w:val="0"/>
                  <w:vAlign w:val="center"/>
                </w:tcPr>
                <w:p>
                  <w:pPr>
                    <w:autoSpaceDE w:val="0"/>
                    <w:autoSpaceDN w:val="0"/>
                    <w:snapToGrid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资源开发效率要求</w:t>
                  </w:r>
                </w:p>
              </w:tc>
              <w:tc>
                <w:tcPr>
                  <w:tcW w:w="2775" w:type="pct"/>
                  <w:noWrap w:val="0"/>
                  <w:vAlign w:val="center"/>
                </w:tcPr>
                <w:p>
                  <w:pPr>
                    <w:adjustRightInd w:val="0"/>
                    <w:snapToGrid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（1）优化能源结构，加强能源清洁利用。</w:t>
                  </w:r>
                </w:p>
                <w:p>
                  <w:pPr>
                    <w:adjustRightInd w:val="0"/>
                    <w:snapToGrid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（2）万元GDP能耗、万元GDP用水量等指标达到市定目标。</w:t>
                  </w:r>
                </w:p>
                <w:p>
                  <w:pPr>
                    <w:adjustRightInd w:val="0"/>
                    <w:snapToGrid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（3）提高土地利用效率、节约集约利用土地资源。</w:t>
                  </w:r>
                </w:p>
                <w:p>
                  <w:pPr>
                    <w:autoSpaceDE w:val="0"/>
                    <w:autoSpaceDN w:val="0"/>
                    <w:snapToGrid w:val="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（4）严格按照《高污染燃料目录》要求，落实相应的禁燃区管控要求。</w:t>
                  </w:r>
                </w:p>
              </w:tc>
              <w:tc>
                <w:tcPr>
                  <w:tcW w:w="1182" w:type="pct"/>
                  <w:noWrap w:val="0"/>
                  <w:vAlign w:val="center"/>
                </w:tcPr>
                <w:p>
                  <w:pPr>
                    <w:autoSpaceDE w:val="0"/>
                    <w:autoSpaceDN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本项目使用天然气作为燃料，属清洁能源</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本项目</w:t>
                  </w:r>
                  <w:r>
                    <w:rPr>
                      <w:rFonts w:hint="default" w:ascii="Times New Roman" w:hAnsi="Times New Roman" w:eastAsia="宋体" w:cs="Times New Roman"/>
                      <w:color w:val="auto"/>
                      <w:sz w:val="21"/>
                      <w:szCs w:val="21"/>
                    </w:rPr>
                    <w:t>万元GDP能耗</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万元GDP用水量等指标</w:t>
                  </w:r>
                  <w:r>
                    <w:rPr>
                      <w:rFonts w:hint="default" w:ascii="Times New Roman" w:hAnsi="Times New Roman" w:eastAsia="宋体" w:cs="Times New Roman"/>
                      <w:color w:val="auto"/>
                      <w:sz w:val="21"/>
                      <w:szCs w:val="21"/>
                      <w:lang w:val="en-US" w:eastAsia="zh-CN"/>
                    </w:rPr>
                    <w:t>可</w:t>
                  </w:r>
                  <w:r>
                    <w:rPr>
                      <w:rFonts w:hint="default" w:ascii="Times New Roman" w:hAnsi="Times New Roman" w:eastAsia="宋体" w:cs="Times New Roman"/>
                      <w:color w:val="auto"/>
                      <w:sz w:val="21"/>
                      <w:szCs w:val="21"/>
                    </w:rPr>
                    <w:t>达到市定目标</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本项目</w:t>
                  </w:r>
                  <w:r>
                    <w:rPr>
                      <w:rFonts w:hint="default" w:ascii="Times New Roman" w:hAnsi="Times New Roman" w:eastAsia="宋体" w:cs="Times New Roman"/>
                      <w:color w:val="auto"/>
                      <w:sz w:val="21"/>
                      <w:szCs w:val="21"/>
                    </w:rPr>
                    <w:t>土地利用效率</w:t>
                  </w:r>
                  <w:r>
                    <w:rPr>
                      <w:rFonts w:hint="default" w:ascii="Times New Roman" w:hAnsi="Times New Roman" w:eastAsia="宋体" w:cs="Times New Roman"/>
                      <w:color w:val="auto"/>
                      <w:sz w:val="21"/>
                      <w:szCs w:val="21"/>
                      <w:lang w:val="en-US" w:eastAsia="zh-CN"/>
                    </w:rPr>
                    <w:t>较高，不在禁燃区规定范围内</w:t>
                  </w:r>
                </w:p>
              </w:tc>
            </w:tr>
          </w:tbl>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综上，本项目与《常州市“三线一单”生态环境分区管控实施方案》（常环[2020]95号）的要求相符。</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综上，本项目建设符合“三线一单”要求。</w:t>
            </w:r>
          </w:p>
          <w:p>
            <w:pPr>
              <w:autoSpaceDE w:val="0"/>
              <w:autoSpaceDN w:val="0"/>
              <w:adjustRightInd w:val="0"/>
              <w:snapToGrid w:val="0"/>
              <w:spacing w:line="360" w:lineRule="auto"/>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2、与相关生态环境保护法律法规政策</w:t>
            </w:r>
          </w:p>
          <w:p>
            <w:pPr>
              <w:widowControl/>
              <w:adjustRightInd w:val="0"/>
              <w:snapToGrid w:val="0"/>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（1）与《江苏省“两减六治三提升”专项行动实施方案》（苏政办发〔2017〕30号）相符性分析</w:t>
            </w:r>
          </w:p>
          <w:p>
            <w:pPr>
              <w:autoSpaceDE w:val="0"/>
              <w:autoSpaceDN w:val="0"/>
              <w:snapToGrid w:val="0"/>
              <w:ind w:firstLine="361" w:firstLineChars="150"/>
              <w:jc w:val="center"/>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表1-</w:t>
            </w:r>
            <w:r>
              <w:rPr>
                <w:rFonts w:hint="eastAsia" w:ascii="Times New Roman" w:hAnsi="Times New Roman" w:eastAsia="宋体" w:cs="Times New Roman"/>
                <w:b/>
                <w:bCs/>
                <w:color w:val="auto"/>
                <w:sz w:val="24"/>
                <w:lang w:val="en-US" w:eastAsia="zh-CN"/>
              </w:rPr>
              <w:t>5</w:t>
            </w:r>
            <w:r>
              <w:rPr>
                <w:rFonts w:hint="default" w:ascii="Times New Roman" w:hAnsi="Times New Roman" w:eastAsia="宋体" w:cs="Times New Roman"/>
                <w:b/>
                <w:bCs/>
                <w:color w:val="auto"/>
                <w:sz w:val="24"/>
              </w:rPr>
              <w:t xml:space="preserve"> </w:t>
            </w:r>
            <w:r>
              <w:rPr>
                <w:rFonts w:hint="eastAsia" w:cs="Times New Roman"/>
                <w:b/>
                <w:bCs/>
                <w:color w:val="auto"/>
                <w:sz w:val="24"/>
                <w:lang w:val="en-US" w:eastAsia="zh-CN"/>
              </w:rPr>
              <w:t xml:space="preserve"> </w:t>
            </w:r>
            <w:r>
              <w:rPr>
                <w:rFonts w:hint="default" w:ascii="Times New Roman" w:hAnsi="Times New Roman" w:eastAsia="宋体" w:cs="Times New Roman"/>
                <w:b/>
                <w:bCs/>
                <w:color w:val="auto"/>
                <w:sz w:val="24"/>
              </w:rPr>
              <w:t>与《江苏省“两减六治三提升”专项行动实施方案》相符性分析</w:t>
            </w:r>
          </w:p>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37"/>
              <w:gridCol w:w="4277"/>
              <w:gridCol w:w="271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3328" w:type="pct"/>
                  <w:gridSpan w:val="2"/>
                  <w:vAlign w:val="center"/>
                </w:tcPr>
                <w:p>
                  <w:pPr>
                    <w:widowControl/>
                    <w:jc w:val="center"/>
                    <w:textAlignment w:val="bottom"/>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kern w:val="0"/>
                      <w:szCs w:val="21"/>
                    </w:rPr>
                    <w:t>文件要求</w:t>
                  </w:r>
                </w:p>
              </w:tc>
              <w:tc>
                <w:tcPr>
                  <w:tcW w:w="1671" w:type="pct"/>
                  <w:vAlign w:val="center"/>
                </w:tcPr>
                <w:p>
                  <w:pPr>
                    <w:widowControl/>
                    <w:jc w:val="center"/>
                    <w:textAlignment w:val="bottom"/>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kern w:val="0"/>
                      <w:szCs w:val="21"/>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699" w:type="pct"/>
                  <w:vMerge w:val="restart"/>
                  <w:vAlign w:val="center"/>
                </w:tcPr>
                <w:p>
                  <w:pPr>
                    <w:widowControl/>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“两减”</w:t>
                  </w:r>
                </w:p>
              </w:tc>
              <w:tc>
                <w:tcPr>
                  <w:tcW w:w="2629" w:type="pct"/>
                  <w:vAlign w:val="center"/>
                </w:tcPr>
                <w:p>
                  <w:pPr>
                    <w:widowControl/>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减少煤炭消费总量</w:t>
                  </w:r>
                </w:p>
              </w:tc>
              <w:tc>
                <w:tcPr>
                  <w:tcW w:w="1671" w:type="pct"/>
                  <w:vAlign w:val="center"/>
                </w:tcPr>
                <w:p>
                  <w:pPr>
                    <w:widowControl/>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本项目不消费煤炭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699" w:type="pct"/>
                  <w:vMerge w:val="continue"/>
                  <w:vAlign w:val="center"/>
                </w:tcPr>
                <w:p>
                  <w:pPr>
                    <w:jc w:val="center"/>
                    <w:rPr>
                      <w:rFonts w:hint="default" w:ascii="Times New Roman" w:hAnsi="Times New Roman" w:eastAsia="宋体" w:cs="Times New Roman"/>
                      <w:color w:val="auto"/>
                      <w:szCs w:val="21"/>
                    </w:rPr>
                  </w:pPr>
                </w:p>
              </w:tc>
              <w:tc>
                <w:tcPr>
                  <w:tcW w:w="2629" w:type="pct"/>
                  <w:vAlign w:val="center"/>
                </w:tcPr>
                <w:p>
                  <w:pPr>
                    <w:widowControl/>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减少落后化工产能</w:t>
                  </w:r>
                </w:p>
              </w:tc>
              <w:tc>
                <w:tcPr>
                  <w:tcW w:w="1671" w:type="pct"/>
                  <w:vAlign w:val="center"/>
                </w:tcPr>
                <w:p>
                  <w:pPr>
                    <w:widowControl/>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本项目不属于化工行业</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699" w:type="pct"/>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“六治”</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治理太湖及长江流域</w:t>
                  </w:r>
                </w:p>
              </w:tc>
              <w:tc>
                <w:tcPr>
                  <w:tcW w:w="2629" w:type="pct"/>
                  <w:vAlign w:val="center"/>
                </w:tcPr>
                <w:p>
                  <w:pPr>
                    <w:widowControl/>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水环境：严控工业废水排放废水，接管企业严格执行间接排放标准，不得影响城镇污水处理厂达标排放。</w:t>
                  </w:r>
                </w:p>
              </w:tc>
              <w:tc>
                <w:tcPr>
                  <w:tcW w:w="1671" w:type="pct"/>
                  <w:vAlign w:val="center"/>
                </w:tcPr>
                <w:p>
                  <w:pPr>
                    <w:widowControl/>
                    <w:jc w:val="center"/>
                    <w:textAlignment w:val="bottom"/>
                    <w:rPr>
                      <w:rFonts w:hint="default" w:ascii="Times New Roman" w:hAnsi="Times New Roman" w:eastAsia="宋体" w:cs="Times New Roman"/>
                      <w:color w:val="auto"/>
                      <w:kern w:val="0"/>
                      <w:szCs w:val="21"/>
                      <w:lang w:eastAsia="zh-CN"/>
                    </w:rPr>
                  </w:pPr>
                  <w:r>
                    <w:rPr>
                      <w:rFonts w:hint="default" w:ascii="Times New Roman" w:hAnsi="Times New Roman" w:eastAsia="宋体" w:cs="Times New Roman"/>
                      <w:color w:val="auto"/>
                      <w:kern w:val="0"/>
                      <w:szCs w:val="21"/>
                      <w:lang w:val="en-US" w:eastAsia="zh-CN"/>
                    </w:rPr>
                    <w:t>本项目生产废水</w:t>
                  </w:r>
                  <w:r>
                    <w:rPr>
                      <w:rFonts w:hint="default" w:ascii="Times New Roman" w:hAnsi="Times New Roman" w:eastAsia="宋体" w:cs="Times New Roman"/>
                      <w:color w:val="auto"/>
                      <w:kern w:val="0"/>
                      <w:szCs w:val="21"/>
                    </w:rPr>
                    <w:t>经厂内污水处理</w:t>
                  </w:r>
                  <w:r>
                    <w:rPr>
                      <w:rFonts w:hint="default" w:ascii="Times New Roman" w:hAnsi="Times New Roman" w:eastAsia="宋体" w:cs="Times New Roman"/>
                      <w:color w:val="auto"/>
                      <w:kern w:val="0"/>
                      <w:szCs w:val="21"/>
                      <w:lang w:val="en-US" w:eastAsia="zh-CN"/>
                    </w:rPr>
                    <w:t>站</w:t>
                  </w:r>
                  <w:r>
                    <w:rPr>
                      <w:rFonts w:hint="default" w:ascii="Times New Roman" w:hAnsi="Times New Roman" w:eastAsia="宋体" w:cs="Times New Roman"/>
                      <w:color w:val="auto"/>
                      <w:kern w:val="0"/>
                      <w:szCs w:val="21"/>
                    </w:rPr>
                    <w:t>处理</w:t>
                  </w:r>
                  <w:r>
                    <w:rPr>
                      <w:rFonts w:hint="default" w:ascii="Times New Roman" w:hAnsi="Times New Roman" w:eastAsia="宋体" w:cs="Times New Roman"/>
                      <w:color w:val="auto"/>
                      <w:kern w:val="0"/>
                      <w:szCs w:val="21"/>
                      <w:lang w:val="en-US" w:eastAsia="zh-CN"/>
                    </w:rPr>
                    <w:t>达标后与生活污水</w:t>
                  </w:r>
                  <w:r>
                    <w:rPr>
                      <w:rFonts w:hint="default" w:ascii="Times New Roman" w:hAnsi="Times New Roman" w:eastAsia="宋体" w:cs="Times New Roman"/>
                      <w:color w:val="auto"/>
                      <w:kern w:val="0"/>
                      <w:szCs w:val="21"/>
                    </w:rPr>
                    <w:t>一并接管至</w:t>
                  </w:r>
                  <w:r>
                    <w:rPr>
                      <w:rFonts w:hint="default" w:ascii="Times New Roman" w:hAnsi="Times New Roman" w:eastAsia="宋体" w:cs="Times New Roman"/>
                      <w:color w:val="auto"/>
                      <w:kern w:val="0"/>
                      <w:szCs w:val="21"/>
                      <w:lang w:val="en-US" w:eastAsia="zh-CN"/>
                    </w:rPr>
                    <w:t>武南污水处理厂</w:t>
                  </w:r>
                  <w:r>
                    <w:rPr>
                      <w:rFonts w:hint="default" w:ascii="Times New Roman" w:hAnsi="Times New Roman" w:eastAsia="宋体" w:cs="Times New Roman"/>
                      <w:color w:val="auto"/>
                      <w:kern w:val="0"/>
                      <w:szCs w:val="21"/>
                    </w:rPr>
                    <w:t>集中处理</w:t>
                  </w:r>
                  <w:r>
                    <w:rPr>
                      <w:rFonts w:hint="default" w:ascii="Times New Roman" w:hAnsi="Times New Roman" w:eastAsia="宋体" w:cs="Times New Roman"/>
                      <w:color w:val="auto"/>
                      <w:kern w:val="0"/>
                      <w:szCs w:val="21"/>
                      <w:lang w:eastAsia="zh-CN"/>
                    </w:rPr>
                    <w:t>，</w:t>
                  </w:r>
                  <w:r>
                    <w:rPr>
                      <w:rFonts w:hint="default" w:ascii="Times New Roman" w:hAnsi="Times New Roman" w:eastAsia="宋体" w:cs="Times New Roman"/>
                      <w:color w:val="auto"/>
                      <w:kern w:val="0"/>
                      <w:szCs w:val="21"/>
                    </w:rPr>
                    <w:t>严格执行</w:t>
                  </w:r>
                  <w:r>
                    <w:rPr>
                      <w:rFonts w:hint="default" w:ascii="Times New Roman" w:hAnsi="Times New Roman" w:eastAsia="宋体" w:cs="Times New Roman"/>
                      <w:color w:val="auto"/>
                      <w:kern w:val="0"/>
                      <w:szCs w:val="21"/>
                      <w:lang w:val="en-US" w:eastAsia="zh-CN"/>
                    </w:rPr>
                    <w:t>污水处理厂接管水质</w:t>
                  </w:r>
                  <w:r>
                    <w:rPr>
                      <w:rFonts w:hint="default" w:ascii="Times New Roman" w:hAnsi="Times New Roman" w:eastAsia="宋体" w:cs="Times New Roman"/>
                      <w:color w:val="auto"/>
                      <w:kern w:val="0"/>
                      <w:szCs w:val="21"/>
                    </w:rPr>
                    <w:t>排放标准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699" w:type="pct"/>
                  <w:vMerge w:val="continue"/>
                  <w:vAlign w:val="center"/>
                </w:tcPr>
                <w:p>
                  <w:pPr>
                    <w:ind w:firstLine="420" w:firstLineChars="200"/>
                    <w:jc w:val="center"/>
                    <w:rPr>
                      <w:rFonts w:hint="default" w:ascii="Times New Roman" w:hAnsi="Times New Roman" w:eastAsia="宋体" w:cs="Times New Roman"/>
                      <w:color w:val="auto"/>
                      <w:szCs w:val="21"/>
                    </w:rPr>
                  </w:pPr>
                </w:p>
              </w:tc>
              <w:tc>
                <w:tcPr>
                  <w:tcW w:w="2629" w:type="pct"/>
                  <w:vAlign w:val="center"/>
                </w:tcPr>
                <w:p>
                  <w:pPr>
                    <w:widowControl/>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生活垃圾：实现垃圾减量化、资源化和无害化处置。</w:t>
                  </w:r>
                </w:p>
              </w:tc>
              <w:tc>
                <w:tcPr>
                  <w:tcW w:w="1671" w:type="pct"/>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本项目</w:t>
                  </w:r>
                  <w:r>
                    <w:rPr>
                      <w:rFonts w:hint="default" w:ascii="Times New Roman" w:hAnsi="Times New Roman" w:eastAsia="宋体" w:cs="Times New Roman"/>
                      <w:color w:val="auto"/>
                      <w:szCs w:val="21"/>
                      <w:lang w:val="en-US" w:eastAsia="zh-CN"/>
                    </w:rPr>
                    <w:t>生活垃圾委托环卫部门定期清运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699" w:type="pct"/>
                  <w:vMerge w:val="continue"/>
                  <w:vAlign w:val="center"/>
                </w:tcPr>
                <w:p>
                  <w:pPr>
                    <w:ind w:firstLine="420" w:firstLineChars="200"/>
                    <w:jc w:val="center"/>
                    <w:rPr>
                      <w:rFonts w:hint="default" w:ascii="Times New Roman" w:hAnsi="Times New Roman" w:eastAsia="宋体" w:cs="Times New Roman"/>
                      <w:color w:val="auto"/>
                      <w:szCs w:val="21"/>
                    </w:rPr>
                  </w:pPr>
                </w:p>
              </w:tc>
              <w:tc>
                <w:tcPr>
                  <w:tcW w:w="2629" w:type="pct"/>
                  <w:vAlign w:val="center"/>
                </w:tcPr>
                <w:p>
                  <w:pPr>
                    <w:widowControl/>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治理黑臭水体</w:t>
                  </w:r>
                </w:p>
              </w:tc>
              <w:tc>
                <w:tcPr>
                  <w:tcW w:w="1671"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不涉及</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699" w:type="pct"/>
                  <w:vMerge w:val="continue"/>
                  <w:vAlign w:val="center"/>
                </w:tcPr>
                <w:p>
                  <w:pPr>
                    <w:ind w:firstLine="420" w:firstLineChars="200"/>
                    <w:jc w:val="center"/>
                    <w:rPr>
                      <w:rFonts w:hint="default" w:ascii="Times New Roman" w:hAnsi="Times New Roman" w:eastAsia="宋体" w:cs="Times New Roman"/>
                      <w:color w:val="auto"/>
                      <w:szCs w:val="21"/>
                    </w:rPr>
                  </w:pPr>
                </w:p>
              </w:tc>
              <w:tc>
                <w:tcPr>
                  <w:tcW w:w="2629" w:type="pct"/>
                  <w:vAlign w:val="center"/>
                </w:tcPr>
                <w:p>
                  <w:pPr>
                    <w:widowControl/>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治理畜禽养殖污染</w:t>
                  </w:r>
                </w:p>
              </w:tc>
              <w:tc>
                <w:tcPr>
                  <w:tcW w:w="1671"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不涉及</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53" w:hRule="atLeast"/>
                <w:jc w:val="center"/>
              </w:trPr>
              <w:tc>
                <w:tcPr>
                  <w:tcW w:w="699" w:type="pct"/>
                  <w:vMerge w:val="continue"/>
                  <w:vAlign w:val="center"/>
                </w:tcPr>
                <w:p>
                  <w:pPr>
                    <w:ind w:firstLine="420" w:firstLineChars="200"/>
                    <w:jc w:val="center"/>
                    <w:rPr>
                      <w:rFonts w:hint="default" w:ascii="Times New Roman" w:hAnsi="Times New Roman" w:eastAsia="宋体" w:cs="Times New Roman"/>
                      <w:color w:val="auto"/>
                      <w:szCs w:val="21"/>
                    </w:rPr>
                  </w:pPr>
                </w:p>
              </w:tc>
              <w:tc>
                <w:tcPr>
                  <w:tcW w:w="2629" w:type="pct"/>
                  <w:vAlign w:val="center"/>
                </w:tcPr>
                <w:p>
                  <w:pPr>
                    <w:widowControl/>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以源头控制、结构优化、综合治理、总量控制为原则，通过采用结构调整以及原料替代、过程管理、末端治理全过程污染控制措施，全面开展VOCs减排工作</w:t>
                  </w:r>
                </w:p>
              </w:tc>
              <w:tc>
                <w:tcPr>
                  <w:tcW w:w="1671" w:type="pct"/>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本项目挥发性有机物均经废气处理装置处理后达标排放，对周边环境影响较小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9" w:hRule="exact"/>
                <w:jc w:val="center"/>
              </w:trPr>
              <w:tc>
                <w:tcPr>
                  <w:tcW w:w="699" w:type="pct"/>
                  <w:vMerge w:val="continue"/>
                  <w:vAlign w:val="center"/>
                </w:tcPr>
                <w:p>
                  <w:pPr>
                    <w:ind w:firstLine="420" w:firstLineChars="200"/>
                    <w:jc w:val="center"/>
                    <w:rPr>
                      <w:rFonts w:hint="default" w:ascii="Times New Roman" w:hAnsi="Times New Roman" w:eastAsia="宋体" w:cs="Times New Roman"/>
                      <w:color w:val="auto"/>
                      <w:szCs w:val="21"/>
                    </w:rPr>
                  </w:pPr>
                </w:p>
              </w:tc>
              <w:tc>
                <w:tcPr>
                  <w:tcW w:w="2629" w:type="pct"/>
                  <w:vAlign w:val="center"/>
                </w:tcPr>
                <w:p>
                  <w:pPr>
                    <w:widowControl/>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环境隐患：加强危险废物规范化管理。</w:t>
                  </w:r>
                </w:p>
              </w:tc>
              <w:tc>
                <w:tcPr>
                  <w:tcW w:w="1671"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本项目危险废物均委托有资质单位处置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699" w:type="pct"/>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“三提升”</w:t>
                  </w:r>
                </w:p>
              </w:tc>
              <w:tc>
                <w:tcPr>
                  <w:tcW w:w="2629" w:type="pct"/>
                  <w:vAlign w:val="center"/>
                </w:tcPr>
                <w:p>
                  <w:pPr>
                    <w:widowControl/>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提升生态保护水平</w:t>
                  </w:r>
                </w:p>
              </w:tc>
              <w:tc>
                <w:tcPr>
                  <w:tcW w:w="1671" w:type="pct"/>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建设单位在项目营运期将积极配合环境执法监管，提升本项目的环境保护水平</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699" w:type="pct"/>
                  <w:vMerge w:val="continue"/>
                  <w:vAlign w:val="center"/>
                </w:tcPr>
                <w:p>
                  <w:pPr>
                    <w:ind w:firstLine="420" w:firstLineChars="200"/>
                    <w:jc w:val="center"/>
                    <w:rPr>
                      <w:rFonts w:hint="default" w:ascii="Times New Roman" w:hAnsi="Times New Roman" w:eastAsia="宋体" w:cs="Times New Roman"/>
                      <w:color w:val="auto"/>
                    </w:rPr>
                  </w:pPr>
                </w:p>
              </w:tc>
              <w:tc>
                <w:tcPr>
                  <w:tcW w:w="2629" w:type="pct"/>
                  <w:vAlign w:val="center"/>
                </w:tcPr>
                <w:p>
                  <w:pPr>
                    <w:widowControl/>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提升环境经济政策调控水平</w:t>
                  </w:r>
                </w:p>
              </w:tc>
              <w:tc>
                <w:tcPr>
                  <w:tcW w:w="1671" w:type="pct"/>
                  <w:vMerge w:val="continue"/>
                  <w:vAlign w:val="center"/>
                </w:tcPr>
                <w:p>
                  <w:pPr>
                    <w:ind w:firstLine="420" w:firstLineChars="200"/>
                    <w:rPr>
                      <w:rFonts w:hint="default" w:ascii="Times New Roman" w:hAnsi="Times New Roman" w:eastAsia="宋体" w:cs="Times New Roman"/>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699" w:type="pct"/>
                  <w:vMerge w:val="continue"/>
                  <w:vAlign w:val="center"/>
                </w:tcPr>
                <w:p>
                  <w:pPr>
                    <w:ind w:firstLine="420" w:firstLineChars="200"/>
                    <w:jc w:val="center"/>
                    <w:rPr>
                      <w:rFonts w:hint="default" w:ascii="Times New Roman" w:hAnsi="Times New Roman" w:eastAsia="宋体" w:cs="Times New Roman"/>
                      <w:color w:val="auto"/>
                    </w:rPr>
                  </w:pPr>
                </w:p>
              </w:tc>
              <w:tc>
                <w:tcPr>
                  <w:tcW w:w="2629" w:type="pct"/>
                  <w:vAlign w:val="center"/>
                </w:tcPr>
                <w:p>
                  <w:pPr>
                    <w:widowControl/>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提升环境执法监管水平</w:t>
                  </w:r>
                </w:p>
              </w:tc>
              <w:tc>
                <w:tcPr>
                  <w:tcW w:w="1671" w:type="pct"/>
                  <w:vMerge w:val="continue"/>
                  <w:vAlign w:val="center"/>
                </w:tcPr>
                <w:p>
                  <w:pPr>
                    <w:ind w:firstLine="420" w:firstLineChars="200"/>
                    <w:rPr>
                      <w:rFonts w:hint="default" w:ascii="Times New Roman" w:hAnsi="Times New Roman" w:eastAsia="宋体" w:cs="Times New Roman"/>
                      <w:color w:val="auto"/>
                    </w:rPr>
                  </w:pPr>
                </w:p>
              </w:tc>
            </w:tr>
          </w:tbl>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综上，本项目与</w:t>
            </w:r>
            <w:r>
              <w:rPr>
                <w:rFonts w:hint="default" w:ascii="Times New Roman" w:hAnsi="Times New Roman" w:eastAsia="宋体" w:cs="Times New Roman"/>
                <w:bCs/>
                <w:color w:val="auto"/>
                <w:sz w:val="24"/>
              </w:rPr>
              <w:t>《江苏省“两减六治三提升”专项行动实施方案》（苏政办发〔2017〕30号）</w:t>
            </w:r>
            <w:r>
              <w:rPr>
                <w:rFonts w:hint="default" w:ascii="Times New Roman" w:hAnsi="Times New Roman" w:eastAsia="宋体" w:cs="Times New Roman"/>
                <w:color w:val="auto"/>
                <w:sz w:val="24"/>
              </w:rPr>
              <w:t>的要求相符。</w:t>
            </w:r>
          </w:p>
          <w:p>
            <w:pPr>
              <w:autoSpaceDE w:val="0"/>
              <w:autoSpaceDN w:val="0"/>
              <w:adjustRightInd w:val="0"/>
              <w:snapToGrid w:val="0"/>
              <w:spacing w:line="360" w:lineRule="auto"/>
              <w:ind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（2）</w:t>
            </w:r>
            <w:r>
              <w:rPr>
                <w:rFonts w:hint="default" w:ascii="Times New Roman" w:hAnsi="Times New Roman" w:eastAsia="宋体" w:cs="Times New Roman"/>
                <w:bCs/>
                <w:color w:val="auto"/>
                <w:sz w:val="24"/>
              </w:rPr>
              <w:t>与《国务院关于印发打赢蓝天保卫战三年行动计划的通知》（国发〔2018〕22号）、《江苏省打赢蓝天保卫战三年行动计划实施方案》（苏政发〔2018〕122号）、</w:t>
            </w:r>
            <w:r>
              <w:rPr>
                <w:rFonts w:hint="default" w:ascii="Times New Roman" w:hAnsi="Times New Roman" w:eastAsia="宋体" w:cs="Times New Roman"/>
                <w:color w:val="auto"/>
                <w:sz w:val="24"/>
              </w:rPr>
              <w:t>《常州市打赢蓝天保卫战行动计划实施方案》（常政发[2019]27号）相符性分析。</w:t>
            </w:r>
          </w:p>
          <w:p>
            <w:pPr>
              <w:pStyle w:val="2"/>
              <w:spacing w:after="0"/>
              <w:ind w:left="0" w:leftChars="0" w:right="0" w:rightChars="0"/>
              <w:jc w:val="center"/>
              <w:rPr>
                <w:rFonts w:hint="default" w:ascii="Times New Roman" w:hAnsi="Times New Roman" w:eastAsia="宋体" w:cs="Times New Roman"/>
                <w:b/>
                <w:bCs/>
                <w:color w:val="auto"/>
                <w:sz w:val="24"/>
                <w:szCs w:val="24"/>
              </w:rPr>
            </w:pPr>
          </w:p>
          <w:p>
            <w:pPr>
              <w:pStyle w:val="2"/>
              <w:spacing w:after="0"/>
              <w:ind w:left="0" w:leftChars="0" w:right="0" w:rightChars="0"/>
              <w:jc w:val="center"/>
              <w:rPr>
                <w:rFonts w:hint="default" w:ascii="Times New Roman" w:hAnsi="Times New Roman" w:eastAsia="宋体" w:cs="Times New Roman"/>
                <w:b/>
                <w:bCs/>
                <w:color w:val="auto"/>
                <w:sz w:val="24"/>
                <w:szCs w:val="24"/>
              </w:rPr>
            </w:pPr>
          </w:p>
          <w:p>
            <w:pPr>
              <w:pStyle w:val="2"/>
              <w:spacing w:after="0"/>
              <w:ind w:left="0" w:leftChars="0" w:right="0" w:rightChars="0"/>
              <w:jc w:val="center"/>
              <w:rPr>
                <w:rFonts w:hint="default" w:ascii="Times New Roman" w:hAnsi="Times New Roman" w:eastAsia="宋体" w:cs="Times New Roman"/>
                <w:b/>
                <w:bCs/>
                <w:color w:val="auto"/>
                <w:sz w:val="24"/>
                <w:szCs w:val="24"/>
              </w:rPr>
            </w:pPr>
          </w:p>
          <w:p>
            <w:pPr>
              <w:pStyle w:val="2"/>
              <w:spacing w:after="0"/>
              <w:ind w:left="0" w:leftChars="0" w:right="0" w:rightChars="0"/>
              <w:jc w:val="center"/>
              <w:rPr>
                <w:rFonts w:hint="default" w:ascii="Times New Roman" w:hAnsi="Times New Roman" w:eastAsia="宋体" w:cs="Times New Roman"/>
                <w:b/>
                <w:bCs/>
                <w:color w:val="auto"/>
                <w:sz w:val="24"/>
                <w:szCs w:val="24"/>
              </w:rPr>
            </w:pPr>
          </w:p>
          <w:p>
            <w:pPr>
              <w:pStyle w:val="2"/>
              <w:spacing w:after="0"/>
              <w:ind w:left="0" w:leftChars="0" w:right="0" w:rightChars="0"/>
              <w:jc w:val="center"/>
              <w:rPr>
                <w:rFonts w:hint="default" w:ascii="Times New Roman" w:hAnsi="Times New Roman" w:eastAsia="宋体" w:cs="Times New Roman"/>
                <w:b/>
                <w:bCs/>
                <w:color w:val="auto"/>
                <w:sz w:val="24"/>
                <w:szCs w:val="24"/>
              </w:rPr>
            </w:pPr>
          </w:p>
          <w:p>
            <w:pPr>
              <w:pStyle w:val="2"/>
              <w:spacing w:after="0"/>
              <w:ind w:left="0" w:leftChars="0" w:right="0" w:rightChars="0"/>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表1-</w:t>
            </w:r>
            <w:r>
              <w:rPr>
                <w:rFonts w:hint="eastAsia" w:ascii="Times New Roman" w:hAnsi="Times New Roman" w:eastAsia="宋体" w:cs="Times New Roman"/>
                <w:b/>
                <w:bCs/>
                <w:color w:val="auto"/>
                <w:sz w:val="24"/>
                <w:szCs w:val="24"/>
                <w:lang w:val="en-US" w:eastAsia="zh-CN"/>
              </w:rPr>
              <w:t>6</w:t>
            </w:r>
            <w:r>
              <w:rPr>
                <w:rFonts w:hint="default" w:ascii="Times New Roman" w:hAnsi="Times New Roman" w:eastAsia="宋体" w:cs="Times New Roman"/>
                <w:b/>
                <w:bCs/>
                <w:color w:val="auto"/>
                <w:sz w:val="24"/>
                <w:szCs w:val="24"/>
              </w:rPr>
              <w:t xml:space="preserve">  与国发〔2018〕22号相符性分析</w:t>
            </w:r>
          </w:p>
          <w:tbl>
            <w:tblPr>
              <w:tblStyle w:val="23"/>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597"/>
              <w:gridCol w:w="153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55" w:type="pct"/>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要求</w:t>
                  </w:r>
                </w:p>
              </w:tc>
              <w:tc>
                <w:tcPr>
                  <w:tcW w:w="944" w:type="pct"/>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7" w:hRule="atLeast"/>
              </w:trPr>
              <w:tc>
                <w:tcPr>
                  <w:tcW w:w="4055" w:type="pct"/>
                  <w:vAlign w:val="center"/>
                </w:tcPr>
                <w:p>
                  <w:pPr>
                    <w:widowControl/>
                    <w:jc w:val="center"/>
                    <w:textAlignment w:val="bottom"/>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四）优化产业布局。各地完成生态保护红线、环境质量底线、资源利用上线、环境准入清单编制工作，明确禁止和限制发展的行业、生产工艺和产业目录。修订完善高耗能、高污染和资源型行业准入条件，环境空气质量未达标城市应制订更严格的产业准入门槛。积极推行区域、规划环境影响评价，新、改、扩建钢铁、石化、化工、焦化、建材、有色等项目的环境影响评价，应满足区域、规划环评要求。</w:t>
                  </w:r>
                </w:p>
              </w:tc>
              <w:tc>
                <w:tcPr>
                  <w:tcW w:w="944" w:type="pct"/>
                  <w:vAlign w:val="center"/>
                </w:tcPr>
                <w:p>
                  <w:pPr>
                    <w:widowControl/>
                    <w:jc w:val="center"/>
                    <w:textAlignment w:val="bottom"/>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本项目不属于禁止和限制发展的行业</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45" w:hRule="atLeast"/>
              </w:trPr>
              <w:tc>
                <w:tcPr>
                  <w:tcW w:w="4055" w:type="pct"/>
                  <w:vAlign w:val="center"/>
                </w:tcPr>
                <w:p>
                  <w:pPr>
                    <w:widowControl/>
                    <w:jc w:val="center"/>
                    <w:textAlignment w:val="bottom"/>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五）严控“两高”行业产能。重点区域严禁新增钢铁、焦化、电解铝、铸造、水泥和平板玻璃等产能；严格执行钢铁、水泥、平板玻璃等行业产能置换实施办法；新、改、扩建涉及大宗物料运输的建设项目，原则上不得采用公路运输。</w:t>
                  </w:r>
                </w:p>
              </w:tc>
              <w:tc>
                <w:tcPr>
                  <w:tcW w:w="944" w:type="pct"/>
                  <w:vAlign w:val="center"/>
                </w:tcPr>
                <w:p>
                  <w:pPr>
                    <w:widowControl/>
                    <w:jc w:val="center"/>
                    <w:textAlignment w:val="bottom"/>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本项目不属于“两高”行业</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4055" w:type="pct"/>
                  <w:vAlign w:val="center"/>
                </w:tcPr>
                <w:p>
                  <w:pPr>
                    <w:widowControl/>
                    <w:jc w:val="center"/>
                    <w:textAlignment w:val="bottom"/>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十一）开展燃煤锅炉综合整治。加大燃煤小锅炉淘汰力度。县级及以上城市建成区基本淘汰每小时10蒸吨及以下燃煤锅炉及茶水炉、经营性炉灶、储粮烘干设备等燃煤设施，原则上不再新建每小时35蒸吨以下的燃煤锅炉，其他地区原则上不再新建每小时10蒸吨以下的燃煤锅炉。环境空气质量未达标城市应进一步加大淘汰力度。重点区域基本淘汰每小时35蒸吨以下燃煤锅炉，每小时65蒸吨及以上燃煤锅炉全部完成节能和超低排放改造；燃气锅炉基本完成低氮改造；城市建成区生物质锅炉实施超低排放改造。</w:t>
                  </w:r>
                </w:p>
              </w:tc>
              <w:tc>
                <w:tcPr>
                  <w:tcW w:w="944" w:type="pct"/>
                  <w:vAlign w:val="center"/>
                </w:tcPr>
                <w:p>
                  <w:pPr>
                    <w:widowControl/>
                    <w:jc w:val="center"/>
                    <w:textAlignment w:val="bottom"/>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rPr>
                    <w:t>本项目</w:t>
                  </w:r>
                  <w:r>
                    <w:rPr>
                      <w:rFonts w:hint="default" w:ascii="Times New Roman" w:hAnsi="Times New Roman" w:eastAsia="宋体" w:cs="Times New Roman"/>
                      <w:color w:val="auto"/>
                      <w:kern w:val="0"/>
                      <w:szCs w:val="21"/>
                      <w:lang w:val="en-US" w:eastAsia="zh-CN"/>
                    </w:rPr>
                    <w:t>采用天然气</w:t>
                  </w:r>
                  <w:r>
                    <w:rPr>
                      <w:rFonts w:hint="default" w:ascii="Times New Roman" w:hAnsi="Times New Roman" w:eastAsia="宋体" w:cs="Times New Roman"/>
                      <w:color w:val="auto"/>
                      <w:kern w:val="0"/>
                      <w:szCs w:val="21"/>
                    </w:rPr>
                    <w:t>锅炉</w:t>
                  </w:r>
                  <w:r>
                    <w:rPr>
                      <w:rFonts w:hint="default" w:ascii="Times New Roman" w:hAnsi="Times New Roman" w:eastAsia="宋体" w:cs="Times New Roman"/>
                      <w:color w:val="auto"/>
                      <w:kern w:val="0"/>
                      <w:szCs w:val="21"/>
                      <w:lang w:eastAsia="zh-CN"/>
                    </w:rPr>
                    <w:t>，</w:t>
                  </w:r>
                  <w:r>
                    <w:rPr>
                      <w:rFonts w:hint="default" w:ascii="Times New Roman" w:hAnsi="Times New Roman" w:eastAsia="宋体" w:cs="Times New Roman"/>
                      <w:color w:val="auto"/>
                      <w:kern w:val="0"/>
                      <w:szCs w:val="21"/>
                      <w:lang w:val="en-US" w:eastAsia="zh-CN"/>
                    </w:rPr>
                    <w:t>不使用燃煤锅炉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91" w:hRule="atLeast"/>
              </w:trPr>
              <w:tc>
                <w:tcPr>
                  <w:tcW w:w="4055" w:type="pct"/>
                  <w:vAlign w:val="center"/>
                </w:tcPr>
                <w:p>
                  <w:pPr>
                    <w:widowControl/>
                    <w:jc w:val="center"/>
                    <w:textAlignment w:val="bottom"/>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十三）加快发展清洁能源和新能源。到2020年，非化石能源占能源消费总量比重达到15%。有序发展水电，安全高效发展核电，优化风能、太阳能开发布局，因地制宜发展生物质能、地热能等。在具备资源条件的地方，鼓励发展县域生物质热电联产、生物质成型燃料锅炉及生物天然气。加大可再生能源消纳力度，基本解决弃水、弃风、弃光问题。</w:t>
                  </w:r>
                </w:p>
              </w:tc>
              <w:tc>
                <w:tcPr>
                  <w:tcW w:w="944" w:type="pct"/>
                  <w:vAlign w:val="center"/>
                </w:tcPr>
                <w:p>
                  <w:pPr>
                    <w:widowControl/>
                    <w:jc w:val="center"/>
                    <w:textAlignment w:val="bottom"/>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本项目使用天然气作为燃料，属清洁能源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4055" w:type="pct"/>
                  <w:vAlign w:val="center"/>
                </w:tcPr>
                <w:p>
                  <w:pPr>
                    <w:widowControl/>
                    <w:jc w:val="center"/>
                    <w:textAlignment w:val="bottom"/>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二十五）实施VOCs专项整治方案。制定石化、化工、工业涂装、包装印刷等VOCs排放重点行业和油品储运销综合整治方案，出台泄漏检测与修复标准，编制VOCs治理技术指南。重点区域禁止建设生产和使用高VOCs含量的溶剂型涂料、油墨、胶粘剂等项目，加大餐饮油烟治理力度。开展VOCs整治专项执法行动，严厉打击违法排污行为，对治理效果差、技术服务能力弱、运营管理水平低的治理单位，公布名单，实行联合惩戒，扶持培育VOCs治理和服务专业化规模化龙头企业。2020年，VOCs排放总量较2015年下降10%以上。</w:t>
                  </w:r>
                </w:p>
              </w:tc>
              <w:tc>
                <w:tcPr>
                  <w:tcW w:w="944" w:type="pct"/>
                  <w:vAlign w:val="center"/>
                </w:tcPr>
                <w:p>
                  <w:pPr>
                    <w:widowControl/>
                    <w:jc w:val="center"/>
                    <w:textAlignment w:val="bottom"/>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szCs w:val="21"/>
                    </w:rPr>
                    <w:t>本项目挥发性有机物均经废气处理装置处理后达标排放，对周边环境影响较小</w:t>
                  </w:r>
                </w:p>
              </w:tc>
            </w:tr>
          </w:tbl>
          <w:p>
            <w:pPr>
              <w:pStyle w:val="2"/>
              <w:spacing w:after="0"/>
              <w:ind w:left="0" w:leftChars="0" w:right="0" w:rightChars="0"/>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表1-</w:t>
            </w:r>
            <w:r>
              <w:rPr>
                <w:rFonts w:hint="eastAsia" w:ascii="Times New Roman" w:hAnsi="Times New Roman" w:eastAsia="宋体" w:cs="Times New Roman"/>
                <w:b/>
                <w:bCs/>
                <w:color w:val="auto"/>
                <w:sz w:val="24"/>
                <w:szCs w:val="24"/>
                <w:lang w:val="en-US" w:eastAsia="zh-CN"/>
              </w:rPr>
              <w:t>7</w:t>
            </w:r>
            <w:r>
              <w:rPr>
                <w:rFonts w:hint="default" w:ascii="Times New Roman" w:hAnsi="Times New Roman" w:eastAsia="宋体" w:cs="Times New Roman"/>
                <w:b/>
                <w:bCs/>
                <w:color w:val="auto"/>
                <w:sz w:val="24"/>
                <w:szCs w:val="24"/>
              </w:rPr>
              <w:t xml:space="preserve">  与苏政发〔2018〕122号相符性分析</w:t>
            </w:r>
          </w:p>
          <w:tbl>
            <w:tblPr>
              <w:tblStyle w:val="23"/>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602"/>
              <w:gridCol w:w="153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58" w:type="pct"/>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要求</w:t>
                  </w:r>
                </w:p>
              </w:tc>
              <w:tc>
                <w:tcPr>
                  <w:tcW w:w="941" w:type="pct"/>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58" w:type="pct"/>
                  <w:vAlign w:val="center"/>
                </w:tcPr>
                <w:p>
                  <w:pPr>
                    <w:widowControl/>
                    <w:jc w:val="center"/>
                    <w:textAlignment w:val="bottom"/>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三）优化产业布局。2018年底前，编制完成全省“三线一单”（生态保护红线、环境质量底线、资源利用上线和环境准入清单）。明确禁止和限制发展的行业、生产工艺和产业目录，严格执行江苏省产业结构调整限制、淘汰和禁止目录，各市根据空气质量改善需求可制定更严格的产业准入门槛。</w:t>
                  </w:r>
                </w:p>
              </w:tc>
              <w:tc>
                <w:tcPr>
                  <w:tcW w:w="941" w:type="pct"/>
                  <w:vAlign w:val="center"/>
                </w:tcPr>
                <w:p>
                  <w:pPr>
                    <w:widowControl/>
                    <w:jc w:val="center"/>
                    <w:textAlignment w:val="bottom"/>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本项目不属于江苏省产业结构调整限制、淘汰和禁止项目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4058" w:type="pct"/>
                  <w:vAlign w:val="center"/>
                </w:tcPr>
                <w:p>
                  <w:pPr>
                    <w:widowControl/>
                    <w:jc w:val="center"/>
                    <w:textAlignment w:val="bottom"/>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六）深化工业污染治理。持续推进工业污染源全面达标排放，加大超标处罚和联合惩戒力度，未达标排放的企业一律依法停产整治。建立覆盖所有固定污染源的企业排放许可制度，2020年底前完成排污许可分类管理名录规定的行业许可证核发。推进重点行业污染治理升级改造。全省范围内二氧化硫、氮氧化物、颗粒物、VOCs全面执行大气污染物特别排放限值。推进非电行业氮氧化物深度减排，钢铁等行业实施超低排放改造，城市建成区内焦炉实施炉体加罩封闭，并对废气进行收集处理。</w:t>
                  </w:r>
                </w:p>
              </w:tc>
              <w:tc>
                <w:tcPr>
                  <w:tcW w:w="941" w:type="pct"/>
                  <w:vAlign w:val="center"/>
                </w:tcPr>
                <w:p>
                  <w:pPr>
                    <w:widowControl/>
                    <w:jc w:val="center"/>
                    <w:textAlignment w:val="bottom"/>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企业已取得排污许可</w:t>
                  </w:r>
                  <w:r>
                    <w:rPr>
                      <w:rFonts w:hint="default" w:ascii="Times New Roman" w:hAnsi="Times New Roman" w:eastAsia="宋体" w:cs="Times New Roman"/>
                      <w:color w:val="auto"/>
                      <w:kern w:val="0"/>
                      <w:szCs w:val="21"/>
                      <w:lang w:val="en-US" w:eastAsia="zh-CN"/>
                    </w:rPr>
                    <w:t>登记回执</w:t>
                  </w:r>
                  <w:r>
                    <w:rPr>
                      <w:rFonts w:hint="default" w:ascii="Times New Roman" w:hAnsi="Times New Roman" w:eastAsia="宋体" w:cs="Times New Roman"/>
                      <w:color w:val="auto"/>
                      <w:kern w:val="0"/>
                      <w:szCs w:val="21"/>
                    </w:rPr>
                    <w:t>；本项目二氧化硫、氮氧化物、颗粒物执行大气污染物特别排放限值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4058" w:type="pct"/>
                  <w:vAlign w:val="center"/>
                </w:tcPr>
                <w:p>
                  <w:pPr>
                    <w:widowControl/>
                    <w:jc w:val="center"/>
                    <w:textAlignment w:val="bottom"/>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十）开展燃煤锅炉综合整治。2019年底前，35蒸吨/小时及以下燃煤锅炉全部淘汰或实施清洁能源替代，按照宜电则电、宜气则气等原则进行整治，鼓励使用太阳能、生物质能等；推进煤炭清洁化利用，推广清洁高效燃煤锅炉，65蒸吨/小时及以上的燃煤锅炉全部完成节能和超低排放改造；燃气锅炉基本完成低氮改造；城市建成区生物质锅炉实施超低排放改造；其余燃煤锅炉全部达到特别排放限值要求。</w:t>
                  </w:r>
                </w:p>
              </w:tc>
              <w:tc>
                <w:tcPr>
                  <w:tcW w:w="941" w:type="pct"/>
                  <w:vAlign w:val="center"/>
                </w:tcPr>
                <w:p>
                  <w:pPr>
                    <w:widowControl/>
                    <w:jc w:val="center"/>
                    <w:textAlignment w:val="bottom"/>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本项目</w:t>
                  </w:r>
                  <w:r>
                    <w:rPr>
                      <w:rFonts w:hint="default" w:ascii="Times New Roman" w:hAnsi="Times New Roman" w:eastAsia="宋体" w:cs="Times New Roman"/>
                      <w:color w:val="auto"/>
                      <w:kern w:val="0"/>
                      <w:szCs w:val="21"/>
                      <w:lang w:val="en-US" w:eastAsia="zh-CN"/>
                    </w:rPr>
                    <w:t>采用天然气</w:t>
                  </w:r>
                  <w:r>
                    <w:rPr>
                      <w:rFonts w:hint="default" w:ascii="Times New Roman" w:hAnsi="Times New Roman" w:eastAsia="宋体" w:cs="Times New Roman"/>
                      <w:color w:val="auto"/>
                      <w:kern w:val="0"/>
                      <w:szCs w:val="21"/>
                    </w:rPr>
                    <w:t>锅炉</w:t>
                  </w:r>
                  <w:r>
                    <w:rPr>
                      <w:rFonts w:hint="default" w:ascii="Times New Roman" w:hAnsi="Times New Roman" w:eastAsia="宋体" w:cs="Times New Roman"/>
                      <w:color w:val="auto"/>
                      <w:kern w:val="0"/>
                      <w:szCs w:val="21"/>
                      <w:lang w:eastAsia="zh-CN"/>
                    </w:rPr>
                    <w:t>，</w:t>
                  </w:r>
                  <w:r>
                    <w:rPr>
                      <w:rFonts w:hint="default" w:ascii="Times New Roman" w:hAnsi="Times New Roman" w:eastAsia="宋体" w:cs="Times New Roman"/>
                      <w:color w:val="auto"/>
                      <w:kern w:val="0"/>
                      <w:szCs w:val="21"/>
                      <w:lang w:val="en-US" w:eastAsia="zh-CN"/>
                    </w:rPr>
                    <w:t>不使用燃煤锅炉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4058" w:type="pct"/>
                  <w:vAlign w:val="center"/>
                </w:tcPr>
                <w:p>
                  <w:pPr>
                    <w:widowControl/>
                    <w:jc w:val="center"/>
                    <w:textAlignment w:val="bottom"/>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十二）加快发展清洁能源和新能源。坚持集中开发与分散利用并举，调整优化开发布局，有序发展水电，安全高效发展核电，优化风能、太阳能开发布局，因地制宜发展生物质能、地热能等。在具备资源条件的地方，鼓励发展县域生物质热电联产、生物质成型燃料锅炉及生物天然气。推进建筑陶瓷行业清洁能源改造。到2020年，非化石能源发电装机力争达到2600万千瓦，占省内电力装机的20%左右；非化石能源占一次能源消费比重达约11%。</w:t>
                  </w:r>
                </w:p>
              </w:tc>
              <w:tc>
                <w:tcPr>
                  <w:tcW w:w="941" w:type="pct"/>
                  <w:vAlign w:val="center"/>
                </w:tcPr>
                <w:p>
                  <w:pPr>
                    <w:widowControl/>
                    <w:jc w:val="center"/>
                    <w:textAlignment w:val="bottom"/>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本项目使用天然气作为燃料，属清洁能源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4058" w:type="pct"/>
                  <w:vAlign w:val="center"/>
                </w:tcPr>
                <w:p>
                  <w:pPr>
                    <w:widowControl/>
                    <w:jc w:val="center"/>
                    <w:textAlignment w:val="bottom"/>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（二十四）深化VOCs治理专项行动。完善省重点行业VOCs排放量核算与综合管理系统，建成能够统一管理VOCs主要污染源排放、治理、监测、第三方治理单位等信息的综合平台。</w:t>
                  </w:r>
                </w:p>
              </w:tc>
              <w:tc>
                <w:tcPr>
                  <w:tcW w:w="941" w:type="pct"/>
                  <w:vAlign w:val="center"/>
                </w:tcPr>
                <w:p>
                  <w:pPr>
                    <w:widowControl/>
                    <w:jc w:val="center"/>
                    <w:textAlignment w:val="bottom"/>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szCs w:val="21"/>
                    </w:rPr>
                    <w:t>本项目挥发性有机物均经废气处理装置处理后达标排放，对周边环境影响较小</w:t>
                  </w:r>
                </w:p>
              </w:tc>
            </w:tr>
          </w:tbl>
          <w:p>
            <w:pPr>
              <w:pStyle w:val="2"/>
              <w:spacing w:after="0"/>
              <w:ind w:left="0" w:leftChars="0" w:right="0" w:rightChars="0"/>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表1-</w:t>
            </w:r>
            <w:r>
              <w:rPr>
                <w:rFonts w:hint="eastAsia" w:ascii="Times New Roman" w:hAnsi="Times New Roman" w:eastAsia="宋体" w:cs="Times New Roman"/>
                <w:b/>
                <w:bCs/>
                <w:color w:val="auto"/>
                <w:sz w:val="24"/>
                <w:szCs w:val="24"/>
                <w:lang w:val="en-US" w:eastAsia="zh-CN"/>
              </w:rPr>
              <w:t>8</w:t>
            </w:r>
            <w:r>
              <w:rPr>
                <w:rFonts w:hint="default" w:ascii="Times New Roman" w:hAnsi="Times New Roman" w:eastAsia="宋体" w:cs="Times New Roman"/>
                <w:b/>
                <w:bCs/>
                <w:color w:val="auto"/>
                <w:sz w:val="24"/>
                <w:szCs w:val="24"/>
              </w:rPr>
              <w:t xml:space="preserve">  与常政发[2019]27号相符性分析</w:t>
            </w:r>
          </w:p>
          <w:tbl>
            <w:tblPr>
              <w:tblStyle w:val="23"/>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602"/>
              <w:gridCol w:w="153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58" w:type="pct"/>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要求</w:t>
                  </w:r>
                </w:p>
              </w:tc>
              <w:tc>
                <w:tcPr>
                  <w:tcW w:w="941" w:type="pct"/>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45" w:hRule="atLeast"/>
              </w:trPr>
              <w:tc>
                <w:tcPr>
                  <w:tcW w:w="4058" w:type="pct"/>
                  <w:vAlign w:val="center"/>
                </w:tcPr>
                <w:p>
                  <w:pPr>
                    <w:widowControl/>
                    <w:jc w:val="center"/>
                    <w:textAlignment w:val="bottom"/>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三）优化产业布局。按上级要求编制完成全市“三线一单”（生态保护红线、环境质量底线、资源利用上线和环境准入清单），划定单元细化、精确到每个乡镇，为优化发展布局、推动产业结构调整提供科学指南。明确禁止和限制发展的行业、生产工艺和产业目录，严格执行江苏省产业结构调整限制、淘汰和禁止目录，各辖市、区根据空气质量改善需求可制订更严格的产业准入门槛。积极推行区域、规划环境影响评价，新、改、扩建钢铁、石化、化工、焦化、建材、有色等项目的环境影响评价，应满足区域、规划环评要求，其中钢铁和煤电项目不得新建，化工项目应符合江苏省相关行业环境准入和排放标准。在园区内开展环境政策和制度集成改革试点，放大政策扶持和改革集成效应。</w:t>
                  </w:r>
                </w:p>
              </w:tc>
              <w:tc>
                <w:tcPr>
                  <w:tcW w:w="941" w:type="pct"/>
                  <w:vAlign w:val="center"/>
                </w:tcPr>
                <w:p>
                  <w:pPr>
                    <w:widowControl/>
                    <w:jc w:val="center"/>
                    <w:textAlignment w:val="bottom"/>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本项目不属于产业结构调整限制、淘汰和禁止项目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59" w:hRule="atLeast"/>
              </w:trPr>
              <w:tc>
                <w:tcPr>
                  <w:tcW w:w="4058" w:type="pct"/>
                  <w:vAlign w:val="center"/>
                </w:tcPr>
                <w:p>
                  <w:pPr>
                    <w:widowControl/>
                    <w:jc w:val="center"/>
                    <w:textAlignment w:val="bottom"/>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六）深化工业污染治理。持续推进工业污染源全面达标排放，加大超标处罚和联合惩戒力度，未达标排放的企业一律依法停产整治。建立覆盖所有固定污染源的企业排放许可制度，2020年底前完成排污许可管理名录规定的行业许可证核发。</w:t>
                  </w:r>
                </w:p>
              </w:tc>
              <w:tc>
                <w:tcPr>
                  <w:tcW w:w="941" w:type="pct"/>
                  <w:vAlign w:val="center"/>
                </w:tcPr>
                <w:p>
                  <w:pPr>
                    <w:widowControl/>
                    <w:jc w:val="center"/>
                    <w:textAlignment w:val="bottom"/>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企业已取得排污许可</w:t>
                  </w:r>
                  <w:r>
                    <w:rPr>
                      <w:rFonts w:hint="default" w:ascii="Times New Roman" w:hAnsi="Times New Roman" w:eastAsia="宋体" w:cs="Times New Roman"/>
                      <w:color w:val="auto"/>
                      <w:kern w:val="0"/>
                      <w:szCs w:val="21"/>
                      <w:lang w:val="en-US" w:eastAsia="zh-CN"/>
                    </w:rPr>
                    <w:t>登记回执</w:t>
                  </w:r>
                  <w:r>
                    <w:rPr>
                      <w:rFonts w:hint="default" w:ascii="Times New Roman" w:hAnsi="Times New Roman" w:eastAsia="宋体" w:cs="Times New Roman"/>
                      <w:color w:val="auto"/>
                      <w:kern w:val="0"/>
                      <w:szCs w:val="21"/>
                    </w:rPr>
                    <w:t>；本项目二氧化硫、氮氧化物、颗粒物可达标排放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58" w:type="pct"/>
                  <w:vAlign w:val="center"/>
                </w:tcPr>
                <w:p>
                  <w:pPr>
                    <w:widowControl/>
                    <w:jc w:val="center"/>
                    <w:textAlignment w:val="bottom"/>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十）开展燃煤锅炉综合整治。2019年底前，35蒸吨/小时及以下燃煤锅炉全部淘汰或实施清洁能源替代，按照宜电则电、宜气则气等原则进行整治，鼓励使用太阳能、生物质能等；推进煤炭清洁化利用，推广清洁高效燃煤锅炉，65蒸吨/小时及以上的燃煤锅炉全部完成节能和超低排放改造；燃气锅炉基本完成低氮改造；城市建成区生物质锅炉实施超低排放改造；其余燃煤锅炉全部达到特别排放限值要求。</w:t>
                  </w:r>
                </w:p>
              </w:tc>
              <w:tc>
                <w:tcPr>
                  <w:tcW w:w="941" w:type="pct"/>
                  <w:vAlign w:val="center"/>
                </w:tcPr>
                <w:p>
                  <w:pPr>
                    <w:widowControl/>
                    <w:jc w:val="center"/>
                    <w:textAlignment w:val="bottom"/>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本项目</w:t>
                  </w:r>
                  <w:r>
                    <w:rPr>
                      <w:rFonts w:hint="default" w:ascii="Times New Roman" w:hAnsi="Times New Roman" w:eastAsia="宋体" w:cs="Times New Roman"/>
                      <w:color w:val="auto"/>
                      <w:kern w:val="0"/>
                      <w:szCs w:val="21"/>
                      <w:lang w:val="en-US" w:eastAsia="zh-CN"/>
                    </w:rPr>
                    <w:t>采用天然气</w:t>
                  </w:r>
                  <w:r>
                    <w:rPr>
                      <w:rFonts w:hint="default" w:ascii="Times New Roman" w:hAnsi="Times New Roman" w:eastAsia="宋体" w:cs="Times New Roman"/>
                      <w:color w:val="auto"/>
                      <w:kern w:val="0"/>
                      <w:szCs w:val="21"/>
                    </w:rPr>
                    <w:t>锅炉</w:t>
                  </w:r>
                  <w:r>
                    <w:rPr>
                      <w:rFonts w:hint="default" w:ascii="Times New Roman" w:hAnsi="Times New Roman" w:eastAsia="宋体" w:cs="Times New Roman"/>
                      <w:color w:val="auto"/>
                      <w:kern w:val="0"/>
                      <w:szCs w:val="21"/>
                      <w:lang w:eastAsia="zh-CN"/>
                    </w:rPr>
                    <w:t>，</w:t>
                  </w:r>
                  <w:r>
                    <w:rPr>
                      <w:rFonts w:hint="default" w:ascii="Times New Roman" w:hAnsi="Times New Roman" w:eastAsia="宋体" w:cs="Times New Roman"/>
                      <w:color w:val="auto"/>
                      <w:kern w:val="0"/>
                      <w:szCs w:val="21"/>
                      <w:lang w:val="en-US" w:eastAsia="zh-CN"/>
                    </w:rPr>
                    <w:t>不使用燃煤锅炉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42" w:hRule="atLeast"/>
              </w:trPr>
              <w:tc>
                <w:tcPr>
                  <w:tcW w:w="4058" w:type="pct"/>
                  <w:vAlign w:val="center"/>
                </w:tcPr>
                <w:p>
                  <w:pPr>
                    <w:widowControl/>
                    <w:jc w:val="center"/>
                    <w:textAlignment w:val="bottom"/>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十二）加快发展清洁能源和新能源。坚持集中开发与分散利用并举，调整优化开发布局，优化太阳能开发布局，因地制宜发展生物质能、地热能等。在具备资源条件的地方，鼓励乡镇发展生物质热电联产、生物质成型燃料锅炉及生物天然气。到2020年，非化石能源发电装机容量逐步提高。</w:t>
                  </w:r>
                </w:p>
              </w:tc>
              <w:tc>
                <w:tcPr>
                  <w:tcW w:w="941" w:type="pct"/>
                  <w:vAlign w:val="center"/>
                </w:tcPr>
                <w:p>
                  <w:pPr>
                    <w:widowControl/>
                    <w:jc w:val="center"/>
                    <w:textAlignment w:val="bottom"/>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本项目使用天然气作为燃料，属清洁能源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06" w:hRule="atLeast"/>
              </w:trPr>
              <w:tc>
                <w:tcPr>
                  <w:tcW w:w="4058" w:type="pct"/>
                  <w:vAlign w:val="center"/>
                </w:tcPr>
                <w:p>
                  <w:pPr>
                    <w:widowControl/>
                    <w:jc w:val="center"/>
                    <w:textAlignment w:val="bottom"/>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二十四）深化VOCs治理专项行动。上报省重点行业VOCs排放量核算系统相关数据，协助建立省级能够统一管理VOCs主要排放源排放、污染治理、监测、第三方治理单位等信息的综合平台。基本完成我市VOCs源解析工作，识别本地重点高活性VOCs物质；2019年制定出台全市VOCs名录和重点监管企业名录，着力推进重点物质减排。2019年底前，凡列入市VOCs重点监管企业名单的企业，均应自查VOCs排放情况、编制“一企一策”方案，各辖市区组织专家开展企业综合整治效果的核实评估、委托第三方抽取一定比例VOCs重点监管企业进行核查，确保治理见成效。到2020年全市VOCs排放重点行业比2015年减排30%以上。</w:t>
                  </w:r>
                </w:p>
              </w:tc>
              <w:tc>
                <w:tcPr>
                  <w:tcW w:w="941" w:type="pct"/>
                  <w:vAlign w:val="center"/>
                </w:tcPr>
                <w:p>
                  <w:pPr>
                    <w:widowControl/>
                    <w:jc w:val="center"/>
                    <w:textAlignment w:val="bottom"/>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szCs w:val="21"/>
                    </w:rPr>
                    <w:t>本项目挥发性有机物均经废气处理装置处理后达标排放，对周边环境影响较小</w:t>
                  </w:r>
                </w:p>
              </w:tc>
            </w:tr>
          </w:tbl>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综上，本项目建设符合“蓝天保卫战三年行动计划”要求。</w:t>
            </w:r>
          </w:p>
          <w:p>
            <w:pPr>
              <w:autoSpaceDE w:val="0"/>
              <w:autoSpaceDN w:val="0"/>
              <w:snapToGrid w:val="0"/>
              <w:spacing w:line="360" w:lineRule="auto"/>
              <w:ind w:firstLine="480" w:firstLineChars="200"/>
              <w:jc w:val="left"/>
              <w:rPr>
                <w:rFonts w:hint="default"/>
                <w:color w:val="auto"/>
                <w:sz w:val="24"/>
                <w:lang w:val="en-US" w:eastAsia="zh-CN"/>
              </w:rPr>
            </w:pPr>
            <w:r>
              <w:rPr>
                <w:color w:val="auto"/>
                <w:sz w:val="24"/>
              </w:rPr>
              <w:t>（</w:t>
            </w:r>
            <w:r>
              <w:rPr>
                <w:rFonts w:hint="eastAsia"/>
                <w:color w:val="auto"/>
                <w:sz w:val="24"/>
                <w:lang w:val="en-US" w:eastAsia="zh-CN"/>
              </w:rPr>
              <w:t>3</w:t>
            </w:r>
            <w:r>
              <w:rPr>
                <w:color w:val="auto"/>
                <w:sz w:val="24"/>
              </w:rPr>
              <w:t>）</w:t>
            </w:r>
            <w:r>
              <w:rPr>
                <w:rFonts w:hint="eastAsia"/>
                <w:color w:val="auto"/>
                <w:sz w:val="24"/>
                <w:lang w:val="en-US" w:eastAsia="zh-CN"/>
              </w:rPr>
              <w:t>与</w:t>
            </w:r>
            <w:r>
              <w:rPr>
                <w:color w:val="auto"/>
                <w:sz w:val="24"/>
              </w:rPr>
              <w:t>《2020年常州市打好污染防治攻坚战工作方案》（常政发〔2020〕29号）</w:t>
            </w:r>
            <w:r>
              <w:rPr>
                <w:rFonts w:hint="eastAsia"/>
                <w:color w:val="auto"/>
                <w:sz w:val="24"/>
                <w:lang w:eastAsia="zh-CN"/>
              </w:rPr>
              <w:t>、</w:t>
            </w:r>
            <w:r>
              <w:rPr>
                <w:color w:val="auto"/>
                <w:sz w:val="24"/>
              </w:rPr>
              <w:t>《2021年常州市深入打好污染防治攻坚战工作方案》</w:t>
            </w:r>
            <w:r>
              <w:rPr>
                <w:rFonts w:hint="eastAsia"/>
                <w:color w:val="auto"/>
                <w:sz w:val="24"/>
                <w:lang w:eastAsia="zh-CN"/>
              </w:rPr>
              <w:t>（</w:t>
            </w:r>
            <w:r>
              <w:rPr>
                <w:color w:val="auto"/>
                <w:sz w:val="24"/>
              </w:rPr>
              <w:t>常政发〔2021〕21号</w:t>
            </w:r>
            <w:r>
              <w:rPr>
                <w:rFonts w:hint="eastAsia"/>
                <w:color w:val="auto"/>
                <w:sz w:val="24"/>
                <w:lang w:eastAsia="zh-CN"/>
              </w:rPr>
              <w:t>）</w:t>
            </w:r>
            <w:r>
              <w:rPr>
                <w:rFonts w:hint="eastAsia"/>
                <w:color w:val="auto"/>
                <w:sz w:val="24"/>
                <w:lang w:val="en-US" w:eastAsia="zh-CN"/>
              </w:rPr>
              <w:t>相符性分析</w:t>
            </w:r>
          </w:p>
          <w:p>
            <w:pPr>
              <w:pStyle w:val="2"/>
              <w:spacing w:after="0"/>
              <w:ind w:left="0" w:leftChars="0" w:right="0" w:rightChars="0"/>
              <w:jc w:val="center"/>
              <w:rPr>
                <w:rFonts w:ascii="Times New Roman" w:hAnsi="Times New Roman"/>
                <w:b/>
                <w:bCs/>
                <w:color w:val="auto"/>
                <w:sz w:val="24"/>
                <w:szCs w:val="24"/>
              </w:rPr>
            </w:pPr>
            <w:r>
              <w:rPr>
                <w:rFonts w:ascii="Times New Roman" w:hAnsi="Times New Roman"/>
                <w:b/>
                <w:bCs/>
                <w:color w:val="auto"/>
                <w:sz w:val="24"/>
                <w:szCs w:val="24"/>
              </w:rPr>
              <w:t>表1-</w:t>
            </w:r>
            <w:r>
              <w:rPr>
                <w:rFonts w:hint="eastAsia" w:ascii="Times New Roman" w:hAnsi="Times New Roman"/>
                <w:b/>
                <w:bCs/>
                <w:color w:val="auto"/>
                <w:sz w:val="24"/>
                <w:szCs w:val="24"/>
                <w:lang w:val="en-US" w:eastAsia="zh-CN"/>
              </w:rPr>
              <w:t>9</w:t>
            </w:r>
            <w:r>
              <w:rPr>
                <w:rFonts w:ascii="Times New Roman" w:hAnsi="Times New Roman"/>
                <w:b/>
                <w:bCs/>
                <w:color w:val="auto"/>
                <w:sz w:val="24"/>
                <w:szCs w:val="24"/>
              </w:rPr>
              <w:t xml:space="preserve">  与《</w:t>
            </w:r>
            <w:r>
              <w:rPr>
                <w:b/>
                <w:bCs/>
                <w:color w:val="auto"/>
                <w:sz w:val="24"/>
              </w:rPr>
              <w:t>常州市打好污染防治攻坚战工作方案</w:t>
            </w:r>
            <w:r>
              <w:rPr>
                <w:rFonts w:ascii="Times New Roman" w:hAnsi="Times New Roman"/>
                <w:b/>
                <w:bCs/>
                <w:color w:val="auto"/>
                <w:sz w:val="24"/>
                <w:szCs w:val="24"/>
              </w:rPr>
              <w:t>》的相符性分析</w:t>
            </w:r>
          </w:p>
          <w:tbl>
            <w:tblPr>
              <w:tblStyle w:val="23"/>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92"/>
              <w:gridCol w:w="4303"/>
              <w:gridCol w:w="223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979" w:type="pct"/>
                  <w:tcBorders>
                    <w:top w:val="single" w:color="auto" w:sz="12" w:space="0"/>
                    <w:bottom w:val="single" w:color="auto" w:sz="4" w:space="0"/>
                  </w:tcBorders>
                  <w:vAlign w:val="center"/>
                </w:tcPr>
                <w:p>
                  <w:pPr>
                    <w:jc w:val="center"/>
                    <w:rPr>
                      <w:rFonts w:hint="default" w:eastAsia="宋体"/>
                      <w:b/>
                      <w:color w:val="auto"/>
                      <w:lang w:val="en-US" w:eastAsia="zh-CN"/>
                    </w:rPr>
                  </w:pPr>
                  <w:r>
                    <w:rPr>
                      <w:rFonts w:hint="eastAsia"/>
                      <w:b/>
                      <w:color w:val="auto"/>
                      <w:lang w:val="en-US" w:eastAsia="zh-CN"/>
                    </w:rPr>
                    <w:t>相关文件</w:t>
                  </w:r>
                </w:p>
              </w:tc>
              <w:tc>
                <w:tcPr>
                  <w:tcW w:w="2646" w:type="pct"/>
                  <w:tcBorders>
                    <w:top w:val="single" w:color="auto" w:sz="12" w:space="0"/>
                    <w:bottom w:val="single" w:color="auto" w:sz="4" w:space="0"/>
                  </w:tcBorders>
                  <w:vAlign w:val="center"/>
                </w:tcPr>
                <w:p>
                  <w:pPr>
                    <w:jc w:val="center"/>
                    <w:rPr>
                      <w:b/>
                      <w:color w:val="auto"/>
                    </w:rPr>
                  </w:pPr>
                  <w:r>
                    <w:rPr>
                      <w:rFonts w:hint="eastAsia"/>
                      <w:b/>
                      <w:color w:val="auto"/>
                      <w:lang w:val="en-US" w:eastAsia="zh-CN"/>
                    </w:rPr>
                    <w:t>相关</w:t>
                  </w:r>
                  <w:r>
                    <w:rPr>
                      <w:b/>
                      <w:color w:val="auto"/>
                    </w:rPr>
                    <w:t>要求</w:t>
                  </w:r>
                </w:p>
              </w:tc>
              <w:tc>
                <w:tcPr>
                  <w:tcW w:w="1374" w:type="pct"/>
                  <w:tcBorders>
                    <w:top w:val="single" w:color="auto" w:sz="12" w:space="0"/>
                    <w:bottom w:val="single" w:color="auto" w:sz="4" w:space="0"/>
                  </w:tcBorders>
                  <w:vAlign w:val="center"/>
                </w:tcPr>
                <w:p>
                  <w:pPr>
                    <w:jc w:val="center"/>
                    <w:rPr>
                      <w:b/>
                      <w:color w:val="auto"/>
                    </w:rPr>
                  </w:pPr>
                  <w:r>
                    <w:rPr>
                      <w:b/>
                      <w:color w:val="auto"/>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07" w:hRule="atLeast"/>
              </w:trPr>
              <w:tc>
                <w:tcPr>
                  <w:tcW w:w="1592" w:type="dxa"/>
                  <w:tcBorders>
                    <w:top w:val="single" w:color="auto" w:sz="4" w:space="0"/>
                  </w:tcBorders>
                  <w:vAlign w:val="center"/>
                </w:tcPr>
                <w:p>
                  <w:pPr>
                    <w:jc w:val="center"/>
                    <w:rPr>
                      <w:rFonts w:hint="eastAsia"/>
                      <w:b/>
                      <w:color w:val="auto"/>
                      <w:lang w:val="en-US" w:eastAsia="zh-CN"/>
                    </w:rPr>
                  </w:pPr>
                  <w:r>
                    <w:rPr>
                      <w:color w:val="auto"/>
                      <w:kern w:val="0"/>
                      <w:szCs w:val="21"/>
                    </w:rPr>
                    <w:t>常政发〔2020〕29号</w:t>
                  </w:r>
                </w:p>
              </w:tc>
              <w:tc>
                <w:tcPr>
                  <w:tcW w:w="4303" w:type="dxa"/>
                  <w:tcBorders>
                    <w:top w:val="single" w:color="auto" w:sz="4" w:space="0"/>
                  </w:tcBorders>
                  <w:vAlign w:val="center"/>
                </w:tcPr>
                <w:p>
                  <w:pPr>
                    <w:ind w:firstLine="420" w:firstLineChars="200"/>
                    <w:rPr>
                      <w:rFonts w:hint="eastAsia"/>
                      <w:b/>
                      <w:color w:val="auto"/>
                      <w:lang w:val="en-US" w:eastAsia="zh-CN"/>
                    </w:rPr>
                  </w:pPr>
                  <w:r>
                    <w:rPr>
                      <w:color w:val="auto"/>
                      <w:kern w:val="0"/>
                      <w:szCs w:val="21"/>
                    </w:rPr>
                    <w:t>实施天然气锅炉低氮改造。2020年底前全面完成天然气锅炉低氮改造或更新，氮氧化物排放浓度不高于50mg/m</w:t>
                  </w:r>
                  <w:r>
                    <w:rPr>
                      <w:color w:val="auto"/>
                      <w:kern w:val="0"/>
                      <w:szCs w:val="21"/>
                      <w:vertAlign w:val="superscript"/>
                    </w:rPr>
                    <w:t>3</w:t>
                  </w:r>
                  <w:r>
                    <w:rPr>
                      <w:color w:val="auto"/>
                      <w:kern w:val="0"/>
                      <w:szCs w:val="21"/>
                    </w:rPr>
                    <w:t>。</w:t>
                  </w:r>
                </w:p>
              </w:tc>
              <w:tc>
                <w:tcPr>
                  <w:tcW w:w="2235" w:type="dxa"/>
                  <w:tcBorders>
                    <w:top w:val="single" w:color="auto" w:sz="4" w:space="0"/>
                  </w:tcBorders>
                  <w:vAlign w:val="center"/>
                </w:tcPr>
                <w:p>
                  <w:pPr>
                    <w:jc w:val="center"/>
                    <w:rPr>
                      <w:rFonts w:hint="eastAsia" w:eastAsia="宋体"/>
                      <w:b/>
                      <w:color w:val="auto"/>
                      <w:lang w:val="en-US" w:eastAsia="zh-CN"/>
                    </w:rPr>
                  </w:pPr>
                  <w:r>
                    <w:rPr>
                      <w:rFonts w:hint="eastAsia"/>
                      <w:color w:val="auto"/>
                      <w:lang w:val="en-US" w:eastAsia="zh-CN"/>
                    </w:rPr>
                    <w:t>本项目氮氧化物排放执行</w:t>
                  </w:r>
                  <w:r>
                    <w:rPr>
                      <w:color w:val="auto"/>
                      <w:kern w:val="0"/>
                      <w:szCs w:val="21"/>
                    </w:rPr>
                    <w:t>常政发〔2020〕29号</w:t>
                  </w:r>
                  <w:r>
                    <w:rPr>
                      <w:rFonts w:hint="eastAsia"/>
                      <w:color w:val="auto"/>
                      <w:kern w:val="0"/>
                      <w:szCs w:val="21"/>
                      <w:lang w:val="en-US" w:eastAsia="zh-CN"/>
                    </w:rPr>
                    <w:t>文件标准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979" w:type="pct"/>
                  <w:tcBorders>
                    <w:bottom w:val="single" w:color="auto" w:sz="12" w:space="0"/>
                  </w:tcBorders>
                  <w:vAlign w:val="center"/>
                </w:tcPr>
                <w:p>
                  <w:pPr>
                    <w:jc w:val="center"/>
                    <w:rPr>
                      <w:color w:val="auto"/>
                      <w:kern w:val="0"/>
                      <w:szCs w:val="21"/>
                    </w:rPr>
                  </w:pPr>
                  <w:r>
                    <w:rPr>
                      <w:color w:val="auto"/>
                      <w:kern w:val="0"/>
                      <w:szCs w:val="21"/>
                    </w:rPr>
                    <w:t>常政发〔2021〕21号</w:t>
                  </w:r>
                </w:p>
              </w:tc>
              <w:tc>
                <w:tcPr>
                  <w:tcW w:w="2646" w:type="pct"/>
                  <w:tcBorders>
                    <w:bottom w:val="single" w:color="auto" w:sz="12" w:space="0"/>
                  </w:tcBorders>
                  <w:vAlign w:val="center"/>
                </w:tcPr>
                <w:p>
                  <w:pPr>
                    <w:ind w:firstLine="420" w:firstLineChars="200"/>
                    <w:jc w:val="left"/>
                    <w:rPr>
                      <w:color w:val="auto"/>
                      <w:kern w:val="0"/>
                      <w:szCs w:val="21"/>
                    </w:rPr>
                  </w:pPr>
                  <w:r>
                    <w:rPr>
                      <w:rFonts w:hint="default"/>
                      <w:color w:val="auto"/>
                      <w:kern w:val="0"/>
                      <w:szCs w:val="21"/>
                    </w:rPr>
                    <w:t>推进燃煤、燃气、生物质锅炉和工业炉窑的超低排放改造工作。</w:t>
                  </w:r>
                </w:p>
                <w:p>
                  <w:pPr>
                    <w:ind w:firstLine="420" w:firstLineChars="200"/>
                    <w:jc w:val="left"/>
                    <w:rPr>
                      <w:rFonts w:hint="default"/>
                      <w:color w:val="auto"/>
                      <w:kern w:val="0"/>
                      <w:szCs w:val="21"/>
                    </w:rPr>
                  </w:pPr>
                  <w:r>
                    <w:rPr>
                      <w:rFonts w:hint="default"/>
                      <w:color w:val="auto"/>
                      <w:kern w:val="0"/>
                      <w:szCs w:val="21"/>
                    </w:rPr>
                    <w:t>8月底前，33台燃煤锅炉全部完成超低排放改造；750台燃气锅炉全部完成低氮改造或“回头看”；134台生物质锅炉中位于建成区的全部完成超低排放改造，建成区外20蒸吨/小时及以上的生物质锅炉完成50%以上的超低排放改造。</w:t>
                  </w:r>
                </w:p>
                <w:p>
                  <w:pPr>
                    <w:ind w:firstLine="420" w:firstLineChars="200"/>
                    <w:jc w:val="left"/>
                    <w:rPr>
                      <w:color w:val="auto"/>
                      <w:kern w:val="0"/>
                      <w:szCs w:val="21"/>
                    </w:rPr>
                  </w:pPr>
                  <w:r>
                    <w:rPr>
                      <w:rFonts w:hint="default"/>
                      <w:color w:val="auto"/>
                      <w:kern w:val="0"/>
                      <w:szCs w:val="21"/>
                    </w:rPr>
                    <w:t>6月底前，完成567台工业炉窑排查、整治、建档工作；8月底前，完成对尚未完成超低排放改造的重点涉工业炉窑企业深度治理或清洁能源替代工作。</w:t>
                  </w:r>
                </w:p>
              </w:tc>
              <w:tc>
                <w:tcPr>
                  <w:tcW w:w="1374" w:type="pct"/>
                  <w:tcBorders>
                    <w:bottom w:val="single" w:color="auto" w:sz="12" w:space="0"/>
                  </w:tcBorders>
                  <w:vAlign w:val="center"/>
                </w:tcPr>
                <w:p>
                  <w:pPr>
                    <w:jc w:val="center"/>
                    <w:rPr>
                      <w:rFonts w:hint="default" w:eastAsia="宋体"/>
                      <w:color w:val="auto"/>
                      <w:lang w:val="en-US" w:eastAsia="zh-CN"/>
                    </w:rPr>
                  </w:pPr>
                  <w:r>
                    <w:rPr>
                      <w:rFonts w:hint="eastAsia"/>
                      <w:color w:val="auto"/>
                      <w:lang w:val="en-US" w:eastAsia="zh-CN"/>
                    </w:rPr>
                    <w:t>企业天然气锅炉计划安装低氮燃烧器。本项目配套的低氮燃烧器将与主体工程、环保工程同步建设并投产</w:t>
                  </w:r>
                </w:p>
              </w:tc>
            </w:tr>
          </w:tbl>
          <w:p>
            <w:pPr>
              <w:autoSpaceDE w:val="0"/>
              <w:autoSpaceDN w:val="0"/>
              <w:adjustRightInd w:val="0"/>
              <w:snapToGrid w:val="0"/>
              <w:spacing w:line="360" w:lineRule="auto"/>
              <w:ind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综上，本项目与《常州市打好污染防治攻坚战工作方案》的要求相符。</w:t>
            </w:r>
          </w:p>
          <w:p>
            <w:pPr>
              <w:spacing w:line="360" w:lineRule="auto"/>
              <w:ind w:firstLine="48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sz w:val="24"/>
              </w:rPr>
              <w:t>（3）与《重点行业挥发性有机物综合治理方案》（环大气[2019]53号）相符性分析</w:t>
            </w:r>
            <w:r>
              <w:rPr>
                <w:rFonts w:hint="default" w:ascii="Times New Roman" w:hAnsi="Times New Roman" w:eastAsia="宋体" w:cs="Times New Roman"/>
                <w:color w:val="auto"/>
                <w:sz w:val="24"/>
                <w:lang w:eastAsia="zh-CN"/>
              </w:rPr>
              <w:t>。</w:t>
            </w:r>
          </w:p>
          <w:p>
            <w:pPr>
              <w:autoSpaceDE w:val="0"/>
              <w:autoSpaceDN w:val="0"/>
              <w:adjustRightInd w:val="0"/>
              <w:snapToGrid w:val="0"/>
              <w:ind w:firstLine="361" w:firstLineChars="150"/>
              <w:jc w:val="center"/>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表1-</w:t>
            </w:r>
            <w:r>
              <w:rPr>
                <w:rFonts w:hint="eastAsia" w:cs="Times New Roman"/>
                <w:b/>
                <w:bCs/>
                <w:color w:val="auto"/>
                <w:sz w:val="24"/>
                <w:lang w:val="en-US" w:eastAsia="zh-CN"/>
              </w:rPr>
              <w:t>10</w:t>
            </w:r>
            <w:r>
              <w:rPr>
                <w:rFonts w:hint="default" w:ascii="Times New Roman" w:hAnsi="Times New Roman" w:eastAsia="宋体" w:cs="Times New Roman"/>
                <w:b/>
                <w:bCs/>
                <w:color w:val="auto"/>
                <w:sz w:val="24"/>
              </w:rPr>
              <w:t xml:space="preserve"> 与环大气[2019]53号相符性分析</w:t>
            </w:r>
          </w:p>
          <w:tbl>
            <w:tblPr>
              <w:tblStyle w:val="23"/>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82"/>
              <w:gridCol w:w="4877"/>
              <w:gridCol w:w="1484"/>
              <w:gridCol w:w="89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39" w:type="pct"/>
                  <w:gridSpan w:val="2"/>
                  <w:vAlign w:val="center"/>
                </w:tcPr>
                <w:p>
                  <w:pPr>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控制思路和要求</w:t>
                  </w:r>
                </w:p>
              </w:tc>
              <w:tc>
                <w:tcPr>
                  <w:tcW w:w="912" w:type="pct"/>
                  <w:vAlign w:val="center"/>
                </w:tcPr>
                <w:p>
                  <w:pPr>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本项目情况</w:t>
                  </w:r>
                </w:p>
              </w:tc>
              <w:tc>
                <w:tcPr>
                  <w:tcW w:w="547" w:type="pct"/>
                  <w:vAlign w:val="center"/>
                </w:tcPr>
                <w:p>
                  <w:pPr>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42"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大力推进源头替代</w:t>
                  </w:r>
                </w:p>
              </w:tc>
              <w:tc>
                <w:tcPr>
                  <w:tcW w:w="2997" w:type="pct"/>
                  <w:vAlign w:val="center"/>
                </w:tcPr>
                <w:p>
                  <w:pPr>
                    <w:ind w:firstLine="420" w:firstLineChars="200"/>
                    <w:jc w:val="center"/>
                    <w:rPr>
                      <w:rFonts w:hint="default" w:ascii="Times New Roman" w:hAnsi="Times New Roman" w:eastAsia="宋体" w:cs="Times New Roman"/>
                      <w:color w:val="auto"/>
                    </w:rPr>
                  </w:pPr>
                  <w:r>
                    <w:rPr>
                      <w:rFonts w:hint="default" w:ascii="Times New Roman" w:hAnsi="Times New Roman" w:eastAsia="宋体" w:cs="Times New Roman"/>
                      <w:color w:val="auto"/>
                    </w:rPr>
                    <w:t>通过使用水性、粉末、高固体分、无溶剂、辐射固化等低VOCs含量的涂料，水性、辐射固化、植物基等低VOCs含量的油墨，水基、热熔、无溶剂、辐射固化、改性、生物降解等低VOCs含量的胶粘剂，以及低VOCs含量、低反应活性的清洗剂等，替代溶剂型涂料、油墨、胶粘剂、清洗剂等，从源头减少VOCs产生。在技术成熟的行业，推广使用低VOCs含量油墨和胶粘剂，重点区域到2020年年底前基本完成。</w:t>
                  </w:r>
                </w:p>
              </w:tc>
              <w:tc>
                <w:tcPr>
                  <w:tcW w:w="912" w:type="pct"/>
                  <w:vAlign w:val="center"/>
                </w:tcPr>
                <w:p>
                  <w:pPr>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本项目使用低VOCs涂料的电泳漆及</w:t>
                  </w:r>
                  <w:r>
                    <w:rPr>
                      <w:rFonts w:hint="default" w:ascii="Times New Roman" w:hAnsi="Times New Roman" w:eastAsia="宋体" w:cs="Times New Roman"/>
                      <w:color w:val="auto"/>
                    </w:rPr>
                    <w:t>低反应活性的清洗剂</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符合文件相关要求。</w:t>
                  </w:r>
                </w:p>
              </w:tc>
              <w:tc>
                <w:tcPr>
                  <w:tcW w:w="547"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94" w:hRule="atLeast"/>
              </w:trPr>
              <w:tc>
                <w:tcPr>
                  <w:tcW w:w="542" w:type="pct"/>
                  <w:vMerge w:val="restar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全面加强无组织排放控制</w:t>
                  </w:r>
                </w:p>
              </w:tc>
              <w:tc>
                <w:tcPr>
                  <w:tcW w:w="2997" w:type="pct"/>
                  <w:vAlign w:val="center"/>
                </w:tcPr>
                <w:p>
                  <w:pPr>
                    <w:ind w:firstLine="420" w:firstLineChars="200"/>
                    <w:jc w:val="center"/>
                    <w:rPr>
                      <w:rFonts w:hint="default" w:ascii="Times New Roman" w:hAnsi="Times New Roman" w:eastAsia="宋体" w:cs="Times New Roman"/>
                      <w:color w:val="auto"/>
                    </w:rPr>
                  </w:pPr>
                  <w:r>
                    <w:rPr>
                      <w:rFonts w:hint="default" w:ascii="Times New Roman" w:hAnsi="Times New Roman" w:eastAsia="宋体" w:cs="Times New Roman"/>
                      <w:color w:val="auto"/>
                    </w:rPr>
                    <w:t>重点对含VOCs物料（包括含VOCs原辅材料、含VOCs产品、含VOCs废料以及有机聚合物材料等）储存、转移和输送、设备与管线组件泄漏、敞开液面逸散以及工艺过程等五类排放源实施管控，通过采取设备与场所密闭、工艺改进、废气有效收集等措施，削减VOCs无组织排放。</w:t>
                  </w:r>
                </w:p>
              </w:tc>
              <w:tc>
                <w:tcPr>
                  <w:tcW w:w="912" w:type="pct"/>
                  <w:vMerge w:val="restar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本项目产生的有机废气经集气装置收集后，通过二级活性炭吸附装置处理</w:t>
                  </w:r>
                  <w:r>
                    <w:rPr>
                      <w:rFonts w:hint="default" w:ascii="Times New Roman" w:hAnsi="Times New Roman" w:eastAsia="宋体" w:cs="Times New Roman"/>
                      <w:color w:val="auto"/>
                      <w:lang w:val="en-US" w:eastAsia="zh-CN"/>
                    </w:rPr>
                    <w:t>后和天然气燃烧废气一起</w:t>
                  </w:r>
                  <w:r>
                    <w:rPr>
                      <w:rFonts w:hint="default" w:ascii="Times New Roman" w:hAnsi="Times New Roman" w:eastAsia="宋体" w:cs="Times New Roman"/>
                      <w:color w:val="auto"/>
                    </w:rPr>
                    <w:t>通过1根15米高排气筒排放，废气捕集率为90%。</w:t>
                  </w:r>
                </w:p>
              </w:tc>
              <w:tc>
                <w:tcPr>
                  <w:tcW w:w="547" w:type="pct"/>
                  <w:vMerge w:val="restar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42" w:type="pct"/>
                  <w:vMerge w:val="continue"/>
                  <w:vAlign w:val="center"/>
                </w:tcPr>
                <w:p>
                  <w:pPr>
                    <w:jc w:val="center"/>
                    <w:rPr>
                      <w:rFonts w:hint="default" w:ascii="Times New Roman" w:hAnsi="Times New Roman" w:eastAsia="宋体" w:cs="Times New Roman"/>
                      <w:color w:val="auto"/>
                    </w:rPr>
                  </w:pPr>
                </w:p>
              </w:tc>
              <w:tc>
                <w:tcPr>
                  <w:tcW w:w="2997" w:type="pct"/>
                  <w:vAlign w:val="center"/>
                </w:tcPr>
                <w:p>
                  <w:pPr>
                    <w:ind w:firstLine="420" w:firstLineChars="200"/>
                    <w:jc w:val="center"/>
                    <w:rPr>
                      <w:rFonts w:hint="default" w:ascii="Times New Roman" w:hAnsi="Times New Roman" w:eastAsia="宋体" w:cs="Times New Roman"/>
                      <w:color w:val="auto"/>
                    </w:rPr>
                  </w:pPr>
                  <w:r>
                    <w:rPr>
                      <w:rFonts w:hint="default" w:ascii="Times New Roman" w:hAnsi="Times New Roman" w:eastAsia="宋体" w:cs="Times New Roman"/>
                      <w:color w:val="auto"/>
                    </w:rPr>
                    <w:t>加强设备与场所密闭管理。含VOCs物料应储存于密闭容器、包装袋，高效密封储罐，封闭式储库、料仓等。含VOCs物料转移和输送，应采用密闭管道或密闭容器、罐车等。高VOCs含量废水（废水液面上方100毫米处VOCs检测浓度超过200ppm，其中，重点区域超过100ppm，以碳计）的集输、储存和处理过程，应加盖密闭。含VOCs物料生产和使用过程，应采取有效收集措施或在密闭空间中操作。</w:t>
                  </w:r>
                </w:p>
              </w:tc>
              <w:tc>
                <w:tcPr>
                  <w:tcW w:w="912" w:type="pct"/>
                  <w:vMerge w:val="continue"/>
                  <w:vAlign w:val="center"/>
                </w:tcPr>
                <w:p>
                  <w:pPr>
                    <w:ind w:firstLine="420" w:firstLineChars="200"/>
                    <w:jc w:val="center"/>
                    <w:rPr>
                      <w:rFonts w:hint="default" w:ascii="Times New Roman" w:hAnsi="Times New Roman" w:eastAsia="宋体" w:cs="Times New Roman"/>
                      <w:color w:val="auto"/>
                    </w:rPr>
                  </w:pPr>
                </w:p>
              </w:tc>
              <w:tc>
                <w:tcPr>
                  <w:tcW w:w="547" w:type="pct"/>
                  <w:vMerge w:val="continue"/>
                  <w:vAlign w:val="center"/>
                </w:tcPr>
                <w:p>
                  <w:pPr>
                    <w:jc w:val="center"/>
                    <w:rPr>
                      <w:rFonts w:hint="default" w:ascii="Times New Roman" w:hAnsi="Times New Roman" w:eastAsia="宋体" w:cs="Times New Roman"/>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42" w:type="pct"/>
                  <w:vMerge w:val="continue"/>
                  <w:vAlign w:val="center"/>
                </w:tcPr>
                <w:p>
                  <w:pPr>
                    <w:jc w:val="center"/>
                    <w:rPr>
                      <w:rFonts w:hint="default" w:ascii="Times New Roman" w:hAnsi="Times New Roman" w:eastAsia="宋体" w:cs="Times New Roman"/>
                      <w:color w:val="auto"/>
                    </w:rPr>
                  </w:pPr>
                </w:p>
              </w:tc>
              <w:tc>
                <w:tcPr>
                  <w:tcW w:w="2997" w:type="pct"/>
                  <w:vAlign w:val="center"/>
                </w:tcPr>
                <w:p>
                  <w:pPr>
                    <w:ind w:firstLine="420" w:firstLineChars="200"/>
                    <w:jc w:val="center"/>
                    <w:rPr>
                      <w:rFonts w:hint="default" w:ascii="Times New Roman" w:hAnsi="Times New Roman" w:eastAsia="宋体" w:cs="Times New Roman"/>
                      <w:color w:val="auto"/>
                    </w:rPr>
                  </w:pPr>
                  <w:r>
                    <w:rPr>
                      <w:rFonts w:hint="default" w:ascii="Times New Roman" w:hAnsi="Times New Roman" w:eastAsia="宋体" w:cs="Times New Roman"/>
                      <w:color w:val="auto"/>
                    </w:rPr>
                    <w:t>推进使用先进生产工艺。通过采用全密闭、连续化、自动化等生产技术，以及高效工艺与设备等，减少工艺过程无组织排放。</w:t>
                  </w:r>
                </w:p>
              </w:tc>
              <w:tc>
                <w:tcPr>
                  <w:tcW w:w="912" w:type="pct"/>
                  <w:vMerge w:val="continue"/>
                  <w:vAlign w:val="center"/>
                </w:tcPr>
                <w:p>
                  <w:pPr>
                    <w:ind w:firstLine="420" w:firstLineChars="200"/>
                    <w:jc w:val="center"/>
                    <w:rPr>
                      <w:rFonts w:hint="default" w:ascii="Times New Roman" w:hAnsi="Times New Roman" w:eastAsia="宋体" w:cs="Times New Roman"/>
                      <w:color w:val="auto"/>
                    </w:rPr>
                  </w:pPr>
                </w:p>
              </w:tc>
              <w:tc>
                <w:tcPr>
                  <w:tcW w:w="547" w:type="pct"/>
                  <w:vMerge w:val="continue"/>
                  <w:vAlign w:val="center"/>
                </w:tcPr>
                <w:p>
                  <w:pPr>
                    <w:jc w:val="center"/>
                    <w:rPr>
                      <w:rFonts w:hint="default" w:ascii="Times New Roman" w:hAnsi="Times New Roman" w:eastAsia="宋体" w:cs="Times New Roman"/>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42" w:type="pct"/>
                  <w:vMerge w:val="continue"/>
                  <w:vAlign w:val="center"/>
                </w:tcPr>
                <w:p>
                  <w:pPr>
                    <w:jc w:val="center"/>
                    <w:rPr>
                      <w:rFonts w:hint="default" w:ascii="Times New Roman" w:hAnsi="Times New Roman" w:eastAsia="宋体" w:cs="Times New Roman"/>
                      <w:color w:val="auto"/>
                    </w:rPr>
                  </w:pPr>
                </w:p>
              </w:tc>
              <w:tc>
                <w:tcPr>
                  <w:tcW w:w="2997" w:type="pct"/>
                  <w:vAlign w:val="center"/>
                </w:tcPr>
                <w:p>
                  <w:pPr>
                    <w:ind w:firstLine="420" w:firstLineChars="200"/>
                    <w:jc w:val="center"/>
                    <w:rPr>
                      <w:rFonts w:hint="default" w:ascii="Times New Roman" w:hAnsi="Times New Roman" w:eastAsia="宋体" w:cs="Times New Roman"/>
                      <w:color w:val="auto"/>
                    </w:rPr>
                  </w:pPr>
                  <w:r>
                    <w:rPr>
                      <w:rFonts w:hint="default" w:ascii="Times New Roman" w:hAnsi="Times New Roman" w:eastAsia="宋体" w:cs="Times New Roman"/>
                      <w:color w:val="auto"/>
                    </w:rPr>
                    <w:t>提高废气收集率。遵循“应收尽收、分质收集”的原则，科学设计废气收集系统，将无组织排放转变为有组织排放进行控制。采用全密闭集气罩或密闭空间的，除行业有特殊要求外，应保持微负压状态，并根据相关规范合理设置通风量。采用局部集气罩的，距集气罩开口面最远处的VOCs无组织排放位置，控制风速应不低于0.3米/秒，有行业要求的按相关规定执行。</w:t>
                  </w:r>
                </w:p>
              </w:tc>
              <w:tc>
                <w:tcPr>
                  <w:tcW w:w="912" w:type="pct"/>
                  <w:vMerge w:val="continue"/>
                  <w:vAlign w:val="center"/>
                </w:tcPr>
                <w:p>
                  <w:pPr>
                    <w:ind w:firstLine="420" w:firstLineChars="200"/>
                    <w:jc w:val="center"/>
                    <w:rPr>
                      <w:rFonts w:hint="default" w:ascii="Times New Roman" w:hAnsi="Times New Roman" w:eastAsia="宋体" w:cs="Times New Roman"/>
                      <w:color w:val="auto"/>
                    </w:rPr>
                  </w:pPr>
                </w:p>
              </w:tc>
              <w:tc>
                <w:tcPr>
                  <w:tcW w:w="547" w:type="pct"/>
                  <w:vMerge w:val="continue"/>
                  <w:vAlign w:val="center"/>
                </w:tcPr>
                <w:p>
                  <w:pPr>
                    <w:jc w:val="center"/>
                    <w:rPr>
                      <w:rFonts w:hint="default" w:ascii="Times New Roman" w:hAnsi="Times New Roman" w:eastAsia="宋体" w:cs="Times New Roman"/>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42"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推进建设适宜高效的治污设施</w:t>
                  </w:r>
                </w:p>
              </w:tc>
              <w:tc>
                <w:tcPr>
                  <w:tcW w:w="2997" w:type="pct"/>
                  <w:vAlign w:val="center"/>
                </w:tcPr>
                <w:p>
                  <w:pPr>
                    <w:ind w:firstLine="420" w:firstLineChars="200"/>
                    <w:jc w:val="center"/>
                    <w:rPr>
                      <w:rFonts w:hint="default" w:ascii="Times New Roman" w:hAnsi="Times New Roman" w:eastAsia="宋体" w:cs="Times New Roman"/>
                      <w:color w:val="auto"/>
                    </w:rPr>
                  </w:pPr>
                  <w:r>
                    <w:rPr>
                      <w:rFonts w:hint="default" w:ascii="Times New Roman" w:hAnsi="Times New Roman" w:eastAsia="宋体" w:cs="Times New Roman"/>
                      <w:color w:val="auto"/>
                    </w:rPr>
                    <w:t>企业新建治污设施或对现有治污设施实施改造，应依据排放废气的浓度、组分、风量，温度、湿度、压力，以及生产工况等，合理选择治理技术。鼓励企业采用多种技术的组合工艺，提高VOCs治理效率。低浓度、大风量废气，宜采用沸石转轮吸附、活性炭吸附、减风增浓等浓缩技术，提高VOCs浓度后净化处理；高浓度废气，优先进行溶剂回收，难以回收的，宜采用高温焚烧、催化燃烧技术。油气（溶剂）回收宜采用冷凝+吸附、吸附+吸收、膜分离+吸附等技术。低温等离子、光催化、光氧化技术主要适用于恶臭异味等治理；生物法主要适用于低浓度VOCs废气治理和恶臭异味治理。非水溶性的VOCs废气禁止采用水或水溶液喷淋吸收处理。采用一次性活性炭吸附技术的，应定期更换活性炭，废旧活性炭应再生或处理处置。</w:t>
                  </w:r>
                </w:p>
              </w:tc>
              <w:tc>
                <w:tcPr>
                  <w:tcW w:w="912"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本项目产生的有机废气采用二级活性炭吸附装置处理，产生的危废委托有资质单位处置。</w:t>
                  </w:r>
                </w:p>
              </w:tc>
              <w:tc>
                <w:tcPr>
                  <w:tcW w:w="547"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相符</w:t>
                  </w:r>
                </w:p>
              </w:tc>
            </w:tr>
          </w:tbl>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综上，本项目与《重点行业挥发性有机物综合治理方案》（环大气[2019]53号）的要求相符。</w:t>
            </w:r>
          </w:p>
          <w:p>
            <w:pPr>
              <w:numPr>
                <w:ilvl w:val="0"/>
                <w:numId w:val="1"/>
              </w:numPr>
              <w:autoSpaceDE w:val="0"/>
              <w:autoSpaceDN w:val="0"/>
              <w:snapToGrid w:val="0"/>
              <w:spacing w:line="360" w:lineRule="auto"/>
              <w:ind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与关于印发《2020年挥发性有机物治理攻坚方案》的通知（环大气〔2020〕33号）相符性分析</w:t>
            </w:r>
          </w:p>
          <w:p>
            <w:pPr>
              <w:autoSpaceDE w:val="0"/>
              <w:autoSpaceDN w:val="0"/>
              <w:adjustRightInd w:val="0"/>
              <w:snapToGrid w:val="0"/>
              <w:ind w:firstLine="482" w:firstLineChars="200"/>
              <w:jc w:val="center"/>
              <w:rPr>
                <w:rFonts w:hint="default" w:ascii="Times New Roman" w:hAnsi="Times New Roman" w:eastAsia="宋体" w:cs="Times New Roman"/>
                <w:color w:val="auto"/>
                <w:sz w:val="24"/>
              </w:rPr>
            </w:pPr>
            <w:r>
              <w:rPr>
                <w:rFonts w:hint="default" w:ascii="Times New Roman" w:hAnsi="Times New Roman" w:eastAsia="宋体" w:cs="Times New Roman"/>
                <w:b/>
                <w:bCs/>
                <w:color w:val="auto"/>
                <w:sz w:val="24"/>
              </w:rPr>
              <w:t>表1-</w:t>
            </w:r>
            <w:r>
              <w:rPr>
                <w:rFonts w:hint="eastAsia" w:ascii="Times New Roman" w:hAnsi="Times New Roman" w:eastAsia="宋体" w:cs="Times New Roman"/>
                <w:b/>
                <w:bCs/>
                <w:color w:val="auto"/>
                <w:sz w:val="24"/>
                <w:lang w:val="en-US" w:eastAsia="zh-CN"/>
              </w:rPr>
              <w:t>1</w:t>
            </w:r>
            <w:r>
              <w:rPr>
                <w:rFonts w:hint="eastAsia" w:cs="Times New Roman"/>
                <w:b/>
                <w:bCs/>
                <w:color w:val="auto"/>
                <w:sz w:val="24"/>
                <w:lang w:val="en-US" w:eastAsia="zh-CN"/>
              </w:rPr>
              <w:t>1</w:t>
            </w:r>
            <w:r>
              <w:rPr>
                <w:rFonts w:hint="default" w:ascii="Times New Roman" w:hAnsi="Times New Roman" w:eastAsia="宋体" w:cs="Times New Roman"/>
                <w:b/>
                <w:bCs/>
                <w:color w:val="auto"/>
                <w:sz w:val="24"/>
              </w:rPr>
              <w:t xml:space="preserve"> 与环大气[2020]33号相符性分析</w:t>
            </w:r>
          </w:p>
          <w:tbl>
            <w:tblPr>
              <w:tblStyle w:val="23"/>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480"/>
              <w:gridCol w:w="165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05" w:hRule="atLeast"/>
              </w:trPr>
              <w:tc>
                <w:tcPr>
                  <w:tcW w:w="3983" w:type="pct"/>
                  <w:vAlign w:val="center"/>
                </w:tcPr>
                <w:p>
                  <w:pPr>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要求</w:t>
                  </w:r>
                </w:p>
              </w:tc>
              <w:tc>
                <w:tcPr>
                  <w:tcW w:w="1016" w:type="pct"/>
                  <w:vAlign w:val="center"/>
                </w:tcPr>
                <w:p>
                  <w:pPr>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30" w:hRule="atLeast"/>
              </w:trPr>
              <w:tc>
                <w:tcPr>
                  <w:tcW w:w="3983" w:type="pct"/>
                  <w:vAlign w:val="center"/>
                </w:tcPr>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（三）聚焦治污设施“三率”，提升综合治理效率</w:t>
                  </w:r>
                </w:p>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组织企业对现有VOCs废气收集率、治理设施同步运行率和去除率开展自查，重点关注单一采用光氧化、光催化、低温等离子、一次性活性炭吸附、喷淋吸收等工艺的治理设施，7月15日前完成。对达不到要求的VOCs收集、治理设施进行更换或升级改造，确保实现达标排放。除恶臭异味治理外，一般不采用低温等离子、光催化、光氧化等技术。行业排放标准中规定特别排放限值和控制要求的，应按相关规定执行；未制定行业标准的应执行大气污染物综合排放标准和挥发性有机物无组织排放控制标准；已制定更严格地方排放标准的，按地方标准执行。</w:t>
                  </w:r>
                </w:p>
              </w:tc>
              <w:tc>
                <w:tcPr>
                  <w:tcW w:w="1016" w:type="pct"/>
                  <w:vAlign w:val="center"/>
                </w:tcPr>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本项目生产过程中产生有机废气，根据有机废气种类及性质采取二级活性炭吸附装置进行处理，处理后15m高排气筒排放，与上述内容相符。</w:t>
                  </w:r>
                </w:p>
              </w:tc>
            </w:tr>
          </w:tbl>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综上，本项目与《2020年挥发性有机物治理攻坚方案》的通知（环大气〔2020〕33号）的要求相符。</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（5）与《江苏省重点行业挥发性有机物污染控制指南》（苏环办〔2014〕128号）的相符性分析</w:t>
            </w:r>
          </w:p>
          <w:p>
            <w:pPr>
              <w:pStyle w:val="2"/>
              <w:spacing w:after="0"/>
              <w:ind w:left="0" w:leftChars="0" w:right="0" w:rightChars="0"/>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表1-</w:t>
            </w:r>
            <w:r>
              <w:rPr>
                <w:rFonts w:hint="default" w:ascii="Times New Roman" w:hAnsi="Times New Roman" w:eastAsia="宋体" w:cs="Times New Roman"/>
                <w:b/>
                <w:bCs/>
                <w:color w:val="auto"/>
                <w:sz w:val="24"/>
                <w:szCs w:val="24"/>
                <w:lang w:val="en-US" w:eastAsia="zh-CN"/>
              </w:rPr>
              <w:t>1</w:t>
            </w:r>
            <w:r>
              <w:rPr>
                <w:rFonts w:hint="eastAsia" w:ascii="Times New Roman" w:hAnsi="Times New Roman" w:cs="Times New Roman"/>
                <w:b/>
                <w:bCs/>
                <w:color w:val="auto"/>
                <w:sz w:val="24"/>
                <w:szCs w:val="24"/>
                <w:lang w:val="en-US" w:eastAsia="zh-CN"/>
              </w:rPr>
              <w:t>2</w:t>
            </w:r>
            <w:r>
              <w:rPr>
                <w:rFonts w:hint="default" w:ascii="Times New Roman" w:hAnsi="Times New Roman" w:eastAsia="宋体" w:cs="Times New Roman"/>
                <w:b/>
                <w:bCs/>
                <w:color w:val="auto"/>
                <w:sz w:val="24"/>
                <w:szCs w:val="24"/>
              </w:rPr>
              <w:t xml:space="preserve"> 与苏环办[2014]128号的相符性分析</w:t>
            </w:r>
          </w:p>
          <w:tbl>
            <w:tblPr>
              <w:tblStyle w:val="23"/>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090"/>
              <w:gridCol w:w="304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0" w:hRule="atLeast"/>
              </w:trPr>
              <w:tc>
                <w:tcPr>
                  <w:tcW w:w="3129" w:type="pct"/>
                  <w:vAlign w:val="center"/>
                </w:tcPr>
                <w:p>
                  <w:pPr>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总体要求</w:t>
                  </w:r>
                </w:p>
              </w:tc>
              <w:tc>
                <w:tcPr>
                  <w:tcW w:w="1871" w:type="pct"/>
                  <w:vAlign w:val="center"/>
                </w:tcPr>
                <w:p>
                  <w:pPr>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29" w:type="pct"/>
                  <w:vAlign w:val="center"/>
                </w:tcPr>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所有产生有机废气污染的企业，应优先采用环保型原辅料、生产工艺和装备，对相应生产单元或设施进行密闭，从源头控制VOCs的产生，减少废气污染物排放。</w:t>
                  </w:r>
                </w:p>
              </w:tc>
              <w:tc>
                <w:tcPr>
                  <w:tcW w:w="1871" w:type="pct"/>
                  <w:vAlign w:val="center"/>
                </w:tcPr>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本项目原辅料均为环保型物料。废气产生单元或设施均密闭，符合要求。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29" w:type="pct"/>
                  <w:vAlign w:val="center"/>
                </w:tcPr>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鼓励对排放的VOCs进行回收利用，并优先在生产系统内回用。对浓度、性状差异较大的废气应分类收集，并采用适宜的方式进行有效处理，确保VOCs总去除率满足管理要求，其中有机化工、医药化工、橡胶和塑料制品（有溶剂浸胶工艺）、溶剂型涂料表面涂装、包装印刷业的VOCs总收集、净化处理率均不低于90%，其他行业原则上不低于75%。</w:t>
                  </w:r>
                </w:p>
              </w:tc>
              <w:tc>
                <w:tcPr>
                  <w:tcW w:w="1871" w:type="pct"/>
                  <w:vAlign w:val="center"/>
                </w:tcPr>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本项目从事</w:t>
                  </w:r>
                  <w:r>
                    <w:rPr>
                      <w:rFonts w:hint="default" w:ascii="Times New Roman" w:hAnsi="Times New Roman" w:eastAsia="宋体" w:cs="Times New Roman"/>
                      <w:color w:val="auto"/>
                      <w:szCs w:val="21"/>
                      <w:lang w:eastAsia="zh-CN"/>
                    </w:rPr>
                    <w:t>金属表面处理及热处理加工</w:t>
                  </w:r>
                  <w:r>
                    <w:rPr>
                      <w:rFonts w:hint="default" w:ascii="Times New Roman" w:hAnsi="Times New Roman" w:eastAsia="宋体" w:cs="Times New Roman"/>
                      <w:color w:val="auto"/>
                    </w:rPr>
                    <w:t>，产生的VOCs经二级活性炭吸附处理后高空排放，有机废气处理装置收集效率90%、净化效率</w:t>
                  </w:r>
                  <w:r>
                    <w:rPr>
                      <w:rFonts w:hint="default" w:ascii="Times New Roman" w:hAnsi="Times New Roman" w:eastAsia="宋体" w:cs="Times New Roman"/>
                      <w:color w:val="auto"/>
                      <w:lang w:val="en-US" w:eastAsia="zh-CN"/>
                    </w:rPr>
                    <w:t>90</w:t>
                  </w:r>
                  <w:r>
                    <w:rPr>
                      <w:rFonts w:hint="default" w:ascii="Times New Roman" w:hAnsi="Times New Roman" w:eastAsia="宋体" w:cs="Times New Roman"/>
                      <w:color w:val="auto"/>
                    </w:rPr>
                    <w:t>%。</w:t>
                  </w:r>
                </w:p>
              </w:tc>
            </w:tr>
          </w:tbl>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综上，本项目建设与《江苏省重点行业挥发性有机物污染控制指南》（苏环办〔2014〕128号）相符。</w:t>
            </w:r>
          </w:p>
          <w:p>
            <w:pPr>
              <w:adjustRightInd w:val="0"/>
              <w:snapToGrid w:val="0"/>
              <w:spacing w:line="360" w:lineRule="auto"/>
              <w:ind w:firstLine="480" w:firstLineChars="200"/>
              <w:rPr>
                <w:rFonts w:hint="default" w:ascii="Times New Roman" w:hAnsi="Times New Roman" w:eastAsia="宋体" w:cs="Times New Roman"/>
                <w:b/>
                <w:bCs/>
                <w:color w:val="auto"/>
                <w:sz w:val="24"/>
              </w:rPr>
            </w:pP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val="en-US" w:eastAsia="zh-CN"/>
              </w:rPr>
              <w:t>6</w:t>
            </w:r>
            <w:r>
              <w:rPr>
                <w:rFonts w:hint="default" w:ascii="Times New Roman" w:hAnsi="Times New Roman" w:eastAsia="宋体" w:cs="Times New Roman"/>
                <w:color w:val="auto"/>
                <w:sz w:val="24"/>
              </w:rPr>
              <w:t>）与</w:t>
            </w:r>
            <w:r>
              <w:rPr>
                <w:rFonts w:hint="default" w:ascii="Times New Roman" w:hAnsi="Times New Roman" w:eastAsia="宋体" w:cs="Times New Roman"/>
                <w:b w:val="0"/>
                <w:bCs w:val="0"/>
                <w:color w:val="auto"/>
                <w:sz w:val="24"/>
              </w:rPr>
              <w:t>《低挥发性有机化合物含量涂料产品技术要求》（GB T 38597-2020）相符性分析</w:t>
            </w:r>
          </w:p>
          <w:p>
            <w:pPr>
              <w:pStyle w:val="2"/>
              <w:spacing w:after="0"/>
              <w:ind w:left="0" w:leftChars="0" w:right="0" w:rightChars="0"/>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表1-1</w:t>
            </w:r>
            <w:r>
              <w:rPr>
                <w:rFonts w:hint="eastAsia" w:ascii="Times New Roman" w:hAnsi="Times New Roman" w:cs="Times New Roman"/>
                <w:b/>
                <w:bCs/>
                <w:color w:val="auto"/>
                <w:sz w:val="24"/>
                <w:szCs w:val="24"/>
                <w:lang w:val="en-US" w:eastAsia="zh-CN"/>
              </w:rPr>
              <w:t>3</w:t>
            </w:r>
            <w:r>
              <w:rPr>
                <w:rFonts w:hint="default" w:ascii="Times New Roman" w:hAnsi="Times New Roman" w:eastAsia="宋体" w:cs="Times New Roman"/>
                <w:b/>
                <w:bCs/>
                <w:color w:val="auto"/>
                <w:sz w:val="24"/>
                <w:szCs w:val="24"/>
              </w:rPr>
              <w:t xml:space="preserve">  与</w:t>
            </w:r>
            <w:r>
              <w:rPr>
                <w:rFonts w:hint="default" w:ascii="Times New Roman" w:hAnsi="Times New Roman" w:eastAsia="宋体" w:cs="Times New Roman"/>
                <w:b/>
                <w:bCs/>
                <w:color w:val="auto"/>
                <w:sz w:val="24"/>
              </w:rPr>
              <w:t>《低挥发性有机化合物含量涂料产品技术要求》</w:t>
            </w:r>
            <w:r>
              <w:rPr>
                <w:rFonts w:hint="default" w:ascii="Times New Roman" w:hAnsi="Times New Roman" w:eastAsia="宋体" w:cs="Times New Roman"/>
                <w:b/>
                <w:bCs/>
                <w:color w:val="auto"/>
                <w:sz w:val="24"/>
                <w:szCs w:val="24"/>
              </w:rPr>
              <w:t>的相符性分析</w:t>
            </w:r>
          </w:p>
          <w:tbl>
            <w:tblPr>
              <w:tblStyle w:val="23"/>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172"/>
              <w:gridCol w:w="396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65" w:type="pct"/>
                  <w:vAlign w:val="center"/>
                </w:tcPr>
                <w:p>
                  <w:pPr>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要求</w:t>
                  </w:r>
                </w:p>
              </w:tc>
              <w:tc>
                <w:tcPr>
                  <w:tcW w:w="2435" w:type="pct"/>
                  <w:vAlign w:val="center"/>
                </w:tcPr>
                <w:p>
                  <w:pPr>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65" w:type="pct"/>
                  <w:vAlign w:val="center"/>
                </w:tcPr>
                <w:p>
                  <w:pPr>
                    <w:ind w:firstLine="420" w:firstLineChars="20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工程机械和农业机械水性涂料（含机械零部件水性涂料）中VOCs含量应≤250g/L</w:t>
                  </w:r>
                </w:p>
              </w:tc>
              <w:tc>
                <w:tcPr>
                  <w:tcW w:w="2435" w:type="pct"/>
                  <w:vAlign w:val="center"/>
                </w:tcPr>
                <w:p>
                  <w:pPr>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本项目</w:t>
                  </w:r>
                  <w:r>
                    <w:rPr>
                      <w:rFonts w:hint="default" w:ascii="Times New Roman" w:hAnsi="Times New Roman" w:eastAsia="宋体" w:cs="Times New Roman"/>
                      <w:color w:val="auto"/>
                      <w:lang w:val="en-US" w:eastAsia="zh-CN"/>
                    </w:rPr>
                    <w:t>使用的电泳漆是由色浆、乳液、调整剂按一定比例配比而成的水性涂料。经计算，配比后的水性涂料密度为1.18g/cm</w:t>
                  </w:r>
                  <w:r>
                    <w:rPr>
                      <w:rFonts w:hint="default" w:ascii="Times New Roman" w:hAnsi="Times New Roman" w:eastAsia="宋体" w:cs="Times New Roman"/>
                      <w:color w:val="auto"/>
                      <w:vertAlign w:val="superscript"/>
                      <w:lang w:val="en-US" w:eastAsia="zh-CN"/>
                    </w:rPr>
                    <w:t>3</w:t>
                  </w:r>
                  <w:r>
                    <w:rPr>
                      <w:rFonts w:hint="default" w:ascii="Times New Roman" w:hAnsi="Times New Roman" w:eastAsia="宋体" w:cs="Times New Roman"/>
                      <w:color w:val="auto"/>
                    </w:rPr>
                    <w:t>，</w:t>
                  </w:r>
                  <w:r>
                    <w:rPr>
                      <w:rFonts w:hint="default" w:ascii="Times New Roman" w:hAnsi="Times New Roman" w:eastAsia="宋体" w:cs="Times New Roman"/>
                      <w:color w:val="auto"/>
                      <w:lang w:val="en-US" w:eastAsia="zh-CN"/>
                    </w:rPr>
                    <w:t>VOCs最大含量为10.18%</w:t>
                  </w:r>
                  <w:r>
                    <w:rPr>
                      <w:rFonts w:hint="default" w:ascii="Times New Roman" w:hAnsi="Times New Roman" w:eastAsia="宋体" w:cs="Times New Roman"/>
                      <w:color w:val="auto"/>
                    </w:rPr>
                    <w:t>，则</w:t>
                  </w:r>
                  <w:r>
                    <w:rPr>
                      <w:rFonts w:hint="default" w:ascii="Times New Roman" w:hAnsi="Times New Roman" w:eastAsia="宋体" w:cs="Times New Roman"/>
                      <w:color w:val="auto"/>
                      <w:lang w:val="en-US" w:eastAsia="zh-CN"/>
                    </w:rPr>
                    <w:t>本项目水性溶剂</w:t>
                  </w:r>
                  <w:r>
                    <w:rPr>
                      <w:rFonts w:hint="default" w:ascii="Times New Roman" w:hAnsi="Times New Roman" w:eastAsia="宋体" w:cs="Times New Roman"/>
                      <w:color w:val="auto"/>
                    </w:rPr>
                    <w:t>中VOC</w:t>
                  </w:r>
                  <w:r>
                    <w:rPr>
                      <w:rFonts w:hint="default" w:ascii="Times New Roman" w:hAnsi="Times New Roman" w:eastAsia="宋体" w:cs="Times New Roman"/>
                      <w:color w:val="auto"/>
                      <w:lang w:val="en-US" w:eastAsia="zh-CN"/>
                    </w:rPr>
                    <w:t>最大</w:t>
                  </w:r>
                  <w:r>
                    <w:rPr>
                      <w:rFonts w:hint="default" w:ascii="Times New Roman" w:hAnsi="Times New Roman" w:eastAsia="宋体" w:cs="Times New Roman"/>
                      <w:color w:val="auto"/>
                    </w:rPr>
                    <w:t>含量为</w:t>
                  </w:r>
                  <w:r>
                    <w:rPr>
                      <w:rFonts w:hint="default" w:ascii="Times New Roman" w:hAnsi="Times New Roman" w:eastAsia="宋体" w:cs="Times New Roman"/>
                      <w:color w:val="auto"/>
                      <w:lang w:val="en-US" w:eastAsia="zh-CN"/>
                    </w:rPr>
                    <w:t>120</w:t>
                  </w:r>
                  <w:r>
                    <w:rPr>
                      <w:rFonts w:hint="default" w:ascii="Times New Roman" w:hAnsi="Times New Roman" w:eastAsia="宋体" w:cs="Times New Roman"/>
                      <w:color w:val="auto"/>
                    </w:rPr>
                    <w:t>g/L，符合标准</w:t>
                  </w:r>
                </w:p>
              </w:tc>
            </w:tr>
          </w:tbl>
          <w:p>
            <w:pPr>
              <w:adjustRightInd w:val="0"/>
              <w:snapToGrid w:val="0"/>
              <w:spacing w:line="360" w:lineRule="auto"/>
              <w:ind w:firstLine="480" w:firstLineChars="200"/>
              <w:rPr>
                <w:rFonts w:hint="default" w:ascii="Times New Roman" w:hAnsi="Times New Roman" w:eastAsia="宋体" w:cs="Times New Roman"/>
                <w:b/>
                <w:bCs/>
                <w:color w:val="auto"/>
                <w:sz w:val="24"/>
              </w:rPr>
            </w:pPr>
            <w:r>
              <w:rPr>
                <w:rFonts w:hint="default" w:ascii="Times New Roman" w:hAnsi="Times New Roman" w:eastAsia="宋体" w:cs="Times New Roman"/>
                <w:color w:val="auto"/>
                <w:sz w:val="24"/>
              </w:rPr>
              <w:t>综上，</w:t>
            </w:r>
            <w:r>
              <w:rPr>
                <w:rFonts w:hint="default" w:ascii="Times New Roman" w:hAnsi="Times New Roman" w:eastAsia="宋体" w:cs="Times New Roman"/>
                <w:b w:val="0"/>
                <w:bCs w:val="0"/>
                <w:color w:val="auto"/>
                <w:sz w:val="24"/>
              </w:rPr>
              <w:t>本项目与《低挥发性有机化合物含量涂料产品技术要求》（GB T 38597-2020）的要求相符</w:t>
            </w:r>
            <w:r>
              <w:rPr>
                <w:rFonts w:hint="default" w:ascii="Times New Roman" w:hAnsi="Times New Roman" w:eastAsia="宋体" w:cs="Times New Roman"/>
                <w:color w:val="auto"/>
                <w:sz w:val="24"/>
              </w:rPr>
              <w:t>。</w:t>
            </w:r>
          </w:p>
          <w:p>
            <w:pPr>
              <w:autoSpaceDE w:val="0"/>
              <w:autoSpaceDN w:val="0"/>
              <w:adjustRightInd w:val="0"/>
              <w:snapToGrid w:val="0"/>
              <w:spacing w:line="360" w:lineRule="auto"/>
              <w:ind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val="en-US" w:eastAsia="zh-CN"/>
              </w:rPr>
              <w:t>7</w:t>
            </w:r>
            <w:r>
              <w:rPr>
                <w:rFonts w:hint="default" w:ascii="Times New Roman" w:hAnsi="Times New Roman" w:eastAsia="宋体" w:cs="Times New Roman"/>
                <w:color w:val="auto"/>
                <w:sz w:val="24"/>
              </w:rPr>
              <w:t>）与《江苏省太湖水污染防治条例》（2018年本）相符性分析</w:t>
            </w:r>
          </w:p>
          <w:p>
            <w:pPr>
              <w:pStyle w:val="2"/>
              <w:spacing w:after="0"/>
              <w:ind w:left="0" w:leftChars="0" w:right="0" w:rightChars="0"/>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表1-</w:t>
            </w:r>
            <w:r>
              <w:rPr>
                <w:rFonts w:hint="default" w:ascii="Times New Roman" w:hAnsi="Times New Roman" w:eastAsia="宋体" w:cs="Times New Roman"/>
                <w:b/>
                <w:bCs/>
                <w:color w:val="auto"/>
                <w:sz w:val="24"/>
                <w:szCs w:val="24"/>
                <w:lang w:val="en-US" w:eastAsia="zh-CN"/>
              </w:rPr>
              <w:t>1</w:t>
            </w:r>
            <w:r>
              <w:rPr>
                <w:rFonts w:hint="eastAsia" w:ascii="Times New Roman" w:hAnsi="Times New Roman" w:cs="Times New Roman"/>
                <w:b/>
                <w:bCs/>
                <w:color w:val="auto"/>
                <w:sz w:val="24"/>
                <w:szCs w:val="24"/>
                <w:lang w:val="en-US" w:eastAsia="zh-CN"/>
              </w:rPr>
              <w:t>4</w:t>
            </w:r>
            <w:r>
              <w:rPr>
                <w:rFonts w:hint="default" w:ascii="Times New Roman" w:hAnsi="Times New Roman" w:eastAsia="宋体" w:cs="Times New Roman"/>
                <w:b/>
                <w:bCs/>
                <w:color w:val="auto"/>
                <w:sz w:val="24"/>
                <w:szCs w:val="24"/>
              </w:rPr>
              <w:t xml:space="preserve"> 与《江苏省太湖水污染防治条例》的相符性分析</w:t>
            </w:r>
          </w:p>
          <w:tbl>
            <w:tblPr>
              <w:tblStyle w:val="23"/>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397"/>
              <w:gridCol w:w="173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932" w:type="pct"/>
                  <w:vAlign w:val="center"/>
                </w:tcPr>
                <w:p>
                  <w:pPr>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要求</w:t>
                  </w:r>
                </w:p>
              </w:tc>
              <w:tc>
                <w:tcPr>
                  <w:tcW w:w="1067" w:type="pct"/>
                  <w:vAlign w:val="center"/>
                </w:tcPr>
                <w:p>
                  <w:pPr>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710" w:hRule="atLeast"/>
              </w:trPr>
              <w:tc>
                <w:tcPr>
                  <w:tcW w:w="3932" w:type="pct"/>
                  <w:vAlign w:val="center"/>
                </w:tcPr>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根据《江苏省太湖水污染防治条例》（2018年修订）：第四十三条：太湖流域一、二、三级保护区禁止下列行为：</w:t>
                  </w:r>
                </w:p>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（一）新建、改建、扩建化学制浆造纸、制革、酿造、染料、印染、电镀以及其他排放含磷、氮等污染物的企业和项目，城镇污水集中处理等环境基础设施项目和第四十六条规定的情形除外；</w:t>
                  </w:r>
                </w:p>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（二）销售、使用含磷洗涤用品；</w:t>
                  </w:r>
                </w:p>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（三）向水体排放或者倾倒油类、酸液、碱液、剧毒废渣废液、含放射性废渣废液、含病原体污水、工业废渣以及其他废弃物；</w:t>
                  </w:r>
                </w:p>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（四）在水体清洗装贮过油类或者有毒有害污染物的车辆、船舶和容器等；</w:t>
                  </w:r>
                </w:p>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（五）使用农药等有毒物毒杀水生生物；</w:t>
                  </w:r>
                </w:p>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（六）向水体直接排放人畜粪便、倾倒垃圾；</w:t>
                  </w:r>
                </w:p>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（七）围湖造地；</w:t>
                  </w:r>
                </w:p>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（八）违法开山采石，或者进行破坏林木、植被、水生生物的活动；</w:t>
                  </w:r>
                </w:p>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（九）法律、法规禁止的其他行为。</w:t>
                  </w:r>
                </w:p>
              </w:tc>
              <w:tc>
                <w:tcPr>
                  <w:tcW w:w="1067" w:type="pct"/>
                  <w:vAlign w:val="center"/>
                </w:tcPr>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本项目从事</w:t>
                  </w:r>
                  <w:r>
                    <w:rPr>
                      <w:rFonts w:hint="default" w:ascii="Times New Roman" w:hAnsi="Times New Roman" w:eastAsia="宋体" w:cs="Times New Roman"/>
                      <w:color w:val="auto"/>
                      <w:szCs w:val="21"/>
                      <w:lang w:eastAsia="zh-CN"/>
                    </w:rPr>
                    <w:t>金属表面处理及热处理加工</w:t>
                  </w:r>
                  <w:r>
                    <w:rPr>
                      <w:rFonts w:hint="default" w:ascii="Times New Roman" w:hAnsi="Times New Roman" w:eastAsia="宋体" w:cs="Times New Roman"/>
                      <w:color w:val="auto"/>
                    </w:rPr>
                    <w:t>，生产过程中无含磷、氮生产废水排放，不属于禁止类项目。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3932" w:type="pct"/>
                  <w:vAlign w:val="center"/>
                </w:tcPr>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第四十六条：太湖流域二、三级保护区内，在工业集聚区新建、改建、扩建排放含磷、氮等污染物的战略性新兴产业项目和改建印染项目，以及排放含磷、氮等污染物的现有企业在不增加产能的前提下实施提升环保标准的技术改造项目，应当符合国家产业政策和水环境综合治理要求，在实现国家和省减排目标的基础上，实施区域磷、氮等重点水污染物年排放总量减量替代。其中，战略性新兴产业新建、扩建项目新增的磷、氮等重点水污染物排放总量应当从本区域通过产业置换、淘汰、关闭等方式获得的指标中取得，且按照不低于该项目新增年排放总量的1.1倍实施减量替代；战略性新兴产业改建项目应当实现项目磷、氮等重点水污染物年排放总量减少，印染改建项目应当按照不低于该项目磷、氮等重点水污染物年排放总量指标的二倍实行减量替代；提升环保标准的技术改造项目的磷、氮等重点水污染物年排放总量减少幅度应当不低于该项目原年排放总量的百分之二十。前述减少的磷、氮等重点水污染物年排放总量指标不得用于其他项目。具体减量替代办法由省人民政府根据经济社会发展水平和区域水环境质量改善情况制定。</w:t>
                  </w:r>
                </w:p>
              </w:tc>
              <w:tc>
                <w:tcPr>
                  <w:tcW w:w="1067" w:type="pct"/>
                  <w:vAlign w:val="center"/>
                </w:tcPr>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szCs w:val="21"/>
                    </w:rPr>
                    <w:t>本项目位于</w:t>
                  </w:r>
                  <w:r>
                    <w:rPr>
                      <w:rFonts w:hint="default" w:ascii="Times New Roman" w:hAnsi="Times New Roman" w:eastAsia="宋体" w:cs="Times New Roman"/>
                      <w:color w:val="auto"/>
                      <w:lang w:eastAsia="zh-CN"/>
                    </w:rPr>
                    <w:t>江苏省常州市武进区前黄镇寨灵路19号</w:t>
                  </w:r>
                  <w:r>
                    <w:rPr>
                      <w:rFonts w:hint="default" w:ascii="Times New Roman" w:hAnsi="Times New Roman" w:eastAsia="宋体" w:cs="Times New Roman"/>
                      <w:color w:val="auto"/>
                      <w:szCs w:val="21"/>
                    </w:rPr>
                    <w:t>，属于太湖流域三级保护区，</w:t>
                  </w:r>
                  <w:r>
                    <w:rPr>
                      <w:rFonts w:hint="default" w:ascii="Times New Roman" w:hAnsi="Times New Roman" w:eastAsia="宋体" w:cs="Times New Roman"/>
                      <w:color w:val="auto"/>
                    </w:rPr>
                    <w:t>生产过程中无含磷、氮生产废水排放。</w:t>
                  </w:r>
                </w:p>
              </w:tc>
            </w:tr>
          </w:tbl>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综上，本项目与《江苏省太湖水污染防治条例》（2018年本）的要求相符。</w:t>
            </w:r>
          </w:p>
          <w:p>
            <w:pPr>
              <w:widowControl/>
              <w:adjustRightInd w:val="0"/>
              <w:snapToGrid w:val="0"/>
              <w:spacing w:line="360" w:lineRule="auto"/>
              <w:ind w:left="420" w:left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val="en-US" w:eastAsia="zh-CN"/>
              </w:rPr>
              <w:t>8</w:t>
            </w:r>
            <w:r>
              <w:rPr>
                <w:rFonts w:hint="default" w:ascii="Times New Roman" w:hAnsi="Times New Roman" w:eastAsia="宋体" w:cs="Times New Roman"/>
                <w:color w:val="auto"/>
                <w:sz w:val="24"/>
              </w:rPr>
              <w:t>）与《太湖流域管理条例》(国务院令第604号)相符性分析</w:t>
            </w:r>
          </w:p>
          <w:p>
            <w:pPr>
              <w:pStyle w:val="2"/>
              <w:spacing w:after="0"/>
              <w:ind w:left="0" w:leftChars="0" w:right="0" w:rightChars="0"/>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表1-1</w:t>
            </w:r>
            <w:r>
              <w:rPr>
                <w:rFonts w:hint="eastAsia" w:ascii="Times New Roman" w:hAnsi="Times New Roman" w:cs="Times New Roman"/>
                <w:b/>
                <w:bCs/>
                <w:color w:val="auto"/>
                <w:sz w:val="24"/>
                <w:szCs w:val="24"/>
                <w:lang w:val="en-US" w:eastAsia="zh-CN"/>
              </w:rPr>
              <w:t>5</w:t>
            </w:r>
            <w:r>
              <w:rPr>
                <w:rFonts w:hint="default" w:ascii="Times New Roman" w:hAnsi="Times New Roman" w:eastAsia="宋体" w:cs="Times New Roman"/>
                <w:b/>
                <w:bCs/>
                <w:color w:val="auto"/>
                <w:sz w:val="24"/>
                <w:szCs w:val="24"/>
              </w:rPr>
              <w:t xml:space="preserve"> 与《太湖流域管理条例》的相符性分析</w:t>
            </w:r>
          </w:p>
          <w:tbl>
            <w:tblPr>
              <w:tblStyle w:val="23"/>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602"/>
              <w:gridCol w:w="153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59" w:type="pct"/>
                  <w:vAlign w:val="center"/>
                </w:tcPr>
                <w:p>
                  <w:pPr>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要求</w:t>
                  </w:r>
                </w:p>
              </w:tc>
              <w:tc>
                <w:tcPr>
                  <w:tcW w:w="941" w:type="pct"/>
                  <w:vAlign w:val="center"/>
                </w:tcPr>
                <w:p>
                  <w:pPr>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59" w:type="pct"/>
                  <w:tcBorders>
                    <w:bottom w:val="single" w:color="auto" w:sz="2" w:space="0"/>
                  </w:tcBorders>
                  <w:vAlign w:val="center"/>
                </w:tcPr>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第二十八条：禁止在太湖流域设置不符合国家产业政策和水环境综合治理要求的造纸、制革、酒精、淀粉、冶金、酿造、印染、电镀等排放水污染物的生产项目”；</w:t>
                  </w:r>
                </w:p>
              </w:tc>
              <w:tc>
                <w:tcPr>
                  <w:tcW w:w="941" w:type="pct"/>
                  <w:tcBorders>
                    <w:bottom w:val="single" w:color="auto" w:sz="2" w:space="0"/>
                  </w:tcBorders>
                  <w:vAlign w:val="center"/>
                </w:tcPr>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本项目从事</w:t>
                  </w:r>
                  <w:r>
                    <w:rPr>
                      <w:rFonts w:hint="default" w:ascii="Times New Roman" w:hAnsi="Times New Roman" w:eastAsia="宋体" w:cs="Times New Roman"/>
                      <w:color w:val="auto"/>
                      <w:szCs w:val="21"/>
                      <w:lang w:eastAsia="zh-CN"/>
                    </w:rPr>
                    <w:t>金属表面处理及热处理加工</w:t>
                  </w:r>
                  <w:r>
                    <w:rPr>
                      <w:rFonts w:hint="default" w:ascii="Times New Roman" w:hAnsi="Times New Roman" w:eastAsia="宋体" w:cs="Times New Roman"/>
                      <w:color w:val="auto"/>
                    </w:rPr>
                    <w:t>，不属于禁止类项目。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4059" w:type="pct"/>
                  <w:tcBorders>
                    <w:top w:val="single" w:color="auto" w:sz="2" w:space="0"/>
                    <w:bottom w:val="single" w:color="auto" w:sz="2" w:space="0"/>
                  </w:tcBorders>
                  <w:vAlign w:val="center"/>
                </w:tcPr>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第二十九条：新孟河、望虞河以外的其他主要入太湖河道，自河口1万米上溯至5万米河道岸线内及其岸线两侧各1000米范围内，禁止下列行为：</w:t>
                  </w:r>
                </w:p>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（一）新建、扩建化工、医药生产项目；</w:t>
                  </w:r>
                </w:p>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（二）新建、扩建污水集中处理设施排污口以外的排污口；</w:t>
                  </w:r>
                </w:p>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（三）扩大水产养殖规模。</w:t>
                  </w:r>
                </w:p>
              </w:tc>
              <w:tc>
                <w:tcPr>
                  <w:tcW w:w="941" w:type="pct"/>
                  <w:tcBorders>
                    <w:top w:val="single" w:color="auto" w:sz="2" w:space="0"/>
                    <w:bottom w:val="single" w:color="auto" w:sz="2" w:space="0"/>
                  </w:tcBorders>
                  <w:vAlign w:val="center"/>
                </w:tcPr>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本项目周边不涉及入太湖河道。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29" w:hRule="atLeast"/>
              </w:trPr>
              <w:tc>
                <w:tcPr>
                  <w:tcW w:w="4059" w:type="pct"/>
                  <w:tcBorders>
                    <w:top w:val="single" w:color="auto" w:sz="2" w:space="0"/>
                  </w:tcBorders>
                  <w:vAlign w:val="center"/>
                </w:tcPr>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第三十条：太湖岸线内和岸线周边5000米范围内，淀山湖岸线内和岸线周边2000米范围内，太浦河、新孟河、望虞河岸线内和岸线两侧各1000米范围内，其他主要入太湖河道自河口上溯至1万米河道岸线内及其岸线两侧各1000米范围内，禁止下列行为：（一）设置剧毒物质、危险化学品的贮存、输送设施和废物回收场、垃圾场；（二）设置水上餐饮经营设施；（三）新建、扩建高尔夫球场；（四）新建、扩建畜禽养殖场；（五）新建、扩建向水体排放污染物的建设项目；（六）本条例第二十九条规定的行为。已经设置前款第一项、第二项规定设施的，当地县级人民政府应当责令拆除或者关闭”的项目。</w:t>
                  </w:r>
                </w:p>
              </w:tc>
              <w:tc>
                <w:tcPr>
                  <w:tcW w:w="941" w:type="pct"/>
                  <w:tcBorders>
                    <w:top w:val="single" w:color="auto" w:sz="2" w:space="0"/>
                  </w:tcBorders>
                  <w:vAlign w:val="center"/>
                </w:tcPr>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本项目不属于上述区域内。</w:t>
                  </w:r>
                </w:p>
              </w:tc>
            </w:tr>
          </w:tbl>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综上，本项目与《太湖流域管理条例》(国务院令第604号)的要求相符。</w:t>
            </w:r>
          </w:p>
          <w:p>
            <w:pPr>
              <w:widowControl/>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bCs/>
                <w:color w:val="auto"/>
                <w:sz w:val="24"/>
              </w:rPr>
              <w:t>（</w:t>
            </w:r>
            <w:r>
              <w:rPr>
                <w:rFonts w:hint="default" w:ascii="Times New Roman" w:hAnsi="Times New Roman" w:eastAsia="宋体" w:cs="Times New Roman"/>
                <w:bCs/>
                <w:color w:val="auto"/>
                <w:sz w:val="24"/>
                <w:lang w:val="en-US" w:eastAsia="zh-CN"/>
              </w:rPr>
              <w:t>9</w:t>
            </w:r>
            <w:r>
              <w:rPr>
                <w:rFonts w:hint="default" w:ascii="Times New Roman" w:hAnsi="Times New Roman" w:eastAsia="宋体" w:cs="Times New Roman"/>
                <w:bCs/>
                <w:color w:val="auto"/>
                <w:sz w:val="24"/>
              </w:rPr>
              <w:t>）与《江苏省挥发性有机物污染物防治管理办法》（省政府令第119号）相符性分析</w:t>
            </w:r>
          </w:p>
          <w:p>
            <w:pPr>
              <w:pStyle w:val="2"/>
              <w:spacing w:after="0"/>
              <w:ind w:left="0" w:leftChars="0" w:right="0" w:rightChars="0"/>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表1-1</w:t>
            </w:r>
            <w:r>
              <w:rPr>
                <w:rFonts w:hint="eastAsia" w:ascii="Times New Roman" w:hAnsi="Times New Roman" w:cs="Times New Roman"/>
                <w:b/>
                <w:bCs/>
                <w:color w:val="auto"/>
                <w:sz w:val="24"/>
                <w:szCs w:val="24"/>
                <w:lang w:val="en-US" w:eastAsia="zh-CN"/>
              </w:rPr>
              <w:t>6</w:t>
            </w:r>
            <w:r>
              <w:rPr>
                <w:rFonts w:hint="default" w:ascii="Times New Roman" w:hAnsi="Times New Roman" w:eastAsia="宋体" w:cs="Times New Roman"/>
                <w:b/>
                <w:bCs/>
                <w:color w:val="auto"/>
                <w:sz w:val="24"/>
                <w:szCs w:val="24"/>
              </w:rPr>
              <w:t xml:space="preserve"> 与省政府令第119号的相符性分析</w:t>
            </w:r>
          </w:p>
          <w:tbl>
            <w:tblPr>
              <w:tblStyle w:val="23"/>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210"/>
              <w:gridCol w:w="192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trPr>
              <w:tc>
                <w:tcPr>
                  <w:tcW w:w="3818" w:type="pct"/>
                  <w:vAlign w:val="center"/>
                </w:tcPr>
                <w:p>
                  <w:pPr>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要求</w:t>
                  </w:r>
                </w:p>
              </w:tc>
              <w:tc>
                <w:tcPr>
                  <w:tcW w:w="1182" w:type="pct"/>
                  <w:vAlign w:val="center"/>
                </w:tcPr>
                <w:p>
                  <w:pPr>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3818" w:type="pct"/>
                  <w:tcBorders>
                    <w:bottom w:val="single" w:color="auto" w:sz="2" w:space="0"/>
                  </w:tcBorders>
                  <w:vAlign w:val="center"/>
                </w:tcPr>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根据《江苏省挥发性有机物污染物防治管理办法》：</w:t>
                  </w:r>
                </w:p>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第十三条：新建、改建、扩建排放挥发性有机物的建设项目，应当依法进行环境影响评价。新增挥发性有机物排放总量指标的不足部分，可以依照有关规定通过排污权交易取得。</w:t>
                  </w:r>
                </w:p>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建设项目的环境影响评价文件未经审查或者审查后未予批准的，建设单位不得开工建设。</w:t>
                  </w:r>
                </w:p>
              </w:tc>
              <w:tc>
                <w:tcPr>
                  <w:tcW w:w="1182" w:type="pct"/>
                  <w:tcBorders>
                    <w:bottom w:val="single" w:color="auto" w:sz="2" w:space="0"/>
                  </w:tcBorders>
                  <w:vAlign w:val="center"/>
                </w:tcPr>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本项目建设性质为扩建，正在进行环境影响评价流程，在环评审批前将严格落实主要污染物排放总量指标控制制度，取得主要污染物排放总量的控制指标和平衡方案，故符合文件要求。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8" w:hRule="atLeast"/>
              </w:trPr>
              <w:tc>
                <w:tcPr>
                  <w:tcW w:w="3818" w:type="pct"/>
                  <w:tcBorders>
                    <w:top w:val="single" w:color="auto" w:sz="2" w:space="0"/>
                  </w:tcBorders>
                  <w:vAlign w:val="center"/>
                </w:tcPr>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第二十一条：产生挥发性有机物废气的生产经营活动应当在密闭空间或者密闭设备中进行。生产场所、生产设备应当按照环境保护和安全生产等要求设计、安装和有效运行挥发性有机物回收或者净化设施；固体废物、废水、废气处理系统产生的废气应当收集和处理；含有挥发性有机物的物料应当密闭储存、运输、装卸，禁止敞口和露天放置。</w:t>
                  </w:r>
                </w:p>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无法在密闭空间进行的生产经营活动应当采取有效措施，减少挥发性有机物排放量。</w:t>
                  </w:r>
                </w:p>
              </w:tc>
              <w:tc>
                <w:tcPr>
                  <w:tcW w:w="1182" w:type="pct"/>
                  <w:tcBorders>
                    <w:top w:val="single" w:color="auto" w:sz="2" w:space="0"/>
                  </w:tcBorders>
                  <w:vAlign w:val="center"/>
                </w:tcPr>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本项目生产过程中产生的有机废气经集气装置收集进入二级活性炭吸附装置处理，最后通过15m高排气筒排放，符合相关要求。</w:t>
                  </w:r>
                </w:p>
              </w:tc>
            </w:tr>
          </w:tbl>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综上，本项目与</w:t>
            </w:r>
            <w:r>
              <w:rPr>
                <w:rFonts w:hint="default" w:ascii="Times New Roman" w:hAnsi="Times New Roman" w:eastAsia="宋体" w:cs="Times New Roman"/>
                <w:bCs/>
                <w:color w:val="auto"/>
                <w:sz w:val="24"/>
              </w:rPr>
              <w:t>《江苏省挥发性有机物污染物防治管理办法》（省政府令第119号）</w:t>
            </w:r>
            <w:r>
              <w:rPr>
                <w:rFonts w:hint="default" w:ascii="Times New Roman" w:hAnsi="Times New Roman" w:eastAsia="宋体" w:cs="Times New Roman"/>
                <w:color w:val="auto"/>
                <w:sz w:val="24"/>
              </w:rPr>
              <w:t>的要求相符。</w:t>
            </w:r>
          </w:p>
          <w:p>
            <w:pPr>
              <w:autoSpaceDE w:val="0"/>
              <w:autoSpaceDN w:val="0"/>
              <w:snapToGrid w:val="0"/>
              <w:spacing w:line="360" w:lineRule="auto"/>
              <w:ind w:firstLine="480" w:firstLineChars="200"/>
              <w:jc w:val="left"/>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w:t>
            </w:r>
            <w:r>
              <w:rPr>
                <w:rFonts w:hint="default" w:ascii="Times New Roman" w:hAnsi="Times New Roman" w:eastAsia="宋体" w:cs="Times New Roman"/>
                <w:bCs/>
                <w:color w:val="auto"/>
                <w:sz w:val="24"/>
                <w:lang w:val="en-US" w:eastAsia="zh-CN"/>
              </w:rPr>
              <w:t>10</w:t>
            </w:r>
            <w:r>
              <w:rPr>
                <w:rFonts w:hint="default" w:ascii="Times New Roman" w:hAnsi="Times New Roman" w:eastAsia="宋体" w:cs="Times New Roman"/>
                <w:bCs/>
                <w:color w:val="auto"/>
                <w:sz w:val="24"/>
              </w:rPr>
              <w:t>）与《一般工业固体废物贮存、处置场污染控制标准》（GB18599-2001）相符性分析</w:t>
            </w:r>
          </w:p>
          <w:p>
            <w:pPr>
              <w:pStyle w:val="2"/>
              <w:spacing w:after="0"/>
              <w:ind w:left="0" w:leftChars="0" w:right="0" w:rightChars="0"/>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表1-1</w:t>
            </w:r>
            <w:r>
              <w:rPr>
                <w:rFonts w:hint="eastAsia" w:ascii="Times New Roman" w:hAnsi="Times New Roman" w:cs="Times New Roman"/>
                <w:b/>
                <w:bCs/>
                <w:color w:val="auto"/>
                <w:sz w:val="24"/>
                <w:szCs w:val="24"/>
                <w:lang w:val="en-US" w:eastAsia="zh-CN"/>
              </w:rPr>
              <w:t>7</w:t>
            </w:r>
            <w:r>
              <w:rPr>
                <w:rFonts w:hint="default" w:ascii="Times New Roman" w:hAnsi="Times New Roman" w:eastAsia="宋体" w:cs="Times New Roman"/>
                <w:b/>
                <w:bCs/>
                <w:color w:val="auto"/>
                <w:sz w:val="24"/>
                <w:szCs w:val="24"/>
              </w:rPr>
              <w:t xml:space="preserve"> 与</w:t>
            </w:r>
            <w:r>
              <w:rPr>
                <w:rFonts w:hint="default" w:ascii="Times New Roman" w:hAnsi="Times New Roman" w:eastAsia="宋体" w:cs="Times New Roman"/>
                <w:b/>
                <w:bCs/>
                <w:color w:val="auto"/>
                <w:sz w:val="24"/>
              </w:rPr>
              <w:t>GB18599-2001</w:t>
            </w:r>
            <w:r>
              <w:rPr>
                <w:rFonts w:hint="default" w:ascii="Times New Roman" w:hAnsi="Times New Roman" w:eastAsia="宋体" w:cs="Times New Roman"/>
                <w:b/>
                <w:bCs/>
                <w:color w:val="auto"/>
                <w:sz w:val="24"/>
                <w:szCs w:val="24"/>
              </w:rPr>
              <w:t>相符性分析</w:t>
            </w:r>
          </w:p>
          <w:tbl>
            <w:tblPr>
              <w:tblStyle w:val="23"/>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6184"/>
              <w:gridCol w:w="194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rPr>
              <w:tc>
                <w:tcPr>
                  <w:tcW w:w="3802" w:type="pct"/>
                  <w:shd w:val="clear" w:color="auto" w:fill="auto"/>
                  <w:vAlign w:val="center"/>
                </w:tcPr>
                <w:p>
                  <w:pPr>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要求</w:t>
                  </w:r>
                </w:p>
              </w:tc>
              <w:tc>
                <w:tcPr>
                  <w:tcW w:w="1198" w:type="pct"/>
                  <w:shd w:val="clear" w:color="auto" w:fill="auto"/>
                  <w:vAlign w:val="center"/>
                </w:tcPr>
                <w:p>
                  <w:pPr>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78" w:hRule="atLeast"/>
              </w:trPr>
              <w:tc>
                <w:tcPr>
                  <w:tcW w:w="3802" w:type="pct"/>
                  <w:tcBorders>
                    <w:bottom w:val="single" w:color="auto" w:sz="2" w:space="0"/>
                  </w:tcBorders>
                  <w:shd w:val="clear" w:color="auto" w:fill="auto"/>
                  <w:vAlign w:val="center"/>
                </w:tcPr>
                <w:p>
                  <w:pPr>
                    <w:shd w:val="clear" w:color="auto"/>
                    <w:spacing w:line="258" w:lineRule="atLeast"/>
                    <w:ind w:firstLine="480"/>
                    <w:rPr>
                      <w:rFonts w:hint="default" w:ascii="Times New Roman" w:hAnsi="Times New Roman" w:eastAsia="宋体" w:cs="Times New Roman"/>
                      <w:color w:val="auto"/>
                    </w:rPr>
                  </w:pPr>
                  <w:r>
                    <w:rPr>
                      <w:rFonts w:hint="default" w:ascii="Times New Roman" w:hAnsi="Times New Roman" w:eastAsia="宋体" w:cs="Times New Roman"/>
                      <w:color w:val="auto"/>
                    </w:rPr>
                    <w:t>1、贮存、处置场的建设类型，必须与将要堆放的一般工业固体废物的类别相一致。</w:t>
                  </w:r>
                </w:p>
                <w:p>
                  <w:pPr>
                    <w:shd w:val="clear" w:color="auto"/>
                    <w:spacing w:line="258" w:lineRule="atLeast"/>
                    <w:ind w:firstLine="480"/>
                    <w:rPr>
                      <w:rFonts w:hint="default" w:ascii="Times New Roman" w:hAnsi="Times New Roman" w:eastAsia="宋体" w:cs="Times New Roman"/>
                      <w:color w:val="auto"/>
                    </w:rPr>
                  </w:pPr>
                  <w:r>
                    <w:rPr>
                      <w:rFonts w:hint="default" w:ascii="Times New Roman" w:hAnsi="Times New Roman" w:eastAsia="宋体" w:cs="Times New Roman"/>
                      <w:color w:val="auto"/>
                    </w:rPr>
                    <w:t>2、</w:t>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"https://baike.baidu.com/item/%E5%BB%BA%E8%AE%BE%E9%A1%B9%E7%9B%AE%E7%8E%AF%E5%A2%83%E5%BD%B1%E5%93%8D%E8%AF%84%E4%BB%B7" \t "_blank"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建设项目环境影响评价</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t>中应设置贮存、处置场专题评价，扩建、改建和超期服役的贮存、处置场，应重新履行</w:t>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"https://baike.baidu.com/item/%E7%8E%AF%E5%A2%83%E5%BD%B1%E5%93%8D%E8%AF%84%E4%BB%B7" \t "_blank"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环境影响评价</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t>手续。</w:t>
                  </w:r>
                </w:p>
                <w:p>
                  <w:pPr>
                    <w:shd w:val="clear" w:color="auto"/>
                    <w:spacing w:line="258" w:lineRule="atLeast"/>
                    <w:ind w:firstLine="480"/>
                    <w:rPr>
                      <w:rFonts w:hint="default" w:ascii="Times New Roman" w:hAnsi="Times New Roman" w:eastAsia="宋体" w:cs="Times New Roman"/>
                      <w:color w:val="auto"/>
                    </w:rPr>
                  </w:pPr>
                  <w:r>
                    <w:rPr>
                      <w:rFonts w:hint="default" w:ascii="Times New Roman" w:hAnsi="Times New Roman" w:eastAsia="宋体" w:cs="Times New Roman"/>
                      <w:color w:val="auto"/>
                    </w:rPr>
                    <w:t>3、贮存、处置场应采取防止粉尘污染的措施。</w:t>
                  </w:r>
                </w:p>
                <w:p>
                  <w:pPr>
                    <w:shd w:val="clear" w:color="auto"/>
                    <w:spacing w:line="258" w:lineRule="atLeast"/>
                    <w:ind w:firstLine="480"/>
                    <w:rPr>
                      <w:rFonts w:hint="default" w:ascii="Times New Roman" w:hAnsi="Times New Roman" w:eastAsia="宋体" w:cs="Times New Roman"/>
                      <w:color w:val="auto"/>
                    </w:rPr>
                  </w:pPr>
                  <w:r>
                    <w:rPr>
                      <w:rFonts w:hint="default" w:ascii="Times New Roman" w:hAnsi="Times New Roman" w:eastAsia="宋体" w:cs="Times New Roman"/>
                      <w:color w:val="auto"/>
                    </w:rPr>
                    <w:t>4、为防止雨水径流进入贮存、处置场内，避免渗滤液量增加和滑坡，贮存、处置场周边应设置导流渠。</w:t>
                  </w:r>
                </w:p>
                <w:p>
                  <w:pPr>
                    <w:shd w:val="clear" w:color="auto"/>
                    <w:spacing w:line="258" w:lineRule="atLeast"/>
                    <w:ind w:firstLine="480"/>
                    <w:rPr>
                      <w:rFonts w:hint="default" w:ascii="Times New Roman" w:hAnsi="Times New Roman" w:eastAsia="宋体" w:cs="Times New Roman"/>
                      <w:color w:val="auto"/>
                    </w:rPr>
                  </w:pPr>
                  <w:r>
                    <w:rPr>
                      <w:rFonts w:hint="default" w:ascii="Times New Roman" w:hAnsi="Times New Roman" w:eastAsia="宋体" w:cs="Times New Roman"/>
                      <w:color w:val="auto"/>
                    </w:rPr>
                    <w:t>5、应设计渗滤液集排水设施。</w:t>
                  </w:r>
                </w:p>
                <w:p>
                  <w:pPr>
                    <w:shd w:val="clear" w:color="auto"/>
                    <w:spacing w:line="258" w:lineRule="atLeast"/>
                    <w:ind w:firstLine="480"/>
                    <w:rPr>
                      <w:rFonts w:hint="default" w:ascii="Times New Roman" w:hAnsi="Times New Roman" w:eastAsia="宋体" w:cs="Times New Roman"/>
                      <w:color w:val="auto"/>
                    </w:rPr>
                  </w:pPr>
                  <w:r>
                    <w:rPr>
                      <w:rFonts w:hint="default" w:ascii="Times New Roman" w:hAnsi="Times New Roman" w:eastAsia="宋体" w:cs="Times New Roman"/>
                      <w:color w:val="auto"/>
                    </w:rPr>
                    <w:t>6、为防止一般工业固体废物和渗滤液的流失，应构筑堤、坝、挡土墙等设施。</w:t>
                  </w:r>
                </w:p>
                <w:p>
                  <w:pPr>
                    <w:shd w:val="clear" w:color="auto"/>
                    <w:spacing w:line="258" w:lineRule="atLeast"/>
                    <w:ind w:firstLine="480"/>
                    <w:rPr>
                      <w:rFonts w:hint="default" w:ascii="Times New Roman" w:hAnsi="Times New Roman" w:eastAsia="宋体" w:cs="Times New Roman"/>
                      <w:color w:val="auto"/>
                    </w:rPr>
                  </w:pPr>
                  <w:r>
                    <w:rPr>
                      <w:rFonts w:hint="default" w:ascii="Times New Roman" w:hAnsi="Times New Roman" w:eastAsia="宋体" w:cs="Times New Roman"/>
                      <w:color w:val="auto"/>
                    </w:rPr>
                    <w:t>7、为保障设施、设备正常运营，必要时应采取措施防止地基下沉，尤其是防止不均匀或局部下沉。</w:t>
                  </w:r>
                </w:p>
                <w:p>
                  <w:pPr>
                    <w:shd w:val="clear" w:color="auto"/>
                    <w:spacing w:line="258" w:lineRule="atLeast"/>
                    <w:ind w:firstLine="480"/>
                    <w:rPr>
                      <w:rFonts w:hint="default" w:ascii="Times New Roman" w:hAnsi="Times New Roman" w:eastAsia="宋体" w:cs="Times New Roman"/>
                      <w:color w:val="auto"/>
                    </w:rPr>
                  </w:pPr>
                  <w:r>
                    <w:rPr>
                      <w:rFonts w:hint="default" w:ascii="Times New Roman" w:hAnsi="Times New Roman" w:eastAsia="宋体" w:cs="Times New Roman"/>
                      <w:color w:val="auto"/>
                    </w:rPr>
                    <w:t>8、含硫量大于1.5%的煤矸石，必须采取措施防止自燃。</w:t>
                  </w:r>
                </w:p>
                <w:p>
                  <w:pPr>
                    <w:shd w:val="clear" w:color="auto"/>
                    <w:spacing w:line="258" w:lineRule="atLeast"/>
                    <w:ind w:firstLine="480"/>
                    <w:rPr>
                      <w:rFonts w:hint="default" w:ascii="Times New Roman" w:hAnsi="Times New Roman" w:eastAsia="宋体" w:cs="Times New Roman"/>
                      <w:color w:val="auto"/>
                    </w:rPr>
                  </w:pPr>
                  <w:r>
                    <w:rPr>
                      <w:rFonts w:hint="default" w:ascii="Times New Roman" w:hAnsi="Times New Roman" w:eastAsia="宋体" w:cs="Times New Roman"/>
                      <w:color w:val="auto"/>
                    </w:rPr>
                    <w:t>9、为加强监督管理，贮存、处置场应按GBl5562.2设置环境保护图形标志。</w:t>
                  </w:r>
                </w:p>
              </w:tc>
              <w:tc>
                <w:tcPr>
                  <w:tcW w:w="1198" w:type="pct"/>
                  <w:tcBorders>
                    <w:bottom w:val="single" w:color="auto" w:sz="2" w:space="0"/>
                  </w:tcBorders>
                  <w:shd w:val="clear" w:color="auto" w:fill="auto"/>
                  <w:vAlign w:val="center"/>
                </w:tcPr>
                <w:p>
                  <w:pPr>
                    <w:autoSpaceDE w:val="0"/>
                    <w:autoSpaceDN w:val="0"/>
                    <w:adjustRightInd w:val="0"/>
                    <w:snapToGrid w:val="0"/>
                    <w:ind w:firstLine="420" w:firstLineChars="200"/>
                    <w:rPr>
                      <w:rFonts w:hint="default" w:ascii="Times New Roman" w:hAnsi="Times New Roman" w:eastAsia="宋体" w:cs="Times New Roman"/>
                      <w:bCs/>
                      <w:color w:val="auto"/>
                      <w:szCs w:val="21"/>
                    </w:rPr>
                  </w:pPr>
                  <w:r>
                    <w:rPr>
                      <w:rFonts w:hint="default" w:ascii="Times New Roman" w:hAnsi="Times New Roman" w:eastAsia="宋体" w:cs="Times New Roman"/>
                      <w:color w:val="auto"/>
                      <w:lang w:val="en-US" w:eastAsia="zh-CN"/>
                    </w:rPr>
                    <w:t>企业于</w:t>
                  </w:r>
                  <w:r>
                    <w:rPr>
                      <w:rFonts w:hint="default" w:ascii="Times New Roman" w:hAnsi="Times New Roman" w:eastAsia="宋体" w:cs="Times New Roman"/>
                      <w:color w:val="auto"/>
                    </w:rPr>
                    <w:t>厂区</w:t>
                  </w:r>
                  <w:r>
                    <w:rPr>
                      <w:rFonts w:hint="default" w:ascii="Times New Roman" w:hAnsi="Times New Roman" w:eastAsia="宋体" w:cs="Times New Roman"/>
                      <w:color w:val="auto"/>
                      <w:lang w:val="en-US" w:eastAsia="zh-CN"/>
                    </w:rPr>
                    <w:t>西侧建设</w:t>
                  </w:r>
                  <w:r>
                    <w:rPr>
                      <w:rFonts w:hint="default" w:ascii="Times New Roman" w:hAnsi="Times New Roman" w:eastAsia="宋体" w:cs="Times New Roman"/>
                      <w:color w:val="auto"/>
                    </w:rPr>
                    <w:t>1个</w:t>
                  </w:r>
                  <w:r>
                    <w:rPr>
                      <w:rFonts w:hint="default" w:ascii="Times New Roman" w:hAnsi="Times New Roman" w:eastAsia="宋体" w:cs="Times New Roman"/>
                      <w:color w:val="auto"/>
                      <w:lang w:val="en-US" w:eastAsia="zh-CN"/>
                    </w:rPr>
                    <w:t>30</w:t>
                  </w:r>
                  <w:r>
                    <w:rPr>
                      <w:rFonts w:hint="default" w:ascii="Times New Roman" w:hAnsi="Times New Roman" w:eastAsia="宋体" w:cs="Times New Roman"/>
                      <w:color w:val="auto"/>
                    </w:rPr>
                    <w:t>m</w:t>
                  </w:r>
                  <w:r>
                    <w:rPr>
                      <w:rFonts w:hint="default" w:ascii="Times New Roman" w:hAnsi="Times New Roman" w:eastAsia="宋体" w:cs="Times New Roman"/>
                      <w:color w:val="auto"/>
                      <w:vertAlign w:val="superscript"/>
                    </w:rPr>
                    <w:t>2</w:t>
                  </w:r>
                  <w:r>
                    <w:rPr>
                      <w:rFonts w:hint="default" w:ascii="Times New Roman" w:hAnsi="Times New Roman" w:eastAsia="宋体" w:cs="Times New Roman"/>
                      <w:color w:val="auto"/>
                      <w:lang w:val="en-US" w:eastAsia="zh-CN"/>
                    </w:rPr>
                    <w:t>固废堆场</w:t>
                  </w:r>
                  <w:r>
                    <w:rPr>
                      <w:rFonts w:hint="default" w:ascii="Times New Roman" w:hAnsi="Times New Roman" w:eastAsia="宋体" w:cs="Times New Roman"/>
                      <w:color w:val="auto"/>
                    </w:rPr>
                    <w:t>，用于存放</w:t>
                  </w:r>
                  <w:r>
                    <w:rPr>
                      <w:rFonts w:hint="default" w:ascii="Times New Roman" w:hAnsi="Times New Roman" w:eastAsia="宋体" w:cs="Times New Roman"/>
                      <w:color w:val="auto"/>
                      <w:lang w:val="en-US" w:eastAsia="zh-CN"/>
                    </w:rPr>
                    <w:t>原有项目产生的边角料</w:t>
                  </w:r>
                  <w:r>
                    <w:rPr>
                      <w:rFonts w:hint="default" w:ascii="Times New Roman" w:hAnsi="Times New Roman" w:eastAsia="宋体" w:cs="Times New Roman"/>
                      <w:color w:val="auto"/>
                    </w:rPr>
                    <w:t>；固废堆场按要求进行设置、贮存危废，满足环境管理要求，与</w:t>
                  </w:r>
                  <w:r>
                    <w:rPr>
                      <w:rFonts w:hint="default" w:ascii="Times New Roman" w:hAnsi="Times New Roman" w:eastAsia="宋体" w:cs="Times New Roman"/>
                      <w:bCs/>
                      <w:color w:val="auto"/>
                      <w:szCs w:val="21"/>
                    </w:rPr>
                    <w:t>上述内容</w:t>
                  </w:r>
                  <w:r>
                    <w:rPr>
                      <w:rFonts w:hint="default" w:ascii="Times New Roman" w:hAnsi="Times New Roman" w:eastAsia="宋体" w:cs="Times New Roman"/>
                      <w:color w:val="auto"/>
                    </w:rPr>
                    <w:t>相符。</w:t>
                  </w:r>
                </w:p>
              </w:tc>
            </w:tr>
          </w:tbl>
          <w:p>
            <w:pPr>
              <w:autoSpaceDE w:val="0"/>
              <w:autoSpaceDN w:val="0"/>
              <w:snapToGrid w:val="0"/>
              <w:spacing w:line="360" w:lineRule="auto"/>
              <w:jc w:val="left"/>
              <w:rPr>
                <w:rFonts w:hint="default" w:ascii="Times New Roman" w:hAnsi="Times New Roman" w:eastAsia="宋体" w:cs="Times New Roman"/>
                <w:b/>
                <w:color w:val="auto"/>
                <w:sz w:val="24"/>
              </w:rPr>
            </w:pPr>
            <w:r>
              <w:rPr>
                <w:rFonts w:hint="default" w:ascii="Times New Roman" w:hAnsi="Times New Roman" w:eastAsia="宋体" w:cs="Times New Roman"/>
                <w:b/>
                <w:bCs/>
                <w:color w:val="auto"/>
                <w:sz w:val="24"/>
                <w:lang w:val="en-US" w:eastAsia="zh-CN"/>
              </w:rPr>
              <w:t>3</w:t>
            </w:r>
            <w:r>
              <w:rPr>
                <w:rFonts w:hint="default" w:ascii="Times New Roman" w:hAnsi="Times New Roman" w:eastAsia="宋体" w:cs="Times New Roman"/>
                <w:b/>
                <w:bCs/>
                <w:color w:val="auto"/>
                <w:sz w:val="24"/>
              </w:rPr>
              <w:t>、与《省生态环境厅关于进一步加强建设项目环评审批和服务工作的指导意见》（苏环办〔2020〕225号）相符性分析</w:t>
            </w:r>
          </w:p>
          <w:p>
            <w:pPr>
              <w:autoSpaceDE w:val="0"/>
              <w:autoSpaceDN w:val="0"/>
              <w:snapToGrid w:val="0"/>
              <w:jc w:val="center"/>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表1-1</w:t>
            </w:r>
            <w:r>
              <w:rPr>
                <w:rFonts w:hint="eastAsia" w:cs="Times New Roman"/>
                <w:b/>
                <w:bCs/>
                <w:color w:val="auto"/>
                <w:sz w:val="24"/>
                <w:lang w:val="en-US" w:eastAsia="zh-CN"/>
              </w:rPr>
              <w:t>8</w:t>
            </w:r>
            <w:r>
              <w:rPr>
                <w:rFonts w:hint="default" w:ascii="Times New Roman" w:hAnsi="Times New Roman" w:eastAsia="宋体" w:cs="Times New Roman"/>
                <w:b/>
                <w:bCs/>
                <w:color w:val="auto"/>
                <w:sz w:val="24"/>
              </w:rPr>
              <w:t xml:space="preserve"> 与苏环办〔2020〕225号文相符性分析表</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85"/>
              <w:gridCol w:w="3001"/>
              <w:gridCol w:w="3465"/>
              <w:gridCol w:w="78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9" w:hRule="atLeast"/>
                <w:jc w:val="center"/>
              </w:trPr>
              <w:tc>
                <w:tcPr>
                  <w:tcW w:w="544" w:type="pct"/>
                  <w:tcBorders>
                    <w:top w:val="single" w:color="auto" w:sz="12" w:space="0"/>
                    <w:left w:val="nil"/>
                    <w:bottom w:val="single" w:color="auto" w:sz="4" w:space="0"/>
                    <w:right w:val="single" w:color="auto" w:sz="4" w:space="0"/>
                  </w:tcBorders>
                  <w:vAlign w:val="center"/>
                </w:tcPr>
                <w:p>
                  <w:pPr>
                    <w:autoSpaceDE w:val="0"/>
                    <w:autoSpaceDN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rPr>
                    <w:t>类别</w:t>
                  </w:r>
                </w:p>
              </w:tc>
              <w:tc>
                <w:tcPr>
                  <w:tcW w:w="1845" w:type="pct"/>
                  <w:tcBorders>
                    <w:top w:val="single" w:color="auto" w:sz="12" w:space="0"/>
                    <w:left w:val="single" w:color="auto" w:sz="4" w:space="0"/>
                    <w:bottom w:val="single" w:color="auto" w:sz="4" w:space="0"/>
                    <w:right w:val="single" w:color="auto" w:sz="4" w:space="0"/>
                  </w:tcBorders>
                  <w:vAlign w:val="center"/>
                </w:tcPr>
                <w:p>
                  <w:pPr>
                    <w:autoSpaceDE w:val="0"/>
                    <w:autoSpaceDN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rPr>
                    <w:t>文件要求</w:t>
                  </w:r>
                </w:p>
              </w:tc>
              <w:tc>
                <w:tcPr>
                  <w:tcW w:w="2130" w:type="pct"/>
                  <w:tcBorders>
                    <w:top w:val="single" w:color="auto" w:sz="12" w:space="0"/>
                    <w:left w:val="single" w:color="auto" w:sz="4" w:space="0"/>
                    <w:bottom w:val="single" w:color="auto" w:sz="4" w:space="0"/>
                    <w:right w:val="single" w:color="auto" w:sz="4" w:space="0"/>
                  </w:tcBorders>
                  <w:vAlign w:val="center"/>
                </w:tcPr>
                <w:p>
                  <w:pPr>
                    <w:autoSpaceDE w:val="0"/>
                    <w:autoSpaceDN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rPr>
                    <w:t>本项目情况</w:t>
                  </w:r>
                </w:p>
              </w:tc>
              <w:tc>
                <w:tcPr>
                  <w:tcW w:w="481" w:type="pct"/>
                  <w:tcBorders>
                    <w:top w:val="single" w:color="auto" w:sz="12" w:space="0"/>
                    <w:left w:val="single" w:color="auto" w:sz="4" w:space="0"/>
                    <w:bottom w:val="single" w:color="auto" w:sz="4" w:space="0"/>
                    <w:right w:val="nil"/>
                  </w:tcBorders>
                  <w:vAlign w:val="center"/>
                </w:tcPr>
                <w:p>
                  <w:pPr>
                    <w:autoSpaceDE w:val="0"/>
                    <w:autoSpaceDN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rPr>
                    <w:t>是否相符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9" w:hRule="atLeast"/>
                <w:jc w:val="center"/>
              </w:trPr>
              <w:tc>
                <w:tcPr>
                  <w:tcW w:w="544" w:type="pct"/>
                  <w:vMerge w:val="restart"/>
                  <w:tcBorders>
                    <w:top w:val="single" w:color="auto" w:sz="4" w:space="0"/>
                    <w:left w:val="nil"/>
                    <w:bottom w:val="single" w:color="auto" w:sz="4" w:space="0"/>
                    <w:right w:val="single" w:color="auto" w:sz="4" w:space="0"/>
                  </w:tcBorders>
                  <w:vAlign w:val="center"/>
                </w:tcPr>
                <w:p>
                  <w:pPr>
                    <w:autoSpaceDE w:val="0"/>
                    <w:autoSpaceDN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严守生态环境质量底线</w:t>
                  </w:r>
                </w:p>
              </w:tc>
              <w:tc>
                <w:tcPr>
                  <w:tcW w:w="1845" w:type="pct"/>
                  <w:tcBorders>
                    <w:top w:val="single" w:color="auto" w:sz="4" w:space="0"/>
                    <w:left w:val="single" w:color="auto" w:sz="4" w:space="0"/>
                    <w:bottom w:val="single" w:color="auto" w:sz="4" w:space="0"/>
                    <w:right w:val="single" w:color="auto" w:sz="4" w:space="0"/>
                  </w:tcBorders>
                  <w:vAlign w:val="center"/>
                </w:tcPr>
                <w:p>
                  <w:pPr>
                    <w:autoSpaceDE w:val="0"/>
                    <w:autoSpaceDN w:val="0"/>
                    <w:snapToGrid w:val="0"/>
                    <w:ind w:firstLine="420" w:firstLineChars="200"/>
                    <w:rPr>
                      <w:rFonts w:hint="default" w:ascii="Times New Roman" w:hAnsi="Times New Roman" w:eastAsia="宋体" w:cs="Times New Roman"/>
                      <w:color w:val="auto"/>
                      <w:szCs w:val="21"/>
                    </w:rPr>
                  </w:pPr>
                  <w:r>
                    <w:rPr>
                      <w:rFonts w:hint="default" w:ascii="Times New Roman" w:hAnsi="Times New Roman" w:eastAsia="宋体" w:cs="Times New Roman"/>
                      <w:color w:val="auto"/>
                    </w:rPr>
                    <w:t>建设项目所在区域环境质量末达到国家或地方环境质量标准，且项目拟采取的污染防治措施不能满足区域环境质量改善目标管理要求的，一律不得审批。</w:t>
                  </w:r>
                </w:p>
              </w:tc>
              <w:tc>
                <w:tcPr>
                  <w:tcW w:w="2130" w:type="pct"/>
                  <w:tcBorders>
                    <w:top w:val="single" w:color="auto" w:sz="4" w:space="0"/>
                    <w:left w:val="single" w:color="auto" w:sz="4" w:space="0"/>
                    <w:bottom w:val="single" w:color="auto" w:sz="4" w:space="0"/>
                    <w:right w:val="single" w:color="auto" w:sz="4" w:space="0"/>
                  </w:tcBorders>
                  <w:vAlign w:val="center"/>
                </w:tcPr>
                <w:p>
                  <w:pPr>
                    <w:autoSpaceDE w:val="0"/>
                    <w:autoSpaceDN w:val="0"/>
                    <w:snapToGrid w:val="0"/>
                    <w:ind w:firstLine="420" w:firstLineChars="200"/>
                    <w:rPr>
                      <w:rFonts w:hint="default" w:ascii="Times New Roman" w:hAnsi="Times New Roman" w:eastAsia="宋体" w:cs="Times New Roman"/>
                      <w:color w:val="auto"/>
                      <w:szCs w:val="21"/>
                    </w:rPr>
                  </w:pPr>
                  <w:r>
                    <w:rPr>
                      <w:rFonts w:hint="default" w:ascii="Times New Roman" w:hAnsi="Times New Roman" w:eastAsia="宋体" w:cs="Times New Roman"/>
                      <w:color w:val="auto"/>
                    </w:rPr>
                    <w:t>根据《2020年常州市生态环境状况公报》，项目所在区域大气环境质量属于不达标区。根据环境质量现状监测数据，地表水、声环境质量均能够满足相应功能区划要求。项目建成后采取严格的污染防治措施，废气、厂界噪声均可达标排放，固废合理处置，不会突破项目所在地环境质量底线。</w:t>
                  </w:r>
                </w:p>
              </w:tc>
              <w:tc>
                <w:tcPr>
                  <w:tcW w:w="481" w:type="pct"/>
                  <w:tcBorders>
                    <w:top w:val="single" w:color="auto" w:sz="4" w:space="0"/>
                    <w:left w:val="single" w:color="auto" w:sz="4" w:space="0"/>
                    <w:bottom w:val="single" w:color="auto" w:sz="4" w:space="0"/>
                    <w:right w:val="nil"/>
                  </w:tcBorders>
                  <w:vAlign w:val="center"/>
                </w:tcPr>
                <w:p>
                  <w:pPr>
                    <w:autoSpaceDE w:val="0"/>
                    <w:autoSpaceDN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53" w:hRule="atLeast"/>
                <w:jc w:val="center"/>
              </w:trPr>
              <w:tc>
                <w:tcPr>
                  <w:tcW w:w="544" w:type="pct"/>
                  <w:vMerge w:val="continue"/>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宋体" w:cs="Times New Roman"/>
                      <w:color w:val="auto"/>
                      <w:szCs w:val="21"/>
                    </w:rPr>
                  </w:pPr>
                </w:p>
              </w:tc>
              <w:tc>
                <w:tcPr>
                  <w:tcW w:w="1845" w:type="pct"/>
                  <w:tcBorders>
                    <w:top w:val="single" w:color="auto" w:sz="4" w:space="0"/>
                    <w:left w:val="single" w:color="auto" w:sz="4" w:space="0"/>
                    <w:bottom w:val="single" w:color="auto" w:sz="4" w:space="0"/>
                    <w:right w:val="single" w:color="auto" w:sz="4" w:space="0"/>
                  </w:tcBorders>
                  <w:vAlign w:val="center"/>
                </w:tcPr>
                <w:p>
                  <w:pPr>
                    <w:autoSpaceDE w:val="0"/>
                    <w:autoSpaceDN w:val="0"/>
                    <w:snapToGrid w:val="0"/>
                    <w:ind w:firstLine="420" w:firstLineChars="200"/>
                    <w:rPr>
                      <w:rFonts w:hint="default" w:ascii="Times New Roman" w:hAnsi="Times New Roman" w:eastAsia="宋体" w:cs="Times New Roman"/>
                      <w:color w:val="auto"/>
                      <w:szCs w:val="21"/>
                    </w:rPr>
                  </w:pPr>
                  <w:r>
                    <w:rPr>
                      <w:rFonts w:hint="default" w:ascii="Times New Roman" w:hAnsi="Times New Roman" w:eastAsia="宋体" w:cs="Times New Roman"/>
                      <w:color w:val="auto"/>
                    </w:rPr>
                    <w:t>加强规划环评与建设项目环评联动，对不符合规划环评结论及审查意见的项目环评，依法不予审批。规划所包含项目的环评内容，可根据规划环评结论和审查意见予以简化。</w:t>
                  </w:r>
                </w:p>
              </w:tc>
              <w:tc>
                <w:tcPr>
                  <w:tcW w:w="2130" w:type="pct"/>
                  <w:tcBorders>
                    <w:top w:val="single" w:color="auto" w:sz="4" w:space="0"/>
                    <w:left w:val="single" w:color="auto" w:sz="4" w:space="0"/>
                    <w:bottom w:val="single" w:color="auto" w:sz="4" w:space="0"/>
                    <w:right w:val="single" w:color="auto" w:sz="4" w:space="0"/>
                  </w:tcBorders>
                  <w:vAlign w:val="center"/>
                </w:tcPr>
                <w:p>
                  <w:pPr>
                    <w:autoSpaceDE w:val="0"/>
                    <w:autoSpaceDN w:val="0"/>
                    <w:snapToGrid w:val="0"/>
                    <w:ind w:firstLine="420" w:firstLineChars="200"/>
                    <w:rPr>
                      <w:rFonts w:hint="default" w:ascii="Times New Roman" w:hAnsi="Times New Roman" w:eastAsia="宋体" w:cs="Times New Roman"/>
                      <w:color w:val="auto"/>
                      <w:szCs w:val="21"/>
                    </w:rPr>
                  </w:pPr>
                  <w:r>
                    <w:rPr>
                      <w:rFonts w:hint="default" w:ascii="Times New Roman" w:hAnsi="Times New Roman" w:eastAsia="宋体" w:cs="Times New Roman"/>
                      <w:color w:val="auto"/>
                    </w:rPr>
                    <w:t>本项目位于</w:t>
                  </w:r>
                  <w:r>
                    <w:rPr>
                      <w:rFonts w:hint="default" w:ascii="Times New Roman" w:hAnsi="Times New Roman" w:eastAsia="宋体" w:cs="Times New Roman"/>
                      <w:color w:val="auto"/>
                      <w:lang w:eastAsia="zh-CN"/>
                    </w:rPr>
                    <w:t>江苏省常州市武进区前黄镇寨灵路19号</w:t>
                  </w:r>
                  <w:r>
                    <w:rPr>
                      <w:rFonts w:hint="default" w:ascii="Times New Roman" w:hAnsi="Times New Roman" w:eastAsia="宋体" w:cs="Times New Roman"/>
                      <w:color w:val="auto"/>
                    </w:rPr>
                    <w:t>，用地性质为工业用地，主要产品为</w:t>
                  </w:r>
                  <w:r>
                    <w:rPr>
                      <w:rFonts w:hint="default" w:ascii="Times New Roman" w:hAnsi="Times New Roman" w:eastAsia="宋体" w:cs="Times New Roman"/>
                      <w:color w:val="auto"/>
                      <w:lang w:val="en-US" w:eastAsia="zh-CN"/>
                    </w:rPr>
                    <w:t>机械零部件</w:t>
                  </w:r>
                  <w:r>
                    <w:rPr>
                      <w:rFonts w:hint="default" w:ascii="Times New Roman" w:hAnsi="Times New Roman" w:eastAsia="宋体" w:cs="Times New Roman"/>
                      <w:color w:val="auto"/>
                    </w:rPr>
                    <w:t>，与</w:t>
                  </w:r>
                  <w:r>
                    <w:rPr>
                      <w:rFonts w:hint="default" w:ascii="Times New Roman" w:hAnsi="Times New Roman" w:eastAsia="宋体" w:cs="Times New Roman"/>
                      <w:color w:val="auto"/>
                      <w:lang w:val="en-US" w:eastAsia="zh-CN"/>
                    </w:rPr>
                    <w:t>前黄镇</w:t>
                  </w:r>
                  <w:r>
                    <w:rPr>
                      <w:rFonts w:hint="default" w:ascii="Times New Roman" w:hAnsi="Times New Roman" w:eastAsia="宋体" w:cs="Times New Roman"/>
                      <w:color w:val="auto"/>
                    </w:rPr>
                    <w:t>规划相符。</w:t>
                  </w:r>
                </w:p>
              </w:tc>
              <w:tc>
                <w:tcPr>
                  <w:tcW w:w="481" w:type="pct"/>
                  <w:tcBorders>
                    <w:top w:val="single" w:color="auto" w:sz="4" w:space="0"/>
                    <w:left w:val="single" w:color="auto" w:sz="4" w:space="0"/>
                    <w:bottom w:val="single" w:color="auto" w:sz="4" w:space="0"/>
                    <w:right w:val="nil"/>
                  </w:tcBorders>
                  <w:vAlign w:val="center"/>
                </w:tcPr>
                <w:p>
                  <w:pPr>
                    <w:autoSpaceDE w:val="0"/>
                    <w:autoSpaceDN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53" w:hRule="atLeast"/>
                <w:jc w:val="center"/>
              </w:trPr>
              <w:tc>
                <w:tcPr>
                  <w:tcW w:w="544" w:type="pct"/>
                  <w:vMerge w:val="continue"/>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宋体" w:cs="Times New Roman"/>
                      <w:color w:val="auto"/>
                      <w:szCs w:val="21"/>
                    </w:rPr>
                  </w:pPr>
                </w:p>
              </w:tc>
              <w:tc>
                <w:tcPr>
                  <w:tcW w:w="1845" w:type="pct"/>
                  <w:tcBorders>
                    <w:top w:val="single" w:color="auto" w:sz="4" w:space="0"/>
                    <w:left w:val="single" w:color="auto" w:sz="4" w:space="0"/>
                    <w:bottom w:val="single" w:color="auto" w:sz="4" w:space="0"/>
                    <w:right w:val="single" w:color="auto" w:sz="4" w:space="0"/>
                  </w:tcBorders>
                  <w:vAlign w:val="center"/>
                </w:tcPr>
                <w:p>
                  <w:pPr>
                    <w:autoSpaceDE w:val="0"/>
                    <w:autoSpaceDN w:val="0"/>
                    <w:snapToGrid w:val="0"/>
                    <w:ind w:firstLine="420" w:firstLineChars="200"/>
                    <w:rPr>
                      <w:rFonts w:hint="default" w:ascii="Times New Roman" w:hAnsi="Times New Roman" w:eastAsia="宋体" w:cs="Times New Roman"/>
                      <w:color w:val="auto"/>
                      <w:szCs w:val="21"/>
                    </w:rPr>
                  </w:pPr>
                  <w:r>
                    <w:rPr>
                      <w:rFonts w:hint="default" w:ascii="Times New Roman" w:hAnsi="Times New Roman" w:eastAsia="宋体" w:cs="Times New Roman"/>
                      <w:color w:val="auto"/>
                    </w:rPr>
                    <w:t>切实加强区域环境容量、环境承载力研究，不得审批突破环境容量和环境承载力的建设项目。</w:t>
                  </w:r>
                </w:p>
              </w:tc>
              <w:tc>
                <w:tcPr>
                  <w:tcW w:w="2130" w:type="pct"/>
                  <w:tcBorders>
                    <w:top w:val="single" w:color="auto" w:sz="4" w:space="0"/>
                    <w:left w:val="single" w:color="auto" w:sz="4" w:space="0"/>
                    <w:bottom w:val="single" w:color="auto" w:sz="4" w:space="0"/>
                    <w:right w:val="single" w:color="auto" w:sz="4" w:space="0"/>
                  </w:tcBorders>
                  <w:vAlign w:val="center"/>
                </w:tcPr>
                <w:p>
                  <w:pPr>
                    <w:autoSpaceDE w:val="0"/>
                    <w:autoSpaceDN w:val="0"/>
                    <w:snapToGrid w:val="0"/>
                    <w:ind w:firstLine="420" w:firstLineChars="200"/>
                    <w:rPr>
                      <w:rFonts w:hint="default" w:ascii="Times New Roman" w:hAnsi="Times New Roman" w:eastAsia="宋体" w:cs="Times New Roman"/>
                      <w:color w:val="auto"/>
                      <w:szCs w:val="21"/>
                    </w:rPr>
                  </w:pPr>
                  <w:r>
                    <w:rPr>
                      <w:rFonts w:hint="default" w:ascii="Times New Roman" w:hAnsi="Times New Roman" w:eastAsia="宋体" w:cs="Times New Roman"/>
                      <w:color w:val="auto"/>
                    </w:rPr>
                    <w:t>在环境影响评价文件审批前，取得主要污染物排放总量指标。</w:t>
                  </w:r>
                </w:p>
              </w:tc>
              <w:tc>
                <w:tcPr>
                  <w:tcW w:w="481" w:type="pct"/>
                  <w:tcBorders>
                    <w:top w:val="single" w:color="auto" w:sz="4" w:space="0"/>
                    <w:left w:val="single" w:color="auto" w:sz="4" w:space="0"/>
                    <w:bottom w:val="single" w:color="auto" w:sz="4" w:space="0"/>
                    <w:right w:val="nil"/>
                  </w:tcBorders>
                  <w:vAlign w:val="center"/>
                </w:tcPr>
                <w:p>
                  <w:pPr>
                    <w:autoSpaceDE w:val="0"/>
                    <w:autoSpaceDN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34" w:hRule="atLeast"/>
                <w:jc w:val="center"/>
              </w:trPr>
              <w:tc>
                <w:tcPr>
                  <w:tcW w:w="544" w:type="pct"/>
                  <w:vMerge w:val="continue"/>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宋体" w:cs="Times New Roman"/>
                      <w:color w:val="auto"/>
                      <w:szCs w:val="21"/>
                    </w:rPr>
                  </w:pPr>
                </w:p>
              </w:tc>
              <w:tc>
                <w:tcPr>
                  <w:tcW w:w="1845" w:type="pct"/>
                  <w:tcBorders>
                    <w:top w:val="single" w:color="auto" w:sz="4" w:space="0"/>
                    <w:left w:val="single" w:color="auto" w:sz="4" w:space="0"/>
                    <w:bottom w:val="single" w:color="auto" w:sz="4" w:space="0"/>
                    <w:right w:val="single" w:color="auto" w:sz="4" w:space="0"/>
                  </w:tcBorders>
                  <w:vAlign w:val="center"/>
                </w:tcPr>
                <w:p>
                  <w:pPr>
                    <w:autoSpaceDE w:val="0"/>
                    <w:autoSpaceDN w:val="0"/>
                    <w:snapToGrid w:val="0"/>
                    <w:ind w:firstLine="420" w:firstLineChars="200"/>
                    <w:rPr>
                      <w:rFonts w:hint="default" w:ascii="Times New Roman" w:hAnsi="Times New Roman" w:eastAsia="宋体" w:cs="Times New Roman"/>
                      <w:color w:val="auto"/>
                      <w:szCs w:val="21"/>
                    </w:rPr>
                  </w:pPr>
                  <w:r>
                    <w:rPr>
                      <w:rFonts w:hint="default" w:ascii="Times New Roman" w:hAnsi="Times New Roman" w:eastAsia="宋体" w:cs="Times New Roman"/>
                      <w:color w:val="auto"/>
                    </w:rPr>
                    <w:t>应将“三线一单”作为建设项目环评审批的重要依据，严格落实生态环境分区管控要求，从严把好环境准入关。</w:t>
                  </w:r>
                </w:p>
              </w:tc>
              <w:tc>
                <w:tcPr>
                  <w:tcW w:w="2130" w:type="pct"/>
                  <w:tcBorders>
                    <w:top w:val="single" w:color="auto" w:sz="4" w:space="0"/>
                    <w:left w:val="single" w:color="auto" w:sz="4" w:space="0"/>
                    <w:bottom w:val="single" w:color="auto" w:sz="4" w:space="0"/>
                    <w:right w:val="single" w:color="auto" w:sz="4" w:space="0"/>
                  </w:tcBorders>
                  <w:vAlign w:val="center"/>
                </w:tcPr>
                <w:p>
                  <w:pPr>
                    <w:autoSpaceDE w:val="0"/>
                    <w:autoSpaceDN w:val="0"/>
                    <w:snapToGrid w:val="0"/>
                    <w:ind w:firstLine="420" w:firstLineChars="200"/>
                    <w:rPr>
                      <w:rFonts w:hint="default" w:ascii="Times New Roman" w:hAnsi="Times New Roman" w:eastAsia="宋体" w:cs="Times New Roman"/>
                      <w:color w:val="auto"/>
                      <w:szCs w:val="21"/>
                    </w:rPr>
                  </w:pPr>
                  <w:r>
                    <w:rPr>
                      <w:rFonts w:hint="default" w:ascii="Times New Roman" w:hAnsi="Times New Roman" w:eastAsia="宋体" w:cs="Times New Roman"/>
                      <w:color w:val="auto"/>
                    </w:rPr>
                    <w:t>本项目符合“三线一单”（即生态保护红线、环境质量底线、资源利用上线、环境准入负面清单）管理机制的要求。</w:t>
                  </w:r>
                </w:p>
              </w:tc>
              <w:tc>
                <w:tcPr>
                  <w:tcW w:w="481" w:type="pct"/>
                  <w:tcBorders>
                    <w:top w:val="single" w:color="auto" w:sz="4" w:space="0"/>
                    <w:left w:val="single" w:color="auto" w:sz="4" w:space="0"/>
                    <w:bottom w:val="single" w:color="auto" w:sz="4" w:space="0"/>
                    <w:right w:val="nil"/>
                  </w:tcBorders>
                  <w:vAlign w:val="center"/>
                </w:tcPr>
                <w:p>
                  <w:pPr>
                    <w:autoSpaceDE w:val="0"/>
                    <w:autoSpaceDN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1" w:hRule="atLeast"/>
                <w:jc w:val="center"/>
              </w:trPr>
              <w:tc>
                <w:tcPr>
                  <w:tcW w:w="544" w:type="pct"/>
                  <w:tcBorders>
                    <w:top w:val="single" w:color="auto" w:sz="4" w:space="0"/>
                    <w:left w:val="nil"/>
                    <w:bottom w:val="single" w:color="auto" w:sz="12" w:space="0"/>
                    <w:right w:val="single" w:color="auto" w:sz="4" w:space="0"/>
                  </w:tcBorders>
                  <w:vAlign w:val="center"/>
                </w:tcPr>
                <w:p>
                  <w:pPr>
                    <w:autoSpaceDE w:val="0"/>
                    <w:autoSpaceDN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严格重点行业环评审批</w:t>
                  </w:r>
                </w:p>
              </w:tc>
              <w:tc>
                <w:tcPr>
                  <w:tcW w:w="1845" w:type="pct"/>
                  <w:tcBorders>
                    <w:top w:val="single" w:color="auto" w:sz="4" w:space="0"/>
                    <w:left w:val="single" w:color="auto" w:sz="4" w:space="0"/>
                    <w:bottom w:val="single" w:color="auto" w:sz="12" w:space="0"/>
                    <w:right w:val="single" w:color="auto" w:sz="4" w:space="0"/>
                  </w:tcBorders>
                  <w:vAlign w:val="center"/>
                </w:tcPr>
                <w:p>
                  <w:pPr>
                    <w:autoSpaceDE w:val="0"/>
                    <w:autoSpaceDN w:val="0"/>
                    <w:snapToGrid w:val="0"/>
                    <w:ind w:firstLine="420" w:firstLineChars="200"/>
                    <w:rPr>
                      <w:rFonts w:hint="default" w:ascii="Times New Roman" w:hAnsi="Times New Roman" w:eastAsia="宋体" w:cs="Times New Roman"/>
                      <w:color w:val="auto"/>
                      <w:szCs w:val="21"/>
                    </w:rPr>
                  </w:pPr>
                  <w:r>
                    <w:rPr>
                      <w:rFonts w:hint="default" w:ascii="Times New Roman" w:hAnsi="Times New Roman" w:eastAsia="宋体" w:cs="Times New Roman"/>
                      <w:color w:val="auto"/>
                    </w:rPr>
                    <w:t>严格执行《江苏省长江经济带发展负面清单实施细则(试行)》，禁止在合规园区外新建、扩建钢铁、石化、化工、焦化少一。建材、有色等行业中的高污染项目。禁止新建燃媒自备电厂。</w:t>
                  </w:r>
                </w:p>
              </w:tc>
              <w:tc>
                <w:tcPr>
                  <w:tcW w:w="2130" w:type="pct"/>
                  <w:tcBorders>
                    <w:top w:val="single" w:color="auto" w:sz="4" w:space="0"/>
                    <w:left w:val="single" w:color="auto" w:sz="4" w:space="0"/>
                    <w:bottom w:val="single" w:color="auto" w:sz="12" w:space="0"/>
                    <w:right w:val="single" w:color="auto" w:sz="4" w:space="0"/>
                  </w:tcBorders>
                  <w:vAlign w:val="center"/>
                </w:tcPr>
                <w:p>
                  <w:pPr>
                    <w:autoSpaceDE w:val="0"/>
                    <w:autoSpaceDN w:val="0"/>
                    <w:snapToGrid w:val="0"/>
                    <w:ind w:firstLine="420" w:firstLineChars="200"/>
                    <w:rPr>
                      <w:rFonts w:hint="default" w:ascii="Times New Roman" w:hAnsi="Times New Roman" w:eastAsia="宋体" w:cs="Times New Roman"/>
                      <w:color w:val="auto"/>
                      <w:szCs w:val="21"/>
                    </w:rPr>
                  </w:pPr>
                  <w:r>
                    <w:rPr>
                      <w:rFonts w:hint="default" w:ascii="Times New Roman" w:hAnsi="Times New Roman" w:eastAsia="宋体" w:cs="Times New Roman"/>
                      <w:color w:val="auto"/>
                    </w:rPr>
                    <w:t>本项目不属于禁止类项目。</w:t>
                  </w:r>
                </w:p>
              </w:tc>
              <w:tc>
                <w:tcPr>
                  <w:tcW w:w="481" w:type="pct"/>
                  <w:tcBorders>
                    <w:top w:val="single" w:color="auto" w:sz="4" w:space="0"/>
                    <w:left w:val="single" w:color="auto" w:sz="4" w:space="0"/>
                    <w:bottom w:val="single" w:color="auto" w:sz="12" w:space="0"/>
                    <w:right w:val="nil"/>
                  </w:tcBorders>
                  <w:vAlign w:val="center"/>
                </w:tcPr>
                <w:p>
                  <w:pPr>
                    <w:autoSpaceDE w:val="0"/>
                    <w:autoSpaceDN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符合</w:t>
                  </w:r>
                </w:p>
              </w:tc>
            </w:tr>
          </w:tbl>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综上，本项目与</w:t>
            </w:r>
            <w:r>
              <w:rPr>
                <w:rFonts w:hint="default" w:ascii="Times New Roman" w:hAnsi="Times New Roman" w:eastAsia="宋体" w:cs="Times New Roman"/>
                <w:color w:val="auto"/>
                <w:sz w:val="24"/>
                <w:lang w:val="zh-CN"/>
              </w:rPr>
              <w:t>《省生态环境厅关于进一步加强建设项目环评审批和服务工作的指导意见》（苏环办〔2020〕225号）</w:t>
            </w:r>
            <w:r>
              <w:rPr>
                <w:rFonts w:hint="default" w:ascii="Times New Roman" w:hAnsi="Times New Roman" w:eastAsia="宋体" w:cs="Times New Roman"/>
                <w:color w:val="auto"/>
                <w:sz w:val="24"/>
              </w:rPr>
              <w:t>的要求相符。</w:t>
            </w:r>
          </w:p>
          <w:p>
            <w:pPr>
              <w:adjustRightInd w:val="0"/>
              <w:snapToGrid w:val="0"/>
              <w:spacing w:line="360" w:lineRule="auto"/>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lang w:val="en-US" w:eastAsia="zh-CN"/>
              </w:rPr>
              <w:t>4</w:t>
            </w:r>
            <w:r>
              <w:rPr>
                <w:rFonts w:hint="default" w:ascii="Times New Roman" w:hAnsi="Times New Roman" w:eastAsia="宋体" w:cs="Times New Roman"/>
                <w:b/>
                <w:bCs/>
                <w:color w:val="auto"/>
                <w:sz w:val="24"/>
              </w:rPr>
              <w:t>、《关于做好生态环境和应急管理部门联动工作的意见》（苏环办〔2020〕101号）要求分析</w:t>
            </w:r>
          </w:p>
          <w:p>
            <w:pPr>
              <w:pStyle w:val="2"/>
              <w:spacing w:after="0"/>
              <w:ind w:left="0" w:leftChars="0" w:right="0" w:rightChars="0"/>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表1-1</w:t>
            </w:r>
            <w:r>
              <w:rPr>
                <w:rFonts w:hint="eastAsia" w:ascii="Times New Roman" w:hAnsi="Times New Roman" w:cs="Times New Roman"/>
                <w:b/>
                <w:bCs/>
                <w:color w:val="auto"/>
                <w:sz w:val="24"/>
                <w:szCs w:val="24"/>
                <w:lang w:val="en-US" w:eastAsia="zh-CN"/>
              </w:rPr>
              <w:t>9</w:t>
            </w:r>
            <w:r>
              <w:rPr>
                <w:rFonts w:hint="default" w:ascii="Times New Roman" w:hAnsi="Times New Roman" w:eastAsia="宋体" w:cs="Times New Roman"/>
                <w:b/>
                <w:bCs/>
                <w:color w:val="auto"/>
                <w:sz w:val="24"/>
                <w:szCs w:val="24"/>
              </w:rPr>
              <w:t xml:space="preserve"> 与苏环办</w:t>
            </w:r>
            <w:r>
              <w:rPr>
                <w:rFonts w:hint="default" w:ascii="Times New Roman" w:hAnsi="Times New Roman" w:eastAsia="宋体" w:cs="Times New Roman"/>
                <w:b/>
                <w:bCs/>
                <w:color w:val="auto"/>
                <w:sz w:val="24"/>
              </w:rPr>
              <w:t>〔2020〕101号</w:t>
            </w:r>
            <w:r>
              <w:rPr>
                <w:rFonts w:hint="default" w:ascii="Times New Roman" w:hAnsi="Times New Roman" w:eastAsia="宋体" w:cs="Times New Roman"/>
                <w:b/>
                <w:bCs/>
                <w:color w:val="auto"/>
                <w:sz w:val="24"/>
                <w:szCs w:val="24"/>
              </w:rPr>
              <w:t>的相符性分析</w:t>
            </w:r>
          </w:p>
          <w:tbl>
            <w:tblPr>
              <w:tblStyle w:val="23"/>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602"/>
              <w:gridCol w:w="153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trPr>
              <w:tc>
                <w:tcPr>
                  <w:tcW w:w="4059" w:type="pct"/>
                  <w:vAlign w:val="center"/>
                </w:tcPr>
                <w:p>
                  <w:pPr>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要求</w:t>
                  </w:r>
                </w:p>
              </w:tc>
              <w:tc>
                <w:tcPr>
                  <w:tcW w:w="941" w:type="pct"/>
                  <w:vAlign w:val="center"/>
                </w:tcPr>
                <w:p>
                  <w:pPr>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建议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710" w:hRule="atLeast"/>
              </w:trPr>
              <w:tc>
                <w:tcPr>
                  <w:tcW w:w="4059" w:type="pct"/>
                  <w:vAlign w:val="center"/>
                </w:tcPr>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二、建立危险废物监管联动机制</w:t>
                  </w:r>
                </w:p>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企业法定代表人和实际控制人是企业废弃危险化学品等危险废物安全环保全过程管理的第一责任人。企业要切实履行好从危险废物产生、收集、贮存、运输、利用、处置等环节各项环保和安全职责；要制定危险废物管理计划并报属地生态环境部门备案。申请备案时，对废弃危险化学品、物理危险性尚不确定、根据相关文件无法认定达到稳定化要求的，要提供有资质单位出具的化学品物理危险性报告及其他证明材料，认定达到稳定化要求。</w:t>
                  </w:r>
                </w:p>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生态环境部门依法对危险废物的收集、贮存、处置等进行监督管理。收到企业废弃危险化学品等危险废物管理计划后，对符合备案要求的，纳入危险废物管理。生态环境部门要将危险废物管理计划备案情况及时通报应急管理部门。</w:t>
                  </w:r>
                </w:p>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应急管理部门要督促企业加强安全生产工作，加强危险化学品企业中间产品、最终产品以及拟废弃危险化学品的安全管理。生态环境和应急管理部门对于被列入危险废物管理的上述物料，要共同加强安全监管。生态环境部门对日常环境监管过程中发现的安全隐患线索，及时移送同级应急管理部门；应急管理部门接到生态环境部门移送安全隐患线索的函后，应组织现场核查，依法依规查处，并督促企业将隐患整改到位。对于涉及安全和环保标准要求存在不一致的，要及时会商，帮助企业解决。</w:t>
                  </w:r>
                </w:p>
              </w:tc>
              <w:tc>
                <w:tcPr>
                  <w:tcW w:w="941" w:type="pct"/>
                  <w:vAlign w:val="center"/>
                </w:tcPr>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本项目建成后，制定危险废物管理计划并到报属地生态环境部门备案，完善企业危废管理制度。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4059" w:type="pct"/>
                  <w:vAlign w:val="center"/>
                </w:tcPr>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三、建立环境治理设施监管联动机制</w:t>
                  </w:r>
                </w:p>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企业是各类环境治理设施建设、运行、维护、拆除的责任主体。企业要对脱硫脱硝、煤改气、挥发性有机物回收、污水处理、粉尘治理、RTO焚烧炉等六类环境治理设施开展安全风险辨识管控，要健全内部污染防治设施稳定运行和管理责任制度，严格依据标准规范建设环境治理设施，确保环境治理设施安全、稳定、有效运行。</w:t>
                  </w:r>
                </w:p>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生态环境部门在上述六类环境治理设施的环评审批过程中，要督促企业开展安全风险辨识，并将已审批的环境治理设施项目及时通报应急管理部门。生态环境部门在日常环境监管中，将发现的安全隐患线索及时移送应急管理部门。</w:t>
                  </w:r>
                </w:p>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应急管理部门应当将上述六类环境治理设施纳入安全监管范围，推进企业安全生产标准化体系建设。对生态环境部门发现移送的安全隐患线索进行核查，督促企业进行整改，消除安全隐患。</w:t>
                  </w:r>
                </w:p>
              </w:tc>
              <w:tc>
                <w:tcPr>
                  <w:tcW w:w="941" w:type="pct"/>
                  <w:vAlign w:val="center"/>
                </w:tcPr>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本项目不涉及。</w:t>
                  </w:r>
                </w:p>
              </w:tc>
            </w:tr>
          </w:tbl>
          <w:p>
            <w:pPr>
              <w:autoSpaceDE w:val="0"/>
              <w:autoSpaceDN w:val="0"/>
              <w:snapToGrid w:val="0"/>
              <w:spacing w:line="360" w:lineRule="auto"/>
              <w:ind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综上，本项目与《关于做好生态环境和应急管理部门联动工作的意见》（苏环办〔2020〕101号）的要求相符。</w:t>
            </w:r>
          </w:p>
          <w:p>
            <w:pPr>
              <w:autoSpaceDE w:val="0"/>
              <w:autoSpaceDN w:val="0"/>
              <w:snapToGrid w:val="0"/>
              <w:spacing w:line="360" w:lineRule="auto"/>
              <w:ind w:firstLine="480" w:firstLineChars="200"/>
              <w:jc w:val="left"/>
              <w:rPr>
                <w:rFonts w:hint="default" w:ascii="Times New Roman" w:hAnsi="Times New Roman" w:eastAsia="宋体" w:cs="Times New Roman"/>
                <w:color w:val="auto"/>
                <w:sz w:val="24"/>
              </w:rPr>
            </w:pPr>
          </w:p>
          <w:p>
            <w:pPr>
              <w:autoSpaceDE w:val="0"/>
              <w:autoSpaceDN w:val="0"/>
              <w:snapToGrid w:val="0"/>
              <w:spacing w:line="360" w:lineRule="auto"/>
              <w:ind w:firstLine="480" w:firstLineChars="200"/>
              <w:jc w:val="left"/>
              <w:rPr>
                <w:rFonts w:hint="default" w:ascii="Times New Roman" w:hAnsi="Times New Roman" w:eastAsia="宋体" w:cs="Times New Roman"/>
                <w:color w:val="auto"/>
                <w:sz w:val="24"/>
              </w:rPr>
            </w:pPr>
          </w:p>
          <w:p>
            <w:pPr>
              <w:autoSpaceDE w:val="0"/>
              <w:autoSpaceDN w:val="0"/>
              <w:snapToGrid w:val="0"/>
              <w:spacing w:line="360" w:lineRule="auto"/>
              <w:ind w:firstLine="480" w:firstLineChars="200"/>
              <w:jc w:val="left"/>
              <w:rPr>
                <w:rFonts w:hint="default" w:ascii="Times New Roman" w:hAnsi="Times New Roman" w:eastAsia="宋体" w:cs="Times New Roman"/>
                <w:color w:val="auto"/>
                <w:sz w:val="24"/>
              </w:rPr>
            </w:pPr>
          </w:p>
          <w:p>
            <w:pPr>
              <w:autoSpaceDE w:val="0"/>
              <w:autoSpaceDN w:val="0"/>
              <w:snapToGrid w:val="0"/>
              <w:spacing w:line="360" w:lineRule="auto"/>
              <w:ind w:firstLine="480" w:firstLineChars="200"/>
              <w:jc w:val="left"/>
              <w:rPr>
                <w:rFonts w:hint="default" w:ascii="Times New Roman" w:hAnsi="Times New Roman" w:eastAsia="宋体" w:cs="Times New Roman"/>
                <w:color w:val="auto"/>
                <w:sz w:val="24"/>
              </w:rPr>
            </w:pPr>
          </w:p>
          <w:p>
            <w:pPr>
              <w:autoSpaceDE w:val="0"/>
              <w:autoSpaceDN w:val="0"/>
              <w:snapToGrid w:val="0"/>
              <w:spacing w:line="360" w:lineRule="auto"/>
              <w:ind w:firstLine="480" w:firstLineChars="200"/>
              <w:jc w:val="left"/>
              <w:rPr>
                <w:rFonts w:hint="default" w:ascii="Times New Roman" w:hAnsi="Times New Roman" w:eastAsia="宋体" w:cs="Times New Roman"/>
                <w:color w:val="auto"/>
                <w:sz w:val="24"/>
              </w:rPr>
            </w:pPr>
          </w:p>
          <w:p>
            <w:pPr>
              <w:autoSpaceDE w:val="0"/>
              <w:autoSpaceDN w:val="0"/>
              <w:snapToGrid w:val="0"/>
              <w:spacing w:line="360" w:lineRule="auto"/>
              <w:ind w:firstLine="480" w:firstLineChars="200"/>
              <w:jc w:val="left"/>
              <w:rPr>
                <w:rFonts w:hint="default" w:ascii="Times New Roman" w:hAnsi="Times New Roman" w:eastAsia="宋体" w:cs="Times New Roman"/>
                <w:color w:val="auto"/>
                <w:sz w:val="24"/>
              </w:rPr>
            </w:pPr>
          </w:p>
          <w:p>
            <w:pPr>
              <w:autoSpaceDE w:val="0"/>
              <w:autoSpaceDN w:val="0"/>
              <w:snapToGrid w:val="0"/>
              <w:spacing w:line="360" w:lineRule="auto"/>
              <w:ind w:firstLine="480" w:firstLineChars="200"/>
              <w:jc w:val="left"/>
              <w:rPr>
                <w:rFonts w:hint="default" w:ascii="Times New Roman" w:hAnsi="Times New Roman" w:eastAsia="宋体" w:cs="Times New Roman"/>
                <w:color w:val="auto"/>
                <w:sz w:val="24"/>
              </w:rPr>
            </w:pPr>
          </w:p>
          <w:p>
            <w:pPr>
              <w:autoSpaceDE w:val="0"/>
              <w:autoSpaceDN w:val="0"/>
              <w:snapToGrid w:val="0"/>
              <w:spacing w:line="360" w:lineRule="auto"/>
              <w:ind w:firstLine="480" w:firstLineChars="200"/>
              <w:jc w:val="left"/>
              <w:rPr>
                <w:rFonts w:hint="default" w:ascii="Times New Roman" w:hAnsi="Times New Roman" w:eastAsia="宋体" w:cs="Times New Roman"/>
                <w:color w:val="auto"/>
                <w:sz w:val="24"/>
              </w:rPr>
            </w:pPr>
          </w:p>
          <w:p>
            <w:pPr>
              <w:autoSpaceDE w:val="0"/>
              <w:autoSpaceDN w:val="0"/>
              <w:snapToGrid w:val="0"/>
              <w:spacing w:line="360" w:lineRule="auto"/>
              <w:ind w:firstLine="480" w:firstLineChars="200"/>
              <w:jc w:val="left"/>
              <w:rPr>
                <w:rFonts w:hint="default" w:ascii="Times New Roman" w:hAnsi="Times New Roman" w:eastAsia="宋体" w:cs="Times New Roman"/>
                <w:color w:val="auto"/>
                <w:sz w:val="24"/>
              </w:rPr>
            </w:pPr>
          </w:p>
          <w:p>
            <w:pPr>
              <w:autoSpaceDE w:val="0"/>
              <w:autoSpaceDN w:val="0"/>
              <w:snapToGrid w:val="0"/>
              <w:spacing w:line="360" w:lineRule="auto"/>
              <w:ind w:firstLine="480" w:firstLineChars="200"/>
              <w:jc w:val="left"/>
              <w:rPr>
                <w:rFonts w:hint="default" w:ascii="Times New Roman" w:hAnsi="Times New Roman" w:eastAsia="宋体" w:cs="Times New Roman"/>
                <w:color w:val="auto"/>
                <w:sz w:val="24"/>
              </w:rPr>
            </w:pPr>
          </w:p>
          <w:p>
            <w:pPr>
              <w:autoSpaceDE w:val="0"/>
              <w:autoSpaceDN w:val="0"/>
              <w:snapToGrid w:val="0"/>
              <w:spacing w:line="360" w:lineRule="auto"/>
              <w:ind w:firstLine="480" w:firstLineChars="200"/>
              <w:jc w:val="left"/>
              <w:rPr>
                <w:rFonts w:hint="default" w:ascii="Times New Roman" w:hAnsi="Times New Roman" w:eastAsia="宋体" w:cs="Times New Roman"/>
                <w:color w:val="auto"/>
                <w:sz w:val="24"/>
              </w:rPr>
            </w:pPr>
          </w:p>
          <w:p>
            <w:pPr>
              <w:autoSpaceDE w:val="0"/>
              <w:autoSpaceDN w:val="0"/>
              <w:snapToGrid w:val="0"/>
              <w:spacing w:line="360" w:lineRule="auto"/>
              <w:ind w:firstLine="480" w:firstLineChars="200"/>
              <w:jc w:val="left"/>
              <w:rPr>
                <w:rFonts w:hint="default" w:ascii="Times New Roman" w:hAnsi="Times New Roman" w:eastAsia="宋体" w:cs="Times New Roman"/>
                <w:color w:val="auto"/>
                <w:sz w:val="24"/>
              </w:rPr>
            </w:pPr>
          </w:p>
          <w:p>
            <w:pPr>
              <w:autoSpaceDE w:val="0"/>
              <w:autoSpaceDN w:val="0"/>
              <w:snapToGrid w:val="0"/>
              <w:spacing w:line="360" w:lineRule="auto"/>
              <w:ind w:firstLine="480" w:firstLineChars="200"/>
              <w:jc w:val="left"/>
              <w:rPr>
                <w:rFonts w:hint="default" w:ascii="Times New Roman" w:hAnsi="Times New Roman" w:eastAsia="宋体" w:cs="Times New Roman"/>
                <w:color w:val="auto"/>
                <w:sz w:val="24"/>
              </w:rPr>
            </w:pPr>
          </w:p>
          <w:p>
            <w:pPr>
              <w:autoSpaceDE w:val="0"/>
              <w:autoSpaceDN w:val="0"/>
              <w:snapToGrid w:val="0"/>
              <w:spacing w:line="360" w:lineRule="auto"/>
              <w:ind w:firstLine="480" w:firstLineChars="200"/>
              <w:jc w:val="left"/>
              <w:rPr>
                <w:rFonts w:hint="default" w:ascii="Times New Roman" w:hAnsi="Times New Roman" w:eastAsia="宋体" w:cs="Times New Roman"/>
                <w:color w:val="auto"/>
                <w:sz w:val="24"/>
              </w:rPr>
            </w:pPr>
          </w:p>
          <w:p>
            <w:pPr>
              <w:autoSpaceDE w:val="0"/>
              <w:autoSpaceDN w:val="0"/>
              <w:snapToGrid w:val="0"/>
              <w:spacing w:line="360" w:lineRule="auto"/>
              <w:ind w:firstLine="480" w:firstLineChars="200"/>
              <w:jc w:val="left"/>
              <w:rPr>
                <w:rFonts w:hint="default" w:ascii="Times New Roman" w:hAnsi="Times New Roman" w:eastAsia="宋体" w:cs="Times New Roman"/>
                <w:color w:val="auto"/>
                <w:sz w:val="24"/>
              </w:rPr>
            </w:pPr>
          </w:p>
          <w:p>
            <w:pPr>
              <w:autoSpaceDE w:val="0"/>
              <w:autoSpaceDN w:val="0"/>
              <w:snapToGrid w:val="0"/>
              <w:spacing w:line="360" w:lineRule="auto"/>
              <w:ind w:firstLine="480" w:firstLineChars="200"/>
              <w:jc w:val="left"/>
              <w:rPr>
                <w:rFonts w:hint="default" w:ascii="Times New Roman" w:hAnsi="Times New Roman" w:eastAsia="宋体" w:cs="Times New Roman"/>
                <w:color w:val="auto"/>
                <w:sz w:val="24"/>
              </w:rPr>
            </w:pPr>
          </w:p>
          <w:p>
            <w:pPr>
              <w:autoSpaceDE w:val="0"/>
              <w:autoSpaceDN w:val="0"/>
              <w:snapToGrid w:val="0"/>
              <w:spacing w:line="360" w:lineRule="auto"/>
              <w:ind w:firstLine="480" w:firstLineChars="200"/>
              <w:jc w:val="left"/>
              <w:rPr>
                <w:rFonts w:hint="eastAsia" w:cs="Times New Roman"/>
                <w:color w:val="auto"/>
                <w:sz w:val="24"/>
                <w:lang w:val="en-US" w:eastAsia="zh-CN"/>
              </w:rPr>
            </w:pPr>
          </w:p>
          <w:p>
            <w:pPr>
              <w:autoSpaceDE w:val="0"/>
              <w:autoSpaceDN w:val="0"/>
              <w:snapToGrid w:val="0"/>
              <w:spacing w:line="360" w:lineRule="auto"/>
              <w:ind w:firstLine="480" w:firstLineChars="200"/>
              <w:jc w:val="left"/>
              <w:rPr>
                <w:rFonts w:hint="eastAsia" w:cs="Times New Roman"/>
                <w:color w:val="auto"/>
                <w:sz w:val="24"/>
                <w:lang w:val="en-US" w:eastAsia="zh-CN"/>
              </w:rPr>
            </w:pPr>
          </w:p>
          <w:p>
            <w:pPr>
              <w:autoSpaceDE w:val="0"/>
              <w:autoSpaceDN w:val="0"/>
              <w:snapToGrid w:val="0"/>
              <w:spacing w:line="360" w:lineRule="auto"/>
              <w:ind w:firstLine="480" w:firstLineChars="200"/>
              <w:jc w:val="left"/>
              <w:rPr>
                <w:rFonts w:hint="default" w:ascii="Times New Roman" w:hAnsi="Times New Roman" w:eastAsia="宋体" w:cs="Times New Roman"/>
                <w:color w:val="auto"/>
                <w:sz w:val="24"/>
                <w:lang w:val="en-US" w:eastAsia="zh-CN"/>
              </w:rPr>
            </w:pPr>
          </w:p>
        </w:tc>
      </w:tr>
    </w:tbl>
    <w:p>
      <w:pPr>
        <w:spacing w:line="360" w:lineRule="auto"/>
        <w:outlineLvl w:val="0"/>
        <w:rPr>
          <w:rFonts w:hint="default" w:ascii="Times New Roman" w:hAnsi="Times New Roman" w:eastAsia="宋体" w:cs="Times New Roman"/>
          <w:color w:val="auto"/>
          <w:sz w:val="30"/>
        </w:rPr>
        <w:sectPr>
          <w:footerReference r:id="rId8" w:type="first"/>
          <w:footerReference r:id="rId7" w:type="default"/>
          <w:pgSz w:w="11906" w:h="16838"/>
          <w:pgMar w:top="1701" w:right="1531" w:bottom="1701" w:left="1531" w:header="851" w:footer="1077" w:gutter="0"/>
          <w:pgBorders>
            <w:top w:val="none" w:sz="0" w:space="0"/>
            <w:left w:val="none" w:sz="0" w:space="0"/>
            <w:bottom w:val="none" w:sz="0" w:space="0"/>
            <w:right w:val="none" w:sz="0" w:space="0"/>
          </w:pgBorders>
          <w:pgNumType w:start="1"/>
          <w:cols w:space="720" w:num="1"/>
          <w:docGrid w:linePitch="312" w:charSpace="0"/>
        </w:sectPr>
      </w:pPr>
    </w:p>
    <w:p>
      <w:pPr>
        <w:pStyle w:val="18"/>
        <w:spacing w:before="0" w:beforeAutospacing="0" w:after="0" w:afterAutospacing="0"/>
        <w:jc w:val="center"/>
        <w:outlineLvl w:val="0"/>
        <w:rPr>
          <w:rFonts w:hint="default" w:ascii="Times New Roman" w:hAnsi="Times New Roman" w:eastAsia="宋体" w:cs="Times New Roman"/>
          <w:snapToGrid w:val="0"/>
          <w:color w:val="auto"/>
          <w:sz w:val="30"/>
          <w:szCs w:val="30"/>
        </w:rPr>
      </w:pPr>
      <w:r>
        <w:rPr>
          <w:rFonts w:hint="default" w:ascii="Times New Roman" w:hAnsi="Times New Roman" w:eastAsia="宋体" w:cs="Times New Roman"/>
          <w:snapToGrid w:val="0"/>
          <w:color w:val="auto"/>
          <w:sz w:val="30"/>
          <w:szCs w:val="30"/>
        </w:rPr>
        <w:t>二、建设项目工程分析</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1"/>
        <w:gridCol w:w="86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54" w:hRule="atLeast"/>
          <w:jc w:val="center"/>
        </w:trPr>
        <w:tc>
          <w:tcPr>
            <w:tcW w:w="392" w:type="dxa"/>
            <w:vAlign w:val="center"/>
          </w:tcPr>
          <w:p>
            <w:pPr>
              <w:pStyle w:val="18"/>
              <w:adjustRightInd w:val="0"/>
              <w:snapToGrid w:val="0"/>
              <w:spacing w:before="0" w:beforeAutospacing="0" w:after="0" w:afterAutospacing="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建设内容</w:t>
            </w:r>
          </w:p>
        </w:tc>
        <w:tc>
          <w:tcPr>
            <w:tcW w:w="8668" w:type="dxa"/>
          </w:tcPr>
          <w:p>
            <w:pPr>
              <w:snapToGrid w:val="0"/>
              <w:spacing w:line="360" w:lineRule="auto"/>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1、项目由来</w:t>
            </w:r>
          </w:p>
          <w:p>
            <w:pPr>
              <w:snapToGrid w:val="0"/>
              <w:spacing w:line="360" w:lineRule="auto"/>
              <w:ind w:firstLine="570"/>
              <w:rPr>
                <w:rFonts w:hint="default" w:ascii="Times New Roman" w:hAnsi="Times New Roman" w:eastAsia="宋体" w:cs="Times New Roman"/>
                <w:color w:val="auto"/>
                <w:sz w:val="24"/>
                <w:lang w:eastAsia="zh-CN"/>
              </w:rPr>
            </w:pPr>
            <w:r>
              <w:rPr>
                <w:rFonts w:hint="default" w:ascii="Times New Roman" w:hAnsi="Times New Roman" w:eastAsia="宋体" w:cs="Times New Roman"/>
                <w:color w:val="auto"/>
                <w:sz w:val="24"/>
                <w:lang w:eastAsia="zh-CN"/>
              </w:rPr>
              <w:t>常州市共创商贸有限公司</w:t>
            </w:r>
            <w:r>
              <w:rPr>
                <w:rFonts w:hint="default" w:ascii="Times New Roman" w:hAnsi="Times New Roman" w:eastAsia="宋体" w:cs="Times New Roman"/>
                <w:color w:val="auto"/>
                <w:sz w:val="24"/>
              </w:rPr>
              <w:t>成立于200</w:t>
            </w:r>
            <w:r>
              <w:rPr>
                <w:rFonts w:hint="default" w:ascii="Times New Roman" w:hAnsi="Times New Roman" w:eastAsia="宋体" w:cs="Times New Roman"/>
                <w:color w:val="auto"/>
                <w:sz w:val="24"/>
                <w:lang w:val="en-US" w:eastAsia="zh-CN"/>
              </w:rPr>
              <w:t>3</w:t>
            </w:r>
            <w:r>
              <w:rPr>
                <w:rFonts w:hint="default" w:ascii="Times New Roman" w:hAnsi="Times New Roman" w:eastAsia="宋体" w:cs="Times New Roman"/>
                <w:color w:val="auto"/>
                <w:sz w:val="24"/>
              </w:rPr>
              <w:t>年6月</w:t>
            </w:r>
            <w:r>
              <w:rPr>
                <w:rFonts w:hint="default" w:ascii="Times New Roman" w:hAnsi="Times New Roman" w:eastAsia="宋体" w:cs="Times New Roman"/>
                <w:color w:val="auto"/>
                <w:sz w:val="24"/>
                <w:lang w:val="en-US" w:eastAsia="zh-CN"/>
              </w:rPr>
              <w:t>24</w:t>
            </w:r>
            <w:r>
              <w:rPr>
                <w:rFonts w:hint="default" w:ascii="Times New Roman" w:hAnsi="Times New Roman" w:eastAsia="宋体" w:cs="Times New Roman"/>
                <w:color w:val="auto"/>
                <w:sz w:val="24"/>
              </w:rPr>
              <w:t>日，营业范围：</w:t>
            </w:r>
            <w:r>
              <w:rPr>
                <w:rFonts w:hint="default" w:ascii="Times New Roman" w:hAnsi="Times New Roman" w:eastAsia="宋体" w:cs="Times New Roman"/>
                <w:color w:val="auto"/>
                <w:sz w:val="24"/>
                <w:lang w:eastAsia="zh-CN"/>
              </w:rPr>
              <w:t>化工产品（品种按危险化学品经营许可证经营，经营场所不储存）、预包装食品销售。（商品类别限《食品经营许可证》核定范围，食盐限零售）。纯碱、无水硫酸钠、颜料（品种按安全生产审查意见书经营）、橡塑制品、金属材料、农机配件、焦碳、生铁销售；工业盐、软水盐零售；柴油机消声器、机械零部件、玻璃钢制品制造，加工；道路普通货物运输，仓储服务。（依法须经批准的项目，经相关部门批准后方可开展经营活动） 一般项目：产业用纺织制成品制造；产业用纺织制成品销售（除依法须经批准的项目外，凭营业执照依法自主开展经营活动）</w:t>
            </w:r>
          </w:p>
          <w:p>
            <w:pPr>
              <w:snapToGrid w:val="0"/>
              <w:spacing w:line="360" w:lineRule="auto"/>
              <w:ind w:firstLine="570"/>
              <w:rPr>
                <w:rFonts w:hint="default" w:cs="Times New Roman"/>
                <w:color w:val="auto"/>
                <w:sz w:val="24"/>
                <w:lang w:val="en-US" w:eastAsia="zh-CN"/>
              </w:rPr>
            </w:pPr>
            <w:r>
              <w:rPr>
                <w:rFonts w:hint="eastAsia" w:cs="Times New Roman"/>
                <w:color w:val="auto"/>
                <w:sz w:val="24"/>
                <w:lang w:val="en-US" w:eastAsia="zh-CN"/>
              </w:rPr>
              <w:t>企业成立至今共申报过4次“建设项目环境影响申报（登记表）”，并均取得</w:t>
            </w:r>
            <w:r>
              <w:rPr>
                <w:rFonts w:hint="default" w:ascii="Times New Roman" w:hAnsi="Times New Roman" w:eastAsia="宋体" w:cs="Times New Roman"/>
                <w:color w:val="auto"/>
                <w:sz w:val="24"/>
                <w:lang w:eastAsia="zh-CN"/>
              </w:rPr>
              <w:t>常州市武进区环境保护局</w:t>
            </w:r>
            <w:r>
              <w:rPr>
                <w:rFonts w:hint="eastAsia" w:cs="Times New Roman"/>
                <w:color w:val="auto"/>
                <w:sz w:val="24"/>
                <w:lang w:val="en-US" w:eastAsia="zh-CN"/>
              </w:rPr>
              <w:t>的环评批复，其中</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val="en-US" w:eastAsia="zh-CN"/>
              </w:rPr>
              <w:t>常色粉</w:t>
            </w:r>
            <w:r>
              <w:rPr>
                <w:rFonts w:hint="default" w:ascii="Times New Roman" w:hAnsi="Times New Roman" w:eastAsia="宋体" w:cs="Times New Roman"/>
                <w:color w:val="auto"/>
                <w:sz w:val="24"/>
                <w:lang w:eastAsia="zh-CN"/>
              </w:rPr>
              <w:t>加工项目”</w:t>
            </w:r>
            <w:r>
              <w:rPr>
                <w:rFonts w:hint="eastAsia" w:cs="Times New Roman"/>
                <w:color w:val="auto"/>
                <w:sz w:val="24"/>
                <w:lang w:eastAsia="zh-CN"/>
              </w:rPr>
              <w:t>、</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val="en-US" w:eastAsia="zh-CN"/>
              </w:rPr>
              <w:t>促染剂</w:t>
            </w:r>
            <w:r>
              <w:rPr>
                <w:rFonts w:hint="default" w:ascii="Times New Roman" w:hAnsi="Times New Roman" w:eastAsia="宋体" w:cs="Times New Roman"/>
                <w:color w:val="auto"/>
                <w:sz w:val="24"/>
                <w:lang w:eastAsia="zh-CN"/>
              </w:rPr>
              <w:t>加工项目”</w:t>
            </w:r>
            <w:r>
              <w:rPr>
                <w:rFonts w:hint="eastAsia" w:cs="Times New Roman"/>
                <w:color w:val="auto"/>
                <w:sz w:val="24"/>
                <w:lang w:val="en-US" w:eastAsia="zh-CN"/>
              </w:rPr>
              <w:t>和</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val="en-US" w:eastAsia="zh-CN"/>
              </w:rPr>
              <w:t>玻璃钢制品</w:t>
            </w:r>
            <w:r>
              <w:rPr>
                <w:rFonts w:hint="default" w:ascii="Times New Roman" w:hAnsi="Times New Roman" w:eastAsia="宋体" w:cs="Times New Roman"/>
                <w:color w:val="auto"/>
                <w:sz w:val="24"/>
                <w:lang w:eastAsia="zh-CN"/>
              </w:rPr>
              <w:t>加工项目”</w:t>
            </w:r>
            <w:r>
              <w:rPr>
                <w:rFonts w:hint="eastAsia" w:cs="Times New Roman"/>
                <w:color w:val="auto"/>
                <w:sz w:val="24"/>
                <w:lang w:val="en-US" w:eastAsia="zh-CN"/>
              </w:rPr>
              <w:t>目前已经停产，企业承诺不再建设；</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val="en-US" w:eastAsia="zh-CN"/>
              </w:rPr>
              <w:t>柴油机消声器、机械零部件制造加工</w:t>
            </w:r>
            <w:r>
              <w:rPr>
                <w:rFonts w:hint="eastAsia" w:cs="Times New Roman"/>
                <w:color w:val="auto"/>
                <w:sz w:val="24"/>
                <w:lang w:val="en-US" w:eastAsia="zh-CN"/>
              </w:rPr>
              <w:t>项目</w:t>
            </w:r>
            <w:r>
              <w:rPr>
                <w:rFonts w:hint="default" w:ascii="Times New Roman" w:hAnsi="Times New Roman" w:eastAsia="宋体" w:cs="Times New Roman"/>
                <w:color w:val="auto"/>
                <w:sz w:val="24"/>
                <w:lang w:eastAsia="zh-CN"/>
              </w:rPr>
              <w:t>”</w:t>
            </w:r>
            <w:r>
              <w:rPr>
                <w:rFonts w:hint="eastAsia" w:cs="Times New Roman"/>
                <w:color w:val="auto"/>
                <w:sz w:val="24"/>
                <w:lang w:val="en-US" w:eastAsia="zh-CN"/>
              </w:rPr>
              <w:t>目前仍在正常生产。</w:t>
            </w:r>
          </w:p>
          <w:p>
            <w:pPr>
              <w:snapToGrid w:val="0"/>
              <w:spacing w:line="360" w:lineRule="auto"/>
              <w:ind w:firstLine="57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企业于202</w:t>
            </w:r>
            <w:r>
              <w:rPr>
                <w:rFonts w:hint="default" w:ascii="Times New Roman" w:hAnsi="Times New Roman" w:eastAsia="宋体" w:cs="Times New Roman"/>
                <w:color w:val="auto"/>
                <w:sz w:val="24"/>
                <w:lang w:val="en-US" w:eastAsia="zh-CN"/>
              </w:rPr>
              <w:t>0</w:t>
            </w:r>
            <w:r>
              <w:rPr>
                <w:rFonts w:hint="default" w:ascii="Times New Roman" w:hAnsi="Times New Roman" w:eastAsia="宋体" w:cs="Times New Roman"/>
                <w:color w:val="auto"/>
                <w:sz w:val="24"/>
              </w:rPr>
              <w:t>年1月13日取得了固定污染源排污登记回执，证书编号：91320412750516997W001X。</w:t>
            </w:r>
          </w:p>
          <w:p>
            <w:pPr>
              <w:snapToGrid w:val="0"/>
              <w:spacing w:line="360" w:lineRule="auto"/>
              <w:ind w:firstLine="480" w:firstLineChars="200"/>
              <w:rPr>
                <w:rFonts w:hint="default" w:ascii="Times New Roman" w:hAnsi="Times New Roman" w:eastAsia="宋体" w:cs="Times New Roman"/>
                <w:bCs/>
                <w:color w:val="auto"/>
                <w:sz w:val="24"/>
                <w:szCs w:val="22"/>
              </w:rPr>
            </w:pPr>
            <w:r>
              <w:rPr>
                <w:rFonts w:hint="default" w:ascii="Times New Roman" w:hAnsi="Times New Roman" w:eastAsia="宋体" w:cs="Times New Roman"/>
                <w:color w:val="auto"/>
                <w:sz w:val="24"/>
              </w:rPr>
              <w:t>为了进一步扩大公司生产规模和满足市场需求，</w:t>
            </w:r>
            <w:r>
              <w:rPr>
                <w:rFonts w:hint="default" w:ascii="Times New Roman" w:hAnsi="Times New Roman" w:eastAsia="宋体" w:cs="Times New Roman"/>
                <w:color w:val="auto"/>
                <w:sz w:val="24"/>
                <w:lang w:eastAsia="zh-CN"/>
              </w:rPr>
              <w:t>常州市共创商贸有限公司</w:t>
            </w:r>
            <w:r>
              <w:rPr>
                <w:rFonts w:hint="default" w:ascii="Times New Roman" w:hAnsi="Times New Roman" w:eastAsia="宋体" w:cs="Times New Roman"/>
                <w:color w:val="auto"/>
                <w:sz w:val="24"/>
              </w:rPr>
              <w:t>投资</w:t>
            </w:r>
            <w:r>
              <w:rPr>
                <w:rFonts w:hint="default" w:ascii="Times New Roman" w:hAnsi="Times New Roman" w:eastAsia="宋体" w:cs="Times New Roman"/>
                <w:color w:val="auto"/>
                <w:sz w:val="24"/>
                <w:lang w:val="en-US" w:eastAsia="zh-CN"/>
              </w:rPr>
              <w:t>500</w:t>
            </w:r>
            <w:r>
              <w:rPr>
                <w:rFonts w:hint="default" w:ascii="Times New Roman" w:hAnsi="Times New Roman" w:eastAsia="宋体" w:cs="Times New Roman"/>
                <w:color w:val="auto"/>
                <w:sz w:val="24"/>
              </w:rPr>
              <w:t>万元，在原有厂区内利用现有厂房</w:t>
            </w:r>
            <w:r>
              <w:rPr>
                <w:rFonts w:hint="default" w:ascii="Times New Roman" w:hAnsi="Times New Roman" w:eastAsia="宋体" w:cs="Times New Roman"/>
                <w:color w:val="auto"/>
                <w:sz w:val="24"/>
                <w:lang w:val="en-US" w:eastAsia="zh-CN"/>
              </w:rPr>
              <w:t>1008</w:t>
            </w:r>
            <w:r>
              <w:rPr>
                <w:rFonts w:hint="default" w:ascii="Times New Roman" w:hAnsi="Times New Roman" w:eastAsia="宋体" w:cs="Times New Roman"/>
                <w:color w:val="auto"/>
                <w:sz w:val="24"/>
              </w:rPr>
              <w:t>平方米，购置</w:t>
            </w:r>
            <w:r>
              <w:rPr>
                <w:rFonts w:hint="default" w:ascii="Times New Roman" w:hAnsi="Times New Roman" w:eastAsia="宋体" w:cs="Times New Roman"/>
                <w:color w:val="auto"/>
                <w:sz w:val="24"/>
                <w:lang w:val="en-US" w:eastAsia="zh-CN"/>
              </w:rPr>
              <w:t>电泳涂装线</w:t>
            </w:r>
            <w:r>
              <w:rPr>
                <w:rFonts w:hint="default" w:ascii="Times New Roman" w:hAnsi="Times New Roman" w:eastAsia="宋体" w:cs="Times New Roman"/>
                <w:bCs/>
                <w:color w:val="auto"/>
                <w:sz w:val="24"/>
                <w:szCs w:val="22"/>
              </w:rPr>
              <w:t>、</w:t>
            </w:r>
            <w:r>
              <w:rPr>
                <w:rFonts w:hint="default" w:ascii="Times New Roman" w:hAnsi="Times New Roman" w:eastAsia="宋体" w:cs="Times New Roman"/>
                <w:bCs/>
                <w:color w:val="auto"/>
                <w:sz w:val="24"/>
                <w:szCs w:val="22"/>
                <w:lang w:val="en-US" w:eastAsia="zh-CN"/>
              </w:rPr>
              <w:t>超滤系统</w:t>
            </w:r>
            <w:r>
              <w:rPr>
                <w:rFonts w:hint="default" w:ascii="Times New Roman" w:hAnsi="Times New Roman" w:eastAsia="宋体" w:cs="Times New Roman"/>
                <w:bCs/>
                <w:color w:val="auto"/>
                <w:sz w:val="24"/>
                <w:szCs w:val="22"/>
              </w:rPr>
              <w:t>、</w:t>
            </w:r>
            <w:r>
              <w:rPr>
                <w:rFonts w:hint="default" w:ascii="Times New Roman" w:hAnsi="Times New Roman" w:eastAsia="宋体" w:cs="Times New Roman"/>
                <w:bCs/>
                <w:color w:val="auto"/>
                <w:sz w:val="24"/>
                <w:szCs w:val="22"/>
                <w:lang w:val="en-US" w:eastAsia="zh-CN"/>
              </w:rPr>
              <w:t>纯水制备系统</w:t>
            </w:r>
            <w:r>
              <w:rPr>
                <w:rFonts w:hint="default" w:ascii="Times New Roman" w:hAnsi="Times New Roman" w:eastAsia="宋体" w:cs="Times New Roman"/>
                <w:bCs/>
                <w:color w:val="auto"/>
                <w:sz w:val="24"/>
                <w:szCs w:val="22"/>
              </w:rPr>
              <w:t>共计</w:t>
            </w:r>
            <w:r>
              <w:rPr>
                <w:rFonts w:hint="default" w:ascii="Times New Roman" w:hAnsi="Times New Roman" w:eastAsia="宋体" w:cs="Times New Roman"/>
                <w:bCs/>
                <w:color w:val="auto"/>
                <w:sz w:val="24"/>
                <w:szCs w:val="22"/>
                <w:lang w:val="en-US" w:eastAsia="zh-CN"/>
              </w:rPr>
              <w:t>3</w:t>
            </w:r>
            <w:r>
              <w:rPr>
                <w:rFonts w:hint="default" w:ascii="Times New Roman" w:hAnsi="Times New Roman" w:eastAsia="宋体" w:cs="Times New Roman"/>
                <w:bCs/>
                <w:color w:val="auto"/>
                <w:sz w:val="24"/>
                <w:szCs w:val="22"/>
              </w:rPr>
              <w:t>台/套</w:t>
            </w:r>
            <w:r>
              <w:rPr>
                <w:rFonts w:hint="default" w:ascii="Times New Roman" w:hAnsi="Times New Roman" w:eastAsia="宋体" w:cs="Times New Roman"/>
                <w:color w:val="auto"/>
                <w:sz w:val="24"/>
              </w:rPr>
              <w:t>，建设</w:t>
            </w:r>
            <w:r>
              <w:rPr>
                <w:rFonts w:hint="default" w:ascii="Times New Roman" w:hAnsi="Times New Roman" w:eastAsia="宋体" w:cs="Times New Roman"/>
                <w:color w:val="auto"/>
                <w:sz w:val="24"/>
                <w:lang w:val="en-US" w:eastAsia="zh-CN"/>
              </w:rPr>
              <w:t>机械零部件电泳</w:t>
            </w:r>
            <w:r>
              <w:rPr>
                <w:rFonts w:hint="default" w:ascii="Times New Roman" w:hAnsi="Times New Roman" w:eastAsia="宋体" w:cs="Times New Roman"/>
                <w:color w:val="auto"/>
                <w:sz w:val="24"/>
              </w:rPr>
              <w:t>生产线，项目建成后可形成</w:t>
            </w:r>
            <w:r>
              <w:rPr>
                <w:rFonts w:hint="default" w:ascii="Times New Roman" w:hAnsi="Times New Roman" w:eastAsia="宋体" w:cs="Times New Roman"/>
                <w:color w:val="auto"/>
                <w:sz w:val="24"/>
                <w:lang w:eastAsia="zh-CN"/>
              </w:rPr>
              <w:t>年</w:t>
            </w:r>
            <w:r>
              <w:rPr>
                <w:rFonts w:hint="default" w:ascii="Times New Roman" w:hAnsi="Times New Roman" w:eastAsia="宋体" w:cs="Times New Roman"/>
                <w:color w:val="auto"/>
                <w:sz w:val="24"/>
                <w:lang w:val="en-US" w:eastAsia="zh-CN"/>
              </w:rPr>
              <w:t>加工550万件机械零部件的</w:t>
            </w:r>
            <w:r>
              <w:rPr>
                <w:rFonts w:hint="default" w:ascii="Times New Roman" w:hAnsi="Times New Roman" w:eastAsia="宋体" w:cs="Times New Roman"/>
                <w:color w:val="auto"/>
                <w:sz w:val="24"/>
                <w:lang w:eastAsia="zh-CN"/>
              </w:rPr>
              <w:t>生产能力。</w:t>
            </w:r>
          </w:p>
          <w:p>
            <w:pPr>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该项目于202</w:t>
            </w:r>
            <w:r>
              <w:rPr>
                <w:rFonts w:hint="default" w:ascii="Times New Roman" w:hAnsi="Times New Roman" w:eastAsia="宋体" w:cs="Times New Roman"/>
                <w:color w:val="auto"/>
                <w:sz w:val="24"/>
                <w:lang w:val="en-US" w:eastAsia="zh-CN"/>
              </w:rPr>
              <w:t>2</w:t>
            </w:r>
            <w:r>
              <w:rPr>
                <w:rFonts w:hint="default" w:ascii="Times New Roman" w:hAnsi="Times New Roman" w:eastAsia="宋体" w:cs="Times New Roman"/>
                <w:color w:val="auto"/>
                <w:sz w:val="24"/>
              </w:rPr>
              <w:t>年</w:t>
            </w:r>
            <w:r>
              <w:rPr>
                <w:rFonts w:hint="default" w:ascii="Times New Roman" w:hAnsi="Times New Roman" w:eastAsia="宋体" w:cs="Times New Roman"/>
                <w:color w:val="auto"/>
                <w:sz w:val="24"/>
                <w:lang w:val="en-US" w:eastAsia="zh-CN"/>
              </w:rPr>
              <w:t>1</w:t>
            </w:r>
            <w:r>
              <w:rPr>
                <w:rFonts w:hint="default" w:ascii="Times New Roman" w:hAnsi="Times New Roman" w:eastAsia="宋体" w:cs="Times New Roman"/>
                <w:color w:val="auto"/>
                <w:sz w:val="24"/>
              </w:rPr>
              <w:t>月</w:t>
            </w:r>
            <w:r>
              <w:rPr>
                <w:rFonts w:hint="default" w:ascii="Times New Roman" w:hAnsi="Times New Roman" w:eastAsia="宋体" w:cs="Times New Roman"/>
                <w:color w:val="auto"/>
                <w:sz w:val="24"/>
                <w:lang w:val="en-US" w:eastAsia="zh-CN"/>
              </w:rPr>
              <w:t>11</w:t>
            </w:r>
            <w:r>
              <w:rPr>
                <w:rFonts w:hint="default" w:ascii="Times New Roman" w:hAnsi="Times New Roman" w:eastAsia="宋体" w:cs="Times New Roman"/>
                <w:color w:val="auto"/>
                <w:sz w:val="24"/>
              </w:rPr>
              <w:t>日取得了常州市武进区行政审批局的项目备案证明，项目代码</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2201-320412-89-01-377230。</w:t>
            </w:r>
          </w:p>
          <w:p>
            <w:pPr>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根据《中华人民共和国环境保护法》（2014年修订）、《中华人民共和国环境影响评价法》（2018年修订）和《建设项目环境影响评价分类管理名录》（2021年）的有关规定，本项目归于《名录》“</w:t>
            </w:r>
            <w:r>
              <w:rPr>
                <w:rFonts w:hint="default" w:ascii="Times New Roman" w:hAnsi="Times New Roman" w:eastAsia="宋体" w:cs="Times New Roman"/>
                <w:color w:val="auto"/>
                <w:sz w:val="24"/>
                <w:lang w:val="en-US" w:eastAsia="zh-CN"/>
              </w:rPr>
              <w:t>三十、金属制品业</w:t>
            </w:r>
            <w:r>
              <w:rPr>
                <w:rFonts w:hint="default" w:ascii="Times New Roman" w:hAnsi="Times New Roman" w:eastAsia="宋体" w:cs="Times New Roman"/>
                <w:color w:val="auto"/>
                <w:sz w:val="24"/>
              </w:rPr>
              <w:t>”大类中的“</w:t>
            </w:r>
            <w:r>
              <w:rPr>
                <w:rFonts w:hint="default" w:ascii="Times New Roman" w:hAnsi="Times New Roman" w:eastAsia="宋体" w:cs="Times New Roman"/>
                <w:color w:val="auto"/>
                <w:sz w:val="24"/>
                <w:lang w:val="en-US" w:eastAsia="zh-CN"/>
              </w:rPr>
              <w:t>67</w:t>
            </w:r>
            <w:r>
              <w:rPr>
                <w:rFonts w:hint="default" w:ascii="Times New Roman" w:hAnsi="Times New Roman" w:eastAsia="宋体" w:cs="Times New Roman"/>
                <w:color w:val="auto"/>
                <w:sz w:val="24"/>
                <w:lang w:eastAsia="zh-CN"/>
              </w:rPr>
              <w:t>金属表面处理及热处理加工</w:t>
            </w:r>
            <w:r>
              <w:rPr>
                <w:rFonts w:hint="default" w:ascii="Times New Roman" w:hAnsi="Times New Roman" w:eastAsia="宋体" w:cs="Times New Roman"/>
                <w:color w:val="auto"/>
                <w:sz w:val="24"/>
              </w:rPr>
              <w:t>”中“其他（年用非溶剂型低VOCs含量涂料10吨以下的除外）”类别，环境影响评价须编制环境影响报告表。因此，</w:t>
            </w:r>
            <w:r>
              <w:rPr>
                <w:rFonts w:hint="default" w:ascii="Times New Roman" w:hAnsi="Times New Roman" w:eastAsia="宋体" w:cs="Times New Roman"/>
                <w:color w:val="auto"/>
                <w:sz w:val="24"/>
                <w:lang w:eastAsia="zh-CN"/>
              </w:rPr>
              <w:t>常州市共创商贸有限公司</w:t>
            </w:r>
            <w:r>
              <w:rPr>
                <w:rFonts w:hint="default" w:ascii="Times New Roman" w:hAnsi="Times New Roman" w:eastAsia="宋体" w:cs="Times New Roman"/>
                <w:color w:val="auto"/>
                <w:sz w:val="24"/>
              </w:rPr>
              <w:t>委托江苏晶昱宝环境科技有限公司承担该项目环境影响评价工作，作为环保审批部门的审批依据。</w:t>
            </w:r>
          </w:p>
          <w:p>
            <w:pPr>
              <w:adjustRightInd w:val="0"/>
              <w:snapToGrid w:val="0"/>
              <w:spacing w:line="360" w:lineRule="auto"/>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2、项目工程概况</w:t>
            </w:r>
          </w:p>
          <w:p>
            <w:pPr>
              <w:spacing w:line="360" w:lineRule="auto"/>
              <w:ind w:left="1540" w:leftChars="219" w:right="25" w:rightChars="12" w:hanging="1080" w:hangingChars="45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项目名称：</w:t>
            </w:r>
            <w:r>
              <w:rPr>
                <w:rFonts w:hint="default" w:ascii="Times New Roman" w:hAnsi="Times New Roman" w:eastAsia="宋体" w:cs="Times New Roman"/>
                <w:color w:val="auto"/>
                <w:sz w:val="24"/>
                <w:lang w:eastAsia="zh-CN"/>
              </w:rPr>
              <w:t>年加工550万件机械零部件项目</w:t>
            </w:r>
            <w:r>
              <w:rPr>
                <w:rFonts w:hint="default" w:ascii="Times New Roman" w:hAnsi="Times New Roman" w:eastAsia="宋体" w:cs="Times New Roman"/>
                <w:color w:val="auto"/>
                <w:sz w:val="24"/>
              </w:rPr>
              <w:t>；</w:t>
            </w:r>
          </w:p>
          <w:p>
            <w:pPr>
              <w:spacing w:line="360" w:lineRule="auto"/>
              <w:ind w:right="25" w:rightChars="12" w:firstLine="460" w:firstLineChars="19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建设地点：</w:t>
            </w:r>
            <w:r>
              <w:rPr>
                <w:rFonts w:hint="default" w:ascii="Times New Roman" w:hAnsi="Times New Roman" w:eastAsia="宋体" w:cs="Times New Roman"/>
                <w:color w:val="auto"/>
                <w:sz w:val="24"/>
                <w:lang w:eastAsia="zh-CN"/>
              </w:rPr>
              <w:t>江苏省常州市武进区前黄镇寨灵路19号</w:t>
            </w:r>
            <w:r>
              <w:rPr>
                <w:rFonts w:hint="default" w:ascii="Times New Roman" w:hAnsi="Times New Roman" w:eastAsia="宋体" w:cs="Times New Roman"/>
                <w:color w:val="auto"/>
                <w:sz w:val="24"/>
              </w:rPr>
              <w:t>；</w:t>
            </w:r>
          </w:p>
          <w:p>
            <w:pPr>
              <w:spacing w:line="360" w:lineRule="auto"/>
              <w:ind w:right="25" w:rightChars="12" w:firstLine="460" w:firstLineChars="19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建设单位：</w:t>
            </w:r>
            <w:r>
              <w:rPr>
                <w:rFonts w:hint="default" w:ascii="Times New Roman" w:hAnsi="Times New Roman" w:eastAsia="宋体" w:cs="Times New Roman"/>
                <w:color w:val="auto"/>
                <w:sz w:val="24"/>
                <w:lang w:eastAsia="zh-CN"/>
              </w:rPr>
              <w:t>常州市共创商贸有限公司</w:t>
            </w:r>
            <w:r>
              <w:rPr>
                <w:rFonts w:hint="default" w:ascii="Times New Roman" w:hAnsi="Times New Roman" w:eastAsia="宋体" w:cs="Times New Roman"/>
                <w:color w:val="auto"/>
                <w:sz w:val="24"/>
              </w:rPr>
              <w:t>；</w:t>
            </w:r>
          </w:p>
          <w:p>
            <w:pPr>
              <w:spacing w:line="360" w:lineRule="auto"/>
              <w:ind w:right="25" w:rightChars="12" w:firstLine="460" w:firstLineChars="19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建设性质：扩建；</w:t>
            </w:r>
          </w:p>
          <w:p>
            <w:pPr>
              <w:adjustRightInd w:val="0"/>
              <w:spacing w:line="360" w:lineRule="auto"/>
              <w:ind w:left="1559" w:leftChars="228" w:hanging="1080" w:hangingChars="45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建设规模：</w:t>
            </w:r>
            <w:r>
              <w:rPr>
                <w:rFonts w:hint="default" w:ascii="Times New Roman" w:hAnsi="Times New Roman" w:eastAsia="宋体" w:cs="Times New Roman"/>
                <w:bCs/>
                <w:color w:val="auto"/>
                <w:sz w:val="24"/>
                <w:szCs w:val="22"/>
              </w:rPr>
              <w:t>本项目在原有厂区内利用现有厂房，</w:t>
            </w:r>
            <w:r>
              <w:rPr>
                <w:rFonts w:hint="default" w:ascii="Times New Roman" w:hAnsi="Times New Roman" w:eastAsia="宋体" w:cs="Times New Roman"/>
                <w:color w:val="auto"/>
                <w:sz w:val="24"/>
              </w:rPr>
              <w:t>购置</w:t>
            </w:r>
            <w:r>
              <w:rPr>
                <w:rFonts w:hint="default" w:ascii="Times New Roman" w:hAnsi="Times New Roman" w:eastAsia="宋体" w:cs="Times New Roman"/>
                <w:color w:val="auto"/>
                <w:sz w:val="24"/>
                <w:lang w:val="en-US" w:eastAsia="zh-CN"/>
              </w:rPr>
              <w:t>电泳涂装线</w:t>
            </w:r>
            <w:r>
              <w:rPr>
                <w:rFonts w:hint="default" w:ascii="Times New Roman" w:hAnsi="Times New Roman" w:eastAsia="宋体" w:cs="Times New Roman"/>
                <w:bCs/>
                <w:color w:val="auto"/>
                <w:sz w:val="24"/>
                <w:szCs w:val="22"/>
              </w:rPr>
              <w:t>、</w:t>
            </w:r>
            <w:r>
              <w:rPr>
                <w:rFonts w:hint="default" w:ascii="Times New Roman" w:hAnsi="Times New Roman" w:eastAsia="宋体" w:cs="Times New Roman"/>
                <w:bCs/>
                <w:color w:val="auto"/>
                <w:sz w:val="24"/>
                <w:szCs w:val="22"/>
                <w:lang w:val="en-US" w:eastAsia="zh-CN"/>
              </w:rPr>
              <w:t>超滤系统</w:t>
            </w:r>
            <w:r>
              <w:rPr>
                <w:rFonts w:hint="default" w:ascii="Times New Roman" w:hAnsi="Times New Roman" w:eastAsia="宋体" w:cs="Times New Roman"/>
                <w:bCs/>
                <w:color w:val="auto"/>
                <w:sz w:val="24"/>
                <w:szCs w:val="22"/>
              </w:rPr>
              <w:t>、</w:t>
            </w:r>
            <w:r>
              <w:rPr>
                <w:rFonts w:hint="default" w:ascii="Times New Roman" w:hAnsi="Times New Roman" w:eastAsia="宋体" w:cs="Times New Roman"/>
                <w:bCs/>
                <w:color w:val="auto"/>
                <w:sz w:val="24"/>
                <w:szCs w:val="22"/>
                <w:lang w:val="en-US" w:eastAsia="zh-CN"/>
              </w:rPr>
              <w:t>纯水制备系统3</w:t>
            </w:r>
            <w:r>
              <w:rPr>
                <w:rFonts w:hint="default" w:ascii="Times New Roman" w:hAnsi="Times New Roman" w:eastAsia="宋体" w:cs="Times New Roman"/>
                <w:color w:val="auto"/>
                <w:sz w:val="24"/>
              </w:rPr>
              <w:t>台（套），建设</w:t>
            </w:r>
            <w:r>
              <w:rPr>
                <w:rFonts w:hint="default" w:ascii="Times New Roman" w:hAnsi="Times New Roman" w:eastAsia="宋体" w:cs="Times New Roman"/>
                <w:color w:val="auto"/>
                <w:sz w:val="24"/>
                <w:lang w:val="en-US" w:eastAsia="zh-CN"/>
              </w:rPr>
              <w:t>机械零部件电泳</w:t>
            </w:r>
            <w:r>
              <w:rPr>
                <w:rFonts w:hint="default" w:ascii="Times New Roman" w:hAnsi="Times New Roman" w:eastAsia="宋体" w:cs="Times New Roman"/>
                <w:color w:val="auto"/>
                <w:sz w:val="24"/>
              </w:rPr>
              <w:t>生产线，项目建成后可形成</w:t>
            </w:r>
            <w:r>
              <w:rPr>
                <w:rFonts w:hint="default" w:ascii="Times New Roman" w:hAnsi="Times New Roman" w:eastAsia="宋体" w:cs="Times New Roman"/>
                <w:color w:val="auto"/>
                <w:sz w:val="24"/>
                <w:lang w:eastAsia="zh-CN"/>
              </w:rPr>
              <w:t>年</w:t>
            </w:r>
            <w:r>
              <w:rPr>
                <w:rFonts w:hint="default" w:ascii="Times New Roman" w:hAnsi="Times New Roman" w:eastAsia="宋体" w:cs="Times New Roman"/>
                <w:color w:val="auto"/>
                <w:sz w:val="24"/>
                <w:lang w:val="en-US" w:eastAsia="zh-CN"/>
              </w:rPr>
              <w:t>加工550万件机械零部件的</w:t>
            </w:r>
            <w:r>
              <w:rPr>
                <w:rFonts w:hint="default" w:ascii="Times New Roman" w:hAnsi="Times New Roman" w:eastAsia="宋体" w:cs="Times New Roman"/>
                <w:color w:val="auto"/>
                <w:sz w:val="24"/>
                <w:lang w:eastAsia="zh-CN"/>
              </w:rPr>
              <w:t>生产能力</w:t>
            </w:r>
            <w:r>
              <w:rPr>
                <w:rFonts w:hint="default" w:ascii="Times New Roman" w:hAnsi="Times New Roman" w:eastAsia="宋体" w:cs="Times New Roman"/>
                <w:color w:val="auto"/>
                <w:sz w:val="24"/>
              </w:rPr>
              <w:t>；</w:t>
            </w:r>
          </w:p>
          <w:p>
            <w:pPr>
              <w:spacing w:line="360" w:lineRule="auto"/>
              <w:ind w:right="25" w:rightChars="12" w:firstLine="458" w:firstLineChars="191"/>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项目投资：</w:t>
            </w:r>
            <w:r>
              <w:rPr>
                <w:rFonts w:hint="default" w:ascii="Times New Roman" w:hAnsi="Times New Roman" w:eastAsia="宋体" w:cs="Times New Roman"/>
                <w:bCs/>
                <w:color w:val="auto"/>
                <w:sz w:val="24"/>
              </w:rPr>
              <w:t>总投资</w:t>
            </w:r>
            <w:r>
              <w:rPr>
                <w:rFonts w:hint="default" w:ascii="Times New Roman" w:hAnsi="Times New Roman" w:eastAsia="宋体" w:cs="Times New Roman"/>
                <w:color w:val="auto"/>
                <w:sz w:val="24"/>
                <w:lang w:val="en-US" w:eastAsia="zh-CN"/>
              </w:rPr>
              <w:t>500</w:t>
            </w:r>
            <w:r>
              <w:rPr>
                <w:rFonts w:hint="default" w:ascii="Times New Roman" w:hAnsi="Times New Roman" w:eastAsia="宋体" w:cs="Times New Roman"/>
                <w:color w:val="auto"/>
                <w:sz w:val="24"/>
              </w:rPr>
              <w:t>万元</w:t>
            </w:r>
            <w:r>
              <w:rPr>
                <w:rFonts w:hint="default" w:ascii="Times New Roman" w:hAnsi="Times New Roman" w:eastAsia="宋体" w:cs="Times New Roman"/>
                <w:bCs/>
                <w:color w:val="auto"/>
                <w:sz w:val="24"/>
              </w:rPr>
              <w:t>，其中环保投资</w:t>
            </w:r>
            <w:r>
              <w:rPr>
                <w:rFonts w:hint="default" w:ascii="Times New Roman" w:hAnsi="Times New Roman" w:eastAsia="宋体" w:cs="Times New Roman"/>
                <w:bCs/>
                <w:color w:val="auto"/>
                <w:sz w:val="24"/>
                <w:lang w:val="en-US" w:eastAsia="zh-CN"/>
              </w:rPr>
              <w:t>50</w:t>
            </w:r>
            <w:r>
              <w:rPr>
                <w:rFonts w:hint="default" w:ascii="Times New Roman" w:hAnsi="Times New Roman" w:eastAsia="宋体" w:cs="Times New Roman"/>
                <w:bCs/>
                <w:color w:val="auto"/>
                <w:sz w:val="24"/>
              </w:rPr>
              <w:t>万元，占总投资的</w:t>
            </w:r>
            <w:r>
              <w:rPr>
                <w:rFonts w:hint="default" w:ascii="Times New Roman" w:hAnsi="Times New Roman" w:eastAsia="宋体" w:cs="Times New Roman"/>
                <w:bCs/>
                <w:color w:val="auto"/>
                <w:sz w:val="24"/>
                <w:lang w:val="en-US" w:eastAsia="zh-CN"/>
              </w:rPr>
              <w:t>10</w:t>
            </w:r>
            <w:r>
              <w:rPr>
                <w:rFonts w:hint="default" w:ascii="Times New Roman" w:hAnsi="Times New Roman" w:eastAsia="宋体" w:cs="Times New Roman"/>
                <w:bCs/>
                <w:color w:val="auto"/>
                <w:sz w:val="24"/>
              </w:rPr>
              <w:t>%</w:t>
            </w:r>
            <w:r>
              <w:rPr>
                <w:rFonts w:hint="default" w:ascii="Times New Roman" w:hAnsi="Times New Roman" w:eastAsia="宋体" w:cs="Times New Roman"/>
                <w:color w:val="auto"/>
                <w:sz w:val="24"/>
              </w:rPr>
              <w:t>。</w:t>
            </w:r>
          </w:p>
          <w:p>
            <w:pPr>
              <w:adjustRightInd w:val="0"/>
              <w:snapToGrid w:val="0"/>
              <w:spacing w:line="360" w:lineRule="auto"/>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3、主体工程</w:t>
            </w:r>
          </w:p>
          <w:p>
            <w:pPr>
              <w:jc w:val="center"/>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表2-1 主体工程一览表</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168"/>
              <w:gridCol w:w="1039"/>
              <w:gridCol w:w="1147"/>
              <w:gridCol w:w="875"/>
              <w:gridCol w:w="903"/>
              <w:gridCol w:w="1301"/>
              <w:gridCol w:w="156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42" w:type="pct"/>
                  <w:vAlign w:val="center"/>
                </w:tcPr>
                <w:p>
                  <w:pPr>
                    <w:pStyle w:val="47"/>
                    <w:adjustRightInd w:val="0"/>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类别</w:t>
                  </w:r>
                </w:p>
              </w:tc>
              <w:tc>
                <w:tcPr>
                  <w:tcW w:w="695" w:type="pct"/>
                  <w:vAlign w:val="center"/>
                </w:tcPr>
                <w:p>
                  <w:pPr>
                    <w:widowControl/>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主要建、构筑物名称</w:t>
                  </w:r>
                </w:p>
              </w:tc>
              <w:tc>
                <w:tcPr>
                  <w:tcW w:w="618" w:type="pct"/>
                  <w:vAlign w:val="center"/>
                </w:tcPr>
                <w:p>
                  <w:pPr>
                    <w:pStyle w:val="47"/>
                    <w:adjustRightInd w:val="0"/>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占地面积（m</w:t>
                  </w:r>
                  <w:r>
                    <w:rPr>
                      <w:rFonts w:hint="default" w:ascii="Times New Roman" w:hAnsi="Times New Roman" w:eastAsia="宋体" w:cs="Times New Roman"/>
                      <w:b/>
                      <w:bCs/>
                      <w:color w:val="auto"/>
                      <w:sz w:val="21"/>
                      <w:szCs w:val="21"/>
                      <w:vertAlign w:val="superscript"/>
                    </w:rPr>
                    <w:t>2</w:t>
                  </w:r>
                  <w:r>
                    <w:rPr>
                      <w:rFonts w:hint="default" w:ascii="Times New Roman" w:hAnsi="Times New Roman" w:eastAsia="宋体" w:cs="Times New Roman"/>
                      <w:b/>
                      <w:bCs/>
                      <w:color w:val="auto"/>
                      <w:sz w:val="21"/>
                      <w:szCs w:val="21"/>
                    </w:rPr>
                    <w:t>）</w:t>
                  </w:r>
                </w:p>
              </w:tc>
              <w:tc>
                <w:tcPr>
                  <w:tcW w:w="682" w:type="pct"/>
                  <w:vAlign w:val="center"/>
                </w:tcPr>
                <w:p>
                  <w:pPr>
                    <w:pStyle w:val="47"/>
                    <w:adjustRightInd w:val="0"/>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建筑面积（m</w:t>
                  </w:r>
                  <w:r>
                    <w:rPr>
                      <w:rFonts w:hint="default" w:ascii="Times New Roman" w:hAnsi="Times New Roman" w:eastAsia="宋体" w:cs="Times New Roman"/>
                      <w:b/>
                      <w:bCs/>
                      <w:color w:val="auto"/>
                      <w:sz w:val="21"/>
                      <w:szCs w:val="21"/>
                      <w:vertAlign w:val="superscript"/>
                    </w:rPr>
                    <w:t>2</w:t>
                  </w:r>
                  <w:r>
                    <w:rPr>
                      <w:rFonts w:hint="default" w:ascii="Times New Roman" w:hAnsi="Times New Roman" w:eastAsia="宋体" w:cs="Times New Roman"/>
                      <w:b/>
                      <w:bCs/>
                      <w:color w:val="auto"/>
                      <w:sz w:val="21"/>
                      <w:szCs w:val="21"/>
                    </w:rPr>
                    <w:t>）</w:t>
                  </w:r>
                </w:p>
              </w:tc>
              <w:tc>
                <w:tcPr>
                  <w:tcW w:w="521" w:type="pct"/>
                  <w:vAlign w:val="center"/>
                </w:tcPr>
                <w:p>
                  <w:pPr>
                    <w:pStyle w:val="47"/>
                    <w:adjustRightInd w:val="0"/>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建筑层数</w:t>
                  </w:r>
                </w:p>
              </w:tc>
              <w:tc>
                <w:tcPr>
                  <w:tcW w:w="537" w:type="pct"/>
                  <w:vAlign w:val="center"/>
                </w:tcPr>
                <w:p>
                  <w:pPr>
                    <w:pStyle w:val="47"/>
                    <w:adjustRightInd w:val="0"/>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建筑高度（m）</w:t>
                  </w:r>
                </w:p>
              </w:tc>
              <w:tc>
                <w:tcPr>
                  <w:tcW w:w="773" w:type="pct"/>
                  <w:vAlign w:val="center"/>
                </w:tcPr>
                <w:p>
                  <w:pPr>
                    <w:pStyle w:val="47"/>
                    <w:adjustRightInd w:val="0"/>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建筑结构</w:t>
                  </w:r>
                </w:p>
              </w:tc>
              <w:tc>
                <w:tcPr>
                  <w:tcW w:w="929" w:type="pct"/>
                  <w:vAlign w:val="center"/>
                </w:tcPr>
                <w:p>
                  <w:pPr>
                    <w:pStyle w:val="47"/>
                    <w:adjustRightInd w:val="0"/>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位置及用途</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42"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w:t>
                  </w:r>
                </w:p>
              </w:tc>
              <w:tc>
                <w:tcPr>
                  <w:tcW w:w="695" w:type="pct"/>
                  <w:vAlign w:val="center"/>
                </w:tcPr>
                <w:p>
                  <w:pPr>
                    <w:adjustRightInd w:val="0"/>
                    <w:snapToGrid w:val="0"/>
                    <w:jc w:val="center"/>
                    <w:rPr>
                      <w:rFonts w:hint="eastAsia" w:ascii="Times New Roman" w:hAnsi="Times New Roman" w:eastAsia="宋体" w:cs="Times New Roman"/>
                      <w:color w:val="auto"/>
                      <w:szCs w:val="21"/>
                      <w:lang w:eastAsia="zh-CN"/>
                    </w:rPr>
                  </w:pPr>
                  <w:r>
                    <w:rPr>
                      <w:rFonts w:hint="eastAsia" w:cs="Times New Roman"/>
                      <w:color w:val="auto"/>
                      <w:szCs w:val="21"/>
                      <w:lang w:val="en-US" w:eastAsia="zh-CN"/>
                    </w:rPr>
                    <w:t>电泳车间</w:t>
                  </w:r>
                </w:p>
              </w:tc>
              <w:tc>
                <w:tcPr>
                  <w:tcW w:w="618"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1008</w:t>
                  </w:r>
                </w:p>
              </w:tc>
              <w:tc>
                <w:tcPr>
                  <w:tcW w:w="682"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1008</w:t>
                  </w:r>
                </w:p>
              </w:tc>
              <w:tc>
                <w:tcPr>
                  <w:tcW w:w="521"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1F</w:t>
                  </w:r>
                </w:p>
              </w:tc>
              <w:tc>
                <w:tcPr>
                  <w:tcW w:w="537"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9.15</w:t>
                  </w:r>
                </w:p>
              </w:tc>
              <w:tc>
                <w:tcPr>
                  <w:tcW w:w="773"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钢筋混凝土</w:t>
                  </w:r>
                </w:p>
              </w:tc>
              <w:tc>
                <w:tcPr>
                  <w:tcW w:w="929"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位于厂区东南侧</w:t>
                  </w:r>
                  <w:r>
                    <w:rPr>
                      <w:rFonts w:hint="default"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lang w:val="en-US" w:eastAsia="zh-CN"/>
                    </w:rPr>
                    <w:t>用于本项目电泳线建设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42" w:type="pct"/>
                  <w:vMerge w:val="restar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原有项目</w:t>
                  </w:r>
                </w:p>
              </w:tc>
              <w:tc>
                <w:tcPr>
                  <w:tcW w:w="695"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仓储</w:t>
                  </w:r>
                  <w:r>
                    <w:rPr>
                      <w:rFonts w:hint="eastAsia" w:cs="Times New Roman"/>
                      <w:color w:val="auto"/>
                      <w:szCs w:val="21"/>
                      <w:lang w:val="en-US" w:eastAsia="zh-CN"/>
                    </w:rPr>
                    <w:t>车间</w:t>
                  </w:r>
                </w:p>
              </w:tc>
              <w:tc>
                <w:tcPr>
                  <w:tcW w:w="618"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600</w:t>
                  </w:r>
                </w:p>
              </w:tc>
              <w:tc>
                <w:tcPr>
                  <w:tcW w:w="682"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1200</w:t>
                  </w:r>
                </w:p>
              </w:tc>
              <w:tc>
                <w:tcPr>
                  <w:tcW w:w="521"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2</w:t>
                  </w:r>
                  <w:r>
                    <w:rPr>
                      <w:rFonts w:hint="default" w:ascii="Times New Roman" w:hAnsi="Times New Roman" w:eastAsia="宋体" w:cs="Times New Roman"/>
                      <w:color w:val="auto"/>
                      <w:szCs w:val="21"/>
                    </w:rPr>
                    <w:t>F</w:t>
                  </w:r>
                </w:p>
              </w:tc>
              <w:tc>
                <w:tcPr>
                  <w:tcW w:w="537"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9.6</w:t>
                  </w:r>
                </w:p>
              </w:tc>
              <w:tc>
                <w:tcPr>
                  <w:tcW w:w="773"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钢筋混凝土</w:t>
                  </w:r>
                </w:p>
              </w:tc>
              <w:tc>
                <w:tcPr>
                  <w:tcW w:w="929"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位于厂区</w:t>
                  </w:r>
                  <w:r>
                    <w:rPr>
                      <w:rFonts w:hint="default" w:ascii="Times New Roman" w:hAnsi="Times New Roman" w:eastAsia="宋体" w:cs="Times New Roman"/>
                      <w:color w:val="auto"/>
                      <w:szCs w:val="21"/>
                      <w:lang w:val="en-US" w:eastAsia="zh-CN"/>
                    </w:rPr>
                    <w:t>东北侧</w:t>
                  </w:r>
                  <w:r>
                    <w:rPr>
                      <w:rFonts w:hint="default" w:ascii="Times New Roman" w:hAnsi="Times New Roman" w:eastAsia="宋体" w:cs="Times New Roman"/>
                      <w:color w:val="auto"/>
                      <w:szCs w:val="21"/>
                    </w:rPr>
                    <w:t>，用于</w:t>
                  </w:r>
                  <w:r>
                    <w:rPr>
                      <w:rFonts w:hint="default" w:ascii="Times New Roman" w:hAnsi="Times New Roman" w:eastAsia="宋体" w:cs="Times New Roman"/>
                      <w:color w:val="auto"/>
                      <w:szCs w:val="21"/>
                      <w:lang w:val="en-US" w:eastAsia="zh-CN"/>
                    </w:rPr>
                    <w:t>仓储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42" w:type="pct"/>
                  <w:vMerge w:val="continue"/>
                  <w:vAlign w:val="center"/>
                </w:tcPr>
                <w:p>
                  <w:pPr>
                    <w:pStyle w:val="47"/>
                    <w:adjustRightInd w:val="0"/>
                    <w:rPr>
                      <w:rFonts w:hint="default" w:ascii="Times New Roman" w:hAnsi="Times New Roman" w:eastAsia="宋体" w:cs="Times New Roman"/>
                      <w:color w:val="auto"/>
                      <w:sz w:val="21"/>
                      <w:szCs w:val="21"/>
                    </w:rPr>
                  </w:pPr>
                </w:p>
              </w:tc>
              <w:tc>
                <w:tcPr>
                  <w:tcW w:w="695" w:type="pct"/>
                  <w:vAlign w:val="center"/>
                </w:tcPr>
                <w:p>
                  <w:pPr>
                    <w:adjustRightInd w:val="0"/>
                    <w:snapToGrid w:val="0"/>
                    <w:jc w:val="center"/>
                    <w:rPr>
                      <w:rFonts w:hint="eastAsia" w:ascii="Times New Roman" w:hAnsi="Times New Roman" w:eastAsia="宋体" w:cs="Times New Roman"/>
                      <w:color w:val="auto"/>
                      <w:szCs w:val="21"/>
                      <w:lang w:eastAsia="zh-CN"/>
                    </w:rPr>
                  </w:pPr>
                  <w:r>
                    <w:rPr>
                      <w:rFonts w:hint="eastAsia" w:cs="Times New Roman"/>
                      <w:color w:val="auto"/>
                      <w:szCs w:val="21"/>
                      <w:lang w:val="en-US" w:eastAsia="zh-CN"/>
                    </w:rPr>
                    <w:t>办公车间</w:t>
                  </w:r>
                </w:p>
              </w:tc>
              <w:tc>
                <w:tcPr>
                  <w:tcW w:w="618"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200</w:t>
                  </w:r>
                </w:p>
              </w:tc>
              <w:tc>
                <w:tcPr>
                  <w:tcW w:w="682"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400</w:t>
                  </w:r>
                </w:p>
              </w:tc>
              <w:tc>
                <w:tcPr>
                  <w:tcW w:w="521"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2</w:t>
                  </w:r>
                  <w:r>
                    <w:rPr>
                      <w:rFonts w:hint="default" w:ascii="Times New Roman" w:hAnsi="Times New Roman" w:eastAsia="宋体" w:cs="Times New Roman"/>
                      <w:color w:val="auto"/>
                      <w:szCs w:val="21"/>
                    </w:rPr>
                    <w:t>F</w:t>
                  </w:r>
                </w:p>
              </w:tc>
              <w:tc>
                <w:tcPr>
                  <w:tcW w:w="537"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11.5</w:t>
                  </w:r>
                </w:p>
              </w:tc>
              <w:tc>
                <w:tcPr>
                  <w:tcW w:w="773"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钢筋混凝土</w:t>
                  </w:r>
                </w:p>
              </w:tc>
              <w:tc>
                <w:tcPr>
                  <w:tcW w:w="929"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位于厂区</w:t>
                  </w:r>
                  <w:r>
                    <w:rPr>
                      <w:rFonts w:hint="default" w:ascii="Times New Roman" w:hAnsi="Times New Roman" w:eastAsia="宋体" w:cs="Times New Roman"/>
                      <w:color w:val="auto"/>
                      <w:szCs w:val="21"/>
                      <w:lang w:val="en-US" w:eastAsia="zh-CN"/>
                    </w:rPr>
                    <w:t>西</w:t>
                  </w:r>
                  <w:r>
                    <w:rPr>
                      <w:rFonts w:hint="default" w:ascii="Times New Roman" w:hAnsi="Times New Roman" w:eastAsia="宋体" w:cs="Times New Roman"/>
                      <w:color w:val="auto"/>
                      <w:szCs w:val="21"/>
                    </w:rPr>
                    <w:t>北侧，用于办公</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42" w:type="pct"/>
                  <w:vMerge w:val="continue"/>
                  <w:vAlign w:val="center"/>
                </w:tcPr>
                <w:p>
                  <w:pPr>
                    <w:pStyle w:val="47"/>
                    <w:adjustRightInd w:val="0"/>
                    <w:rPr>
                      <w:rFonts w:hint="default" w:ascii="Times New Roman" w:hAnsi="Times New Roman" w:eastAsia="宋体" w:cs="Times New Roman"/>
                      <w:color w:val="auto"/>
                      <w:sz w:val="21"/>
                      <w:szCs w:val="21"/>
                    </w:rPr>
                  </w:pPr>
                </w:p>
              </w:tc>
              <w:tc>
                <w:tcPr>
                  <w:tcW w:w="695"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机加工生产车间</w:t>
                  </w:r>
                </w:p>
              </w:tc>
              <w:tc>
                <w:tcPr>
                  <w:tcW w:w="618"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600</w:t>
                  </w:r>
                </w:p>
              </w:tc>
              <w:tc>
                <w:tcPr>
                  <w:tcW w:w="682"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1200</w:t>
                  </w:r>
                </w:p>
              </w:tc>
              <w:tc>
                <w:tcPr>
                  <w:tcW w:w="521"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2F</w:t>
                  </w:r>
                </w:p>
              </w:tc>
              <w:tc>
                <w:tcPr>
                  <w:tcW w:w="537"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9</w:t>
                  </w:r>
                </w:p>
              </w:tc>
              <w:tc>
                <w:tcPr>
                  <w:tcW w:w="773"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钢筋混凝土</w:t>
                  </w:r>
                </w:p>
              </w:tc>
              <w:tc>
                <w:tcPr>
                  <w:tcW w:w="929"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位于厂区</w:t>
                  </w:r>
                  <w:r>
                    <w:rPr>
                      <w:rFonts w:hint="default" w:ascii="Times New Roman" w:hAnsi="Times New Roman" w:eastAsia="宋体" w:cs="Times New Roman"/>
                      <w:color w:val="auto"/>
                      <w:szCs w:val="21"/>
                      <w:lang w:val="en-US" w:eastAsia="zh-CN"/>
                    </w:rPr>
                    <w:t>西南</w:t>
                  </w:r>
                  <w:r>
                    <w:rPr>
                      <w:rFonts w:hint="default" w:ascii="Times New Roman" w:hAnsi="Times New Roman" w:eastAsia="宋体" w:cs="Times New Roman"/>
                      <w:color w:val="auto"/>
                      <w:szCs w:val="21"/>
                    </w:rPr>
                    <w:t>侧，用于</w:t>
                  </w:r>
                  <w:r>
                    <w:rPr>
                      <w:rFonts w:hint="default" w:ascii="Times New Roman" w:hAnsi="Times New Roman" w:eastAsia="宋体" w:cs="Times New Roman"/>
                      <w:color w:val="auto"/>
                      <w:szCs w:val="21"/>
                      <w:lang w:val="en-US" w:eastAsia="zh-CN"/>
                    </w:rPr>
                    <w:t>原有项目的机加工生产</w:t>
                  </w:r>
                </w:p>
              </w:tc>
            </w:tr>
          </w:tbl>
          <w:p>
            <w:pPr>
              <w:adjustRightInd w:val="0"/>
              <w:snapToGrid w:val="0"/>
              <w:spacing w:beforeLines="20" w:line="360" w:lineRule="auto"/>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4、公用、辅助、环保、储运及依托工程概况</w:t>
            </w:r>
          </w:p>
          <w:p>
            <w:pPr>
              <w:adjustRightInd w:val="0"/>
              <w:snapToGrid w:val="0"/>
              <w:ind w:firstLine="482" w:firstLineChars="200"/>
              <w:jc w:val="center"/>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表2-2 公用、辅助、环保、储运及依托工程概况一览表</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81"/>
              <w:gridCol w:w="964"/>
              <w:gridCol w:w="2120"/>
              <w:gridCol w:w="2848"/>
              <w:gridCol w:w="181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404" w:type="pct"/>
                  <w:vAlign w:val="center"/>
                </w:tcPr>
                <w:p>
                  <w:pPr>
                    <w:adjustRightInd w:val="0"/>
                    <w:snapToGrid w:val="0"/>
                    <w:jc w:val="center"/>
                    <w:rPr>
                      <w:b/>
                      <w:bCs/>
                      <w:color w:val="auto"/>
                      <w:szCs w:val="21"/>
                    </w:rPr>
                  </w:pPr>
                  <w:r>
                    <w:rPr>
                      <w:b/>
                      <w:bCs/>
                      <w:color w:val="auto"/>
                      <w:szCs w:val="21"/>
                    </w:rPr>
                    <w:t>类别</w:t>
                  </w:r>
                </w:p>
              </w:tc>
              <w:tc>
                <w:tcPr>
                  <w:tcW w:w="572" w:type="pct"/>
                  <w:vAlign w:val="center"/>
                </w:tcPr>
                <w:p>
                  <w:pPr>
                    <w:adjustRightInd w:val="0"/>
                    <w:snapToGrid w:val="0"/>
                    <w:jc w:val="center"/>
                    <w:rPr>
                      <w:b/>
                      <w:bCs/>
                      <w:color w:val="auto"/>
                      <w:szCs w:val="21"/>
                    </w:rPr>
                  </w:pPr>
                  <w:r>
                    <w:rPr>
                      <w:b/>
                      <w:bCs/>
                      <w:color w:val="auto"/>
                      <w:szCs w:val="21"/>
                    </w:rPr>
                    <w:t>建设名称</w:t>
                  </w:r>
                </w:p>
              </w:tc>
              <w:tc>
                <w:tcPr>
                  <w:tcW w:w="1258" w:type="pct"/>
                  <w:vAlign w:val="center"/>
                </w:tcPr>
                <w:p>
                  <w:pPr>
                    <w:adjustRightInd w:val="0"/>
                    <w:snapToGrid w:val="0"/>
                    <w:jc w:val="center"/>
                    <w:rPr>
                      <w:b/>
                      <w:bCs/>
                      <w:color w:val="auto"/>
                      <w:szCs w:val="21"/>
                    </w:rPr>
                  </w:pPr>
                  <w:r>
                    <w:rPr>
                      <w:b/>
                      <w:bCs/>
                      <w:color w:val="auto"/>
                      <w:szCs w:val="21"/>
                    </w:rPr>
                    <w:t>原有项目</w:t>
                  </w:r>
                </w:p>
              </w:tc>
              <w:tc>
                <w:tcPr>
                  <w:tcW w:w="1690" w:type="pct"/>
                  <w:vAlign w:val="center"/>
                </w:tcPr>
                <w:p>
                  <w:pPr>
                    <w:adjustRightInd w:val="0"/>
                    <w:snapToGrid w:val="0"/>
                    <w:jc w:val="center"/>
                    <w:rPr>
                      <w:b/>
                      <w:bCs/>
                      <w:color w:val="auto"/>
                      <w:szCs w:val="21"/>
                    </w:rPr>
                  </w:pPr>
                  <w:r>
                    <w:rPr>
                      <w:b/>
                      <w:bCs/>
                      <w:color w:val="auto"/>
                      <w:szCs w:val="21"/>
                    </w:rPr>
                    <w:t>本项目</w:t>
                  </w:r>
                </w:p>
              </w:tc>
              <w:tc>
                <w:tcPr>
                  <w:tcW w:w="1074" w:type="pct"/>
                  <w:vAlign w:val="center"/>
                </w:tcPr>
                <w:p>
                  <w:pPr>
                    <w:adjustRightInd w:val="0"/>
                    <w:snapToGrid w:val="0"/>
                    <w:jc w:val="center"/>
                    <w:rPr>
                      <w:b/>
                      <w:bCs/>
                      <w:color w:val="auto"/>
                      <w:szCs w:val="21"/>
                    </w:rPr>
                  </w:pPr>
                  <w:r>
                    <w:rPr>
                      <w:b/>
                      <w:bCs/>
                      <w:color w:val="auto"/>
                      <w:szCs w:val="21"/>
                    </w:rPr>
                    <w:t>依托工程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404" w:type="pct"/>
                  <w:vMerge w:val="restart"/>
                  <w:vAlign w:val="center"/>
                </w:tcPr>
                <w:p>
                  <w:pPr>
                    <w:adjustRightInd w:val="0"/>
                    <w:snapToGrid w:val="0"/>
                    <w:jc w:val="center"/>
                    <w:rPr>
                      <w:color w:val="auto"/>
                      <w:szCs w:val="21"/>
                    </w:rPr>
                  </w:pPr>
                  <w:r>
                    <w:rPr>
                      <w:color w:val="auto"/>
                      <w:szCs w:val="21"/>
                    </w:rPr>
                    <w:t>储运</w:t>
                  </w:r>
                </w:p>
                <w:p>
                  <w:pPr>
                    <w:adjustRightInd w:val="0"/>
                    <w:snapToGrid w:val="0"/>
                    <w:jc w:val="center"/>
                    <w:rPr>
                      <w:color w:val="auto"/>
                      <w:szCs w:val="21"/>
                    </w:rPr>
                  </w:pPr>
                  <w:r>
                    <w:rPr>
                      <w:color w:val="auto"/>
                      <w:szCs w:val="21"/>
                    </w:rPr>
                    <w:t>工程</w:t>
                  </w:r>
                </w:p>
              </w:tc>
              <w:tc>
                <w:tcPr>
                  <w:tcW w:w="572" w:type="pct"/>
                  <w:vAlign w:val="center"/>
                </w:tcPr>
                <w:p>
                  <w:pPr>
                    <w:adjustRightInd w:val="0"/>
                    <w:snapToGrid w:val="0"/>
                    <w:jc w:val="center"/>
                    <w:rPr>
                      <w:color w:val="auto"/>
                      <w:szCs w:val="21"/>
                    </w:rPr>
                  </w:pPr>
                  <w:r>
                    <w:rPr>
                      <w:color w:val="auto"/>
                      <w:szCs w:val="21"/>
                    </w:rPr>
                    <w:t>仓库</w:t>
                  </w:r>
                </w:p>
              </w:tc>
              <w:tc>
                <w:tcPr>
                  <w:tcW w:w="1258" w:type="pct"/>
                  <w:vAlign w:val="center"/>
                </w:tcPr>
                <w:p>
                  <w:pPr>
                    <w:adjustRightInd w:val="0"/>
                    <w:snapToGrid w:val="0"/>
                    <w:jc w:val="center"/>
                    <w:rPr>
                      <w:rFonts w:hint="default" w:eastAsia="宋体"/>
                      <w:color w:val="auto"/>
                      <w:szCs w:val="21"/>
                      <w:lang w:val="en-US" w:eastAsia="zh-CN"/>
                    </w:rPr>
                  </w:pPr>
                  <w:r>
                    <w:rPr>
                      <w:rFonts w:hint="eastAsia"/>
                      <w:color w:val="auto"/>
                      <w:szCs w:val="21"/>
                      <w:lang w:val="en-US" w:eastAsia="zh-CN"/>
                    </w:rPr>
                    <w:t>50</w:t>
                  </w:r>
                  <w:r>
                    <w:rPr>
                      <w:color w:val="auto"/>
                      <w:szCs w:val="21"/>
                    </w:rPr>
                    <w:t>m</w:t>
                  </w:r>
                  <w:r>
                    <w:rPr>
                      <w:color w:val="auto"/>
                      <w:szCs w:val="21"/>
                      <w:vertAlign w:val="superscript"/>
                    </w:rPr>
                    <w:t>2</w:t>
                  </w:r>
                </w:p>
              </w:tc>
              <w:tc>
                <w:tcPr>
                  <w:tcW w:w="1690" w:type="pct"/>
                  <w:vAlign w:val="center"/>
                </w:tcPr>
                <w:p>
                  <w:pPr>
                    <w:adjustRightInd w:val="0"/>
                    <w:snapToGrid w:val="0"/>
                    <w:jc w:val="center"/>
                    <w:rPr>
                      <w:color w:val="auto"/>
                      <w:szCs w:val="21"/>
                    </w:rPr>
                  </w:pPr>
                  <w:r>
                    <w:rPr>
                      <w:color w:val="auto"/>
                      <w:szCs w:val="21"/>
                    </w:rPr>
                    <w:t>200m</w:t>
                  </w:r>
                  <w:r>
                    <w:rPr>
                      <w:color w:val="auto"/>
                      <w:szCs w:val="21"/>
                      <w:vertAlign w:val="superscript"/>
                    </w:rPr>
                    <w:t>2</w:t>
                  </w:r>
                </w:p>
              </w:tc>
              <w:tc>
                <w:tcPr>
                  <w:tcW w:w="1074" w:type="pct"/>
                  <w:vAlign w:val="center"/>
                </w:tcPr>
                <w:p>
                  <w:pPr>
                    <w:adjustRightInd w:val="0"/>
                    <w:snapToGrid w:val="0"/>
                    <w:jc w:val="center"/>
                    <w:rPr>
                      <w:color w:val="auto"/>
                      <w:szCs w:val="21"/>
                    </w:rPr>
                  </w:pPr>
                  <w:r>
                    <w:rPr>
                      <w:color w:val="auto"/>
                      <w:szCs w:val="21"/>
                    </w:rPr>
                    <w:t>依托自有厂房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404" w:type="pct"/>
                  <w:vMerge w:val="continue"/>
                  <w:vAlign w:val="center"/>
                </w:tcPr>
                <w:p>
                  <w:pPr>
                    <w:adjustRightInd w:val="0"/>
                    <w:snapToGrid w:val="0"/>
                    <w:jc w:val="center"/>
                    <w:rPr>
                      <w:color w:val="auto"/>
                      <w:szCs w:val="21"/>
                    </w:rPr>
                  </w:pPr>
                </w:p>
              </w:tc>
              <w:tc>
                <w:tcPr>
                  <w:tcW w:w="572" w:type="pct"/>
                  <w:vAlign w:val="center"/>
                </w:tcPr>
                <w:p>
                  <w:pPr>
                    <w:adjustRightInd w:val="0"/>
                    <w:snapToGrid w:val="0"/>
                    <w:jc w:val="center"/>
                    <w:rPr>
                      <w:color w:val="auto"/>
                      <w:szCs w:val="21"/>
                    </w:rPr>
                  </w:pPr>
                  <w:r>
                    <w:rPr>
                      <w:color w:val="auto"/>
                      <w:szCs w:val="21"/>
                    </w:rPr>
                    <w:t>运输</w:t>
                  </w:r>
                </w:p>
              </w:tc>
              <w:tc>
                <w:tcPr>
                  <w:tcW w:w="1258" w:type="pct"/>
                  <w:vAlign w:val="center"/>
                </w:tcPr>
                <w:p>
                  <w:pPr>
                    <w:adjustRightInd w:val="0"/>
                    <w:snapToGrid w:val="0"/>
                    <w:jc w:val="center"/>
                    <w:rPr>
                      <w:color w:val="auto"/>
                      <w:szCs w:val="21"/>
                    </w:rPr>
                  </w:pPr>
                  <w:r>
                    <w:rPr>
                      <w:color w:val="auto"/>
                    </w:rPr>
                    <w:t>汽车运输</w:t>
                  </w:r>
                </w:p>
              </w:tc>
              <w:tc>
                <w:tcPr>
                  <w:tcW w:w="1690" w:type="pct"/>
                  <w:vAlign w:val="center"/>
                </w:tcPr>
                <w:p>
                  <w:pPr>
                    <w:adjustRightInd w:val="0"/>
                    <w:snapToGrid w:val="0"/>
                    <w:jc w:val="center"/>
                    <w:rPr>
                      <w:color w:val="auto"/>
                      <w:szCs w:val="21"/>
                    </w:rPr>
                  </w:pPr>
                  <w:r>
                    <w:rPr>
                      <w:color w:val="auto"/>
                    </w:rPr>
                    <w:t>汽车运输</w:t>
                  </w:r>
                </w:p>
              </w:tc>
              <w:tc>
                <w:tcPr>
                  <w:tcW w:w="1074" w:type="pct"/>
                  <w:vAlign w:val="center"/>
                </w:tcPr>
                <w:p>
                  <w:pPr>
                    <w:adjustRightInd w:val="0"/>
                    <w:snapToGrid w:val="0"/>
                    <w:jc w:val="center"/>
                    <w:rPr>
                      <w:color w:val="auto"/>
                      <w:szCs w:val="21"/>
                    </w:rPr>
                  </w:pPr>
                  <w:r>
                    <w:rPr>
                      <w:color w:val="auto"/>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404" w:type="pct"/>
                  <w:vMerge w:val="restart"/>
                  <w:vAlign w:val="center"/>
                </w:tcPr>
                <w:p>
                  <w:pPr>
                    <w:adjustRightInd w:val="0"/>
                    <w:snapToGrid w:val="0"/>
                    <w:jc w:val="center"/>
                    <w:rPr>
                      <w:color w:val="auto"/>
                      <w:szCs w:val="21"/>
                    </w:rPr>
                  </w:pPr>
                  <w:r>
                    <w:rPr>
                      <w:color w:val="auto"/>
                      <w:szCs w:val="21"/>
                    </w:rPr>
                    <w:t>公用</w:t>
                  </w:r>
                </w:p>
                <w:p>
                  <w:pPr>
                    <w:adjustRightInd w:val="0"/>
                    <w:snapToGrid w:val="0"/>
                    <w:jc w:val="center"/>
                    <w:rPr>
                      <w:color w:val="auto"/>
                      <w:szCs w:val="21"/>
                    </w:rPr>
                  </w:pPr>
                  <w:r>
                    <w:rPr>
                      <w:color w:val="auto"/>
                      <w:szCs w:val="21"/>
                    </w:rPr>
                    <w:t>工程</w:t>
                  </w:r>
                </w:p>
              </w:tc>
              <w:tc>
                <w:tcPr>
                  <w:tcW w:w="572" w:type="pct"/>
                  <w:vAlign w:val="center"/>
                </w:tcPr>
                <w:p>
                  <w:pPr>
                    <w:adjustRightInd w:val="0"/>
                    <w:snapToGrid w:val="0"/>
                    <w:jc w:val="center"/>
                    <w:rPr>
                      <w:color w:val="auto"/>
                      <w:szCs w:val="21"/>
                    </w:rPr>
                  </w:pPr>
                  <w:r>
                    <w:rPr>
                      <w:color w:val="auto"/>
                      <w:szCs w:val="21"/>
                    </w:rPr>
                    <w:t>给水</w:t>
                  </w:r>
                </w:p>
              </w:tc>
              <w:tc>
                <w:tcPr>
                  <w:tcW w:w="1258" w:type="pct"/>
                  <w:vAlign w:val="center"/>
                </w:tcPr>
                <w:p>
                  <w:pPr>
                    <w:adjustRightInd w:val="0"/>
                    <w:snapToGrid w:val="0"/>
                    <w:jc w:val="center"/>
                    <w:rPr>
                      <w:color w:val="auto"/>
                      <w:szCs w:val="21"/>
                    </w:rPr>
                  </w:pPr>
                  <w:r>
                    <w:rPr>
                      <w:color w:val="auto"/>
                      <w:szCs w:val="21"/>
                    </w:rPr>
                    <w:t>600t/a</w:t>
                  </w:r>
                </w:p>
              </w:tc>
              <w:tc>
                <w:tcPr>
                  <w:tcW w:w="1690" w:type="pct"/>
                  <w:vAlign w:val="center"/>
                </w:tcPr>
                <w:p>
                  <w:pPr>
                    <w:adjustRightInd w:val="0"/>
                    <w:snapToGrid w:val="0"/>
                    <w:jc w:val="center"/>
                    <w:rPr>
                      <w:color w:val="auto"/>
                      <w:szCs w:val="21"/>
                    </w:rPr>
                  </w:pPr>
                  <w:r>
                    <w:rPr>
                      <w:color w:val="auto"/>
                      <w:szCs w:val="21"/>
                    </w:rPr>
                    <w:t>新增用水2769.4t/a</w:t>
                  </w:r>
                </w:p>
              </w:tc>
              <w:tc>
                <w:tcPr>
                  <w:tcW w:w="1074" w:type="pct"/>
                  <w:vAlign w:val="center"/>
                </w:tcPr>
                <w:p>
                  <w:pPr>
                    <w:adjustRightInd w:val="0"/>
                    <w:snapToGrid w:val="0"/>
                    <w:jc w:val="center"/>
                    <w:rPr>
                      <w:color w:val="auto"/>
                      <w:szCs w:val="21"/>
                    </w:rPr>
                  </w:pPr>
                  <w:r>
                    <w:rPr>
                      <w:color w:val="auto"/>
                    </w:rPr>
                    <w:t>依托厂内现有供水管网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08" w:hRule="atLeast"/>
                <w:jc w:val="center"/>
              </w:trPr>
              <w:tc>
                <w:tcPr>
                  <w:tcW w:w="404" w:type="pct"/>
                  <w:vMerge w:val="continue"/>
                  <w:vAlign w:val="center"/>
                </w:tcPr>
                <w:p>
                  <w:pPr>
                    <w:adjustRightInd w:val="0"/>
                    <w:snapToGrid w:val="0"/>
                    <w:jc w:val="center"/>
                    <w:rPr>
                      <w:color w:val="auto"/>
                      <w:szCs w:val="21"/>
                    </w:rPr>
                  </w:pPr>
                </w:p>
              </w:tc>
              <w:tc>
                <w:tcPr>
                  <w:tcW w:w="572" w:type="pct"/>
                  <w:vAlign w:val="center"/>
                </w:tcPr>
                <w:p>
                  <w:pPr>
                    <w:adjustRightInd w:val="0"/>
                    <w:snapToGrid w:val="0"/>
                    <w:jc w:val="center"/>
                    <w:rPr>
                      <w:color w:val="auto"/>
                      <w:szCs w:val="21"/>
                    </w:rPr>
                  </w:pPr>
                  <w:r>
                    <w:rPr>
                      <w:color w:val="auto"/>
                      <w:szCs w:val="21"/>
                    </w:rPr>
                    <w:t>排水</w:t>
                  </w:r>
                </w:p>
              </w:tc>
              <w:tc>
                <w:tcPr>
                  <w:tcW w:w="1258" w:type="pct"/>
                  <w:vAlign w:val="center"/>
                </w:tcPr>
                <w:p>
                  <w:pPr>
                    <w:adjustRightInd w:val="0"/>
                    <w:snapToGrid w:val="0"/>
                    <w:jc w:val="center"/>
                    <w:rPr>
                      <w:rFonts w:hint="default" w:eastAsia="宋体"/>
                      <w:color w:val="auto"/>
                      <w:szCs w:val="21"/>
                      <w:lang w:val="en-US" w:eastAsia="zh-CN"/>
                    </w:rPr>
                  </w:pPr>
                  <w:r>
                    <w:rPr>
                      <w:color w:val="auto"/>
                      <w:szCs w:val="21"/>
                    </w:rPr>
                    <w:t>无生产废水排放，年</w:t>
                  </w:r>
                  <w:r>
                    <w:rPr>
                      <w:rFonts w:hint="eastAsia"/>
                      <w:color w:val="auto"/>
                      <w:szCs w:val="21"/>
                      <w:lang w:val="en-US" w:eastAsia="zh-CN"/>
                    </w:rPr>
                    <w:t>排放</w:t>
                  </w:r>
                  <w:r>
                    <w:rPr>
                      <w:color w:val="auto"/>
                      <w:szCs w:val="21"/>
                    </w:rPr>
                    <w:t>生活污水</w:t>
                  </w:r>
                  <w:r>
                    <w:rPr>
                      <w:rFonts w:hint="eastAsia"/>
                      <w:color w:val="auto"/>
                      <w:szCs w:val="21"/>
                      <w:lang w:val="en-US" w:eastAsia="zh-CN"/>
                    </w:rPr>
                    <w:t>600</w:t>
                  </w:r>
                  <w:r>
                    <w:rPr>
                      <w:color w:val="auto"/>
                      <w:szCs w:val="21"/>
                    </w:rPr>
                    <w:t>t/a，生活污水</w:t>
                  </w:r>
                  <w:r>
                    <w:rPr>
                      <w:rFonts w:hint="eastAsia"/>
                      <w:color w:val="auto"/>
                      <w:szCs w:val="21"/>
                      <w:lang w:val="en-US" w:eastAsia="zh-CN"/>
                    </w:rPr>
                    <w:t>接管至厂内污水管网后排入武南污水处理厂</w:t>
                  </w:r>
                </w:p>
              </w:tc>
              <w:tc>
                <w:tcPr>
                  <w:tcW w:w="1690" w:type="pct"/>
                  <w:vAlign w:val="center"/>
                </w:tcPr>
                <w:p>
                  <w:pPr>
                    <w:adjustRightInd w:val="0"/>
                    <w:snapToGrid w:val="0"/>
                    <w:jc w:val="center"/>
                    <w:rPr>
                      <w:color w:val="auto"/>
                    </w:rPr>
                  </w:pPr>
                  <w:r>
                    <w:rPr>
                      <w:color w:val="auto"/>
                    </w:rPr>
                    <w:t>新增生产废水1741.9t/a，生活污水720t/a。生产废水经</w:t>
                  </w:r>
                  <w:r>
                    <w:rPr>
                      <w:rFonts w:hint="eastAsia"/>
                      <w:color w:val="auto"/>
                      <w:lang w:val="en-US" w:eastAsia="zh-CN"/>
                    </w:rPr>
                    <w:t>厂内</w:t>
                  </w:r>
                  <w:r>
                    <w:rPr>
                      <w:color w:val="auto"/>
                    </w:rPr>
                    <w:t>污水处理站处理达标后与生活污水</w:t>
                  </w:r>
                  <w:r>
                    <w:rPr>
                      <w:rFonts w:hint="eastAsia"/>
                      <w:color w:val="auto"/>
                      <w:lang w:val="en-US" w:eastAsia="zh-CN"/>
                    </w:rPr>
                    <w:t>一并</w:t>
                  </w:r>
                  <w:r>
                    <w:rPr>
                      <w:color w:val="auto"/>
                    </w:rPr>
                    <w:t>排放至武南污水处理厂</w:t>
                  </w:r>
                </w:p>
              </w:tc>
              <w:tc>
                <w:tcPr>
                  <w:tcW w:w="1074" w:type="pct"/>
                  <w:vAlign w:val="center"/>
                </w:tcPr>
                <w:p>
                  <w:pPr>
                    <w:adjustRightInd w:val="0"/>
                    <w:snapToGrid w:val="0"/>
                    <w:jc w:val="center"/>
                    <w:rPr>
                      <w:color w:val="auto"/>
                      <w:szCs w:val="21"/>
                    </w:rPr>
                  </w:pPr>
                  <w:r>
                    <w:rPr>
                      <w:color w:val="auto"/>
                    </w:rPr>
                    <w:t>依托厂内现有</w:t>
                  </w:r>
                  <w:r>
                    <w:rPr>
                      <w:rFonts w:hint="eastAsia"/>
                      <w:color w:val="auto"/>
                      <w:lang w:val="en-US" w:eastAsia="zh-CN"/>
                    </w:rPr>
                    <w:t>雨污</w:t>
                  </w:r>
                  <w:r>
                    <w:rPr>
                      <w:color w:val="auto"/>
                    </w:rPr>
                    <w:t>水管网，排入周边河流</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404" w:type="pct"/>
                  <w:vMerge w:val="continue"/>
                  <w:vAlign w:val="center"/>
                </w:tcPr>
                <w:p>
                  <w:pPr>
                    <w:adjustRightInd w:val="0"/>
                    <w:snapToGrid w:val="0"/>
                    <w:jc w:val="center"/>
                    <w:rPr>
                      <w:color w:val="auto"/>
                      <w:szCs w:val="21"/>
                    </w:rPr>
                  </w:pPr>
                </w:p>
              </w:tc>
              <w:tc>
                <w:tcPr>
                  <w:tcW w:w="572" w:type="pct"/>
                  <w:vAlign w:val="center"/>
                </w:tcPr>
                <w:p>
                  <w:pPr>
                    <w:adjustRightInd w:val="0"/>
                    <w:snapToGrid w:val="0"/>
                    <w:jc w:val="center"/>
                    <w:rPr>
                      <w:color w:val="auto"/>
                      <w:szCs w:val="21"/>
                    </w:rPr>
                  </w:pPr>
                  <w:r>
                    <w:rPr>
                      <w:color w:val="auto"/>
                      <w:szCs w:val="21"/>
                    </w:rPr>
                    <w:t>供电</w:t>
                  </w:r>
                </w:p>
              </w:tc>
              <w:tc>
                <w:tcPr>
                  <w:tcW w:w="1258" w:type="pct"/>
                  <w:vAlign w:val="center"/>
                </w:tcPr>
                <w:p>
                  <w:pPr>
                    <w:adjustRightInd w:val="0"/>
                    <w:snapToGrid w:val="0"/>
                    <w:jc w:val="center"/>
                    <w:rPr>
                      <w:rFonts w:hint="default" w:eastAsia="宋体"/>
                      <w:color w:val="auto"/>
                      <w:szCs w:val="21"/>
                      <w:lang w:val="en-US" w:eastAsia="zh-CN"/>
                    </w:rPr>
                  </w:pPr>
                  <w:r>
                    <w:rPr>
                      <w:rFonts w:hint="eastAsia"/>
                      <w:color w:val="auto"/>
                      <w:szCs w:val="21"/>
                      <w:lang w:val="en-US" w:eastAsia="zh-CN"/>
                    </w:rPr>
                    <w:t>5万度</w:t>
                  </w:r>
                </w:p>
              </w:tc>
              <w:tc>
                <w:tcPr>
                  <w:tcW w:w="1690" w:type="pct"/>
                  <w:vAlign w:val="center"/>
                </w:tcPr>
                <w:p>
                  <w:pPr>
                    <w:adjustRightInd w:val="0"/>
                    <w:snapToGrid w:val="0"/>
                    <w:jc w:val="center"/>
                    <w:rPr>
                      <w:color w:val="auto"/>
                      <w:szCs w:val="21"/>
                    </w:rPr>
                  </w:pPr>
                  <w:r>
                    <w:rPr>
                      <w:color w:val="auto"/>
                      <w:szCs w:val="21"/>
                    </w:rPr>
                    <w:t>增加60万度/年，区域供电</w:t>
                  </w:r>
                </w:p>
              </w:tc>
              <w:tc>
                <w:tcPr>
                  <w:tcW w:w="1074" w:type="pct"/>
                  <w:vAlign w:val="center"/>
                </w:tcPr>
                <w:p>
                  <w:pPr>
                    <w:adjustRightInd w:val="0"/>
                    <w:snapToGrid w:val="0"/>
                    <w:jc w:val="center"/>
                    <w:rPr>
                      <w:color w:val="auto"/>
                      <w:szCs w:val="21"/>
                    </w:rPr>
                  </w:pPr>
                  <w:r>
                    <w:rPr>
                      <w:color w:val="auto"/>
                    </w:rPr>
                    <w:t>依托厂内现有的供电系统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404" w:type="pct"/>
                  <w:vMerge w:val="continue"/>
                  <w:vAlign w:val="center"/>
                </w:tcPr>
                <w:p>
                  <w:pPr>
                    <w:adjustRightInd w:val="0"/>
                    <w:snapToGrid w:val="0"/>
                    <w:jc w:val="center"/>
                    <w:rPr>
                      <w:color w:val="auto"/>
                      <w:szCs w:val="21"/>
                    </w:rPr>
                  </w:pPr>
                </w:p>
              </w:tc>
              <w:tc>
                <w:tcPr>
                  <w:tcW w:w="572" w:type="pct"/>
                  <w:vAlign w:val="center"/>
                </w:tcPr>
                <w:p>
                  <w:pPr>
                    <w:adjustRightInd w:val="0"/>
                    <w:snapToGrid w:val="0"/>
                    <w:jc w:val="center"/>
                    <w:rPr>
                      <w:color w:val="auto"/>
                      <w:szCs w:val="21"/>
                    </w:rPr>
                  </w:pPr>
                  <w:r>
                    <w:rPr>
                      <w:color w:val="auto"/>
                      <w:szCs w:val="21"/>
                    </w:rPr>
                    <w:t>供气</w:t>
                  </w:r>
                </w:p>
              </w:tc>
              <w:tc>
                <w:tcPr>
                  <w:tcW w:w="1258" w:type="pct"/>
                  <w:vAlign w:val="center"/>
                </w:tcPr>
                <w:p>
                  <w:pPr>
                    <w:adjustRightInd w:val="0"/>
                    <w:snapToGrid w:val="0"/>
                    <w:jc w:val="center"/>
                    <w:rPr>
                      <w:color w:val="auto"/>
                      <w:szCs w:val="21"/>
                    </w:rPr>
                  </w:pPr>
                  <w:r>
                    <w:rPr>
                      <w:color w:val="auto"/>
                      <w:szCs w:val="21"/>
                    </w:rPr>
                    <w:t>/</w:t>
                  </w:r>
                </w:p>
              </w:tc>
              <w:tc>
                <w:tcPr>
                  <w:tcW w:w="1690" w:type="pct"/>
                  <w:vAlign w:val="center"/>
                </w:tcPr>
                <w:p>
                  <w:pPr>
                    <w:adjustRightInd w:val="0"/>
                    <w:snapToGrid w:val="0"/>
                    <w:jc w:val="center"/>
                    <w:rPr>
                      <w:color w:val="auto"/>
                      <w:szCs w:val="21"/>
                    </w:rPr>
                  </w:pPr>
                  <w:r>
                    <w:rPr>
                      <w:color w:val="auto"/>
                      <w:szCs w:val="21"/>
                    </w:rPr>
                    <w:t>增加</w:t>
                  </w:r>
                  <w:r>
                    <w:rPr>
                      <w:rFonts w:hint="eastAsia"/>
                      <w:color w:val="auto"/>
                      <w:szCs w:val="21"/>
                      <w:lang w:val="en-US" w:eastAsia="zh-CN"/>
                    </w:rPr>
                    <w:t>天然气</w:t>
                  </w:r>
                  <w:r>
                    <w:rPr>
                      <w:color w:val="auto"/>
                      <w:szCs w:val="21"/>
                    </w:rPr>
                    <w:t>30万m</w:t>
                  </w:r>
                  <w:r>
                    <w:rPr>
                      <w:color w:val="auto"/>
                      <w:szCs w:val="21"/>
                      <w:vertAlign w:val="superscript"/>
                    </w:rPr>
                    <w:t>3</w:t>
                  </w:r>
                  <w:r>
                    <w:rPr>
                      <w:color w:val="auto"/>
                      <w:szCs w:val="21"/>
                    </w:rPr>
                    <w:t>/a</w:t>
                  </w:r>
                </w:p>
              </w:tc>
              <w:tc>
                <w:tcPr>
                  <w:tcW w:w="1074" w:type="pct"/>
                  <w:vAlign w:val="center"/>
                </w:tcPr>
                <w:p>
                  <w:pPr>
                    <w:adjustRightInd w:val="0"/>
                    <w:snapToGrid w:val="0"/>
                    <w:jc w:val="center"/>
                    <w:rPr>
                      <w:rFonts w:hint="default" w:eastAsia="宋体"/>
                      <w:color w:val="auto"/>
                      <w:szCs w:val="21"/>
                      <w:lang w:val="en-US" w:eastAsia="zh-CN"/>
                    </w:rPr>
                  </w:pPr>
                  <w:r>
                    <w:rPr>
                      <w:rFonts w:hint="eastAsia"/>
                      <w:color w:val="auto"/>
                      <w:szCs w:val="21"/>
                      <w:lang w:val="en-US" w:eastAsia="zh-CN"/>
                    </w:rPr>
                    <w:t>依托厂内天然气管道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97" w:hRule="atLeast"/>
                <w:jc w:val="center"/>
              </w:trPr>
              <w:tc>
                <w:tcPr>
                  <w:tcW w:w="404" w:type="pct"/>
                  <w:vMerge w:val="restart"/>
                  <w:vAlign w:val="center"/>
                </w:tcPr>
                <w:p>
                  <w:pPr>
                    <w:adjustRightInd w:val="0"/>
                    <w:snapToGrid w:val="0"/>
                    <w:jc w:val="center"/>
                    <w:rPr>
                      <w:color w:val="auto"/>
                      <w:szCs w:val="21"/>
                    </w:rPr>
                  </w:pPr>
                  <w:r>
                    <w:rPr>
                      <w:color w:val="auto"/>
                      <w:szCs w:val="21"/>
                    </w:rPr>
                    <w:t>环保工程</w:t>
                  </w:r>
                </w:p>
              </w:tc>
              <w:tc>
                <w:tcPr>
                  <w:tcW w:w="572" w:type="pct"/>
                  <w:vAlign w:val="center"/>
                </w:tcPr>
                <w:p>
                  <w:pPr>
                    <w:adjustRightInd w:val="0"/>
                    <w:snapToGrid w:val="0"/>
                    <w:jc w:val="center"/>
                    <w:rPr>
                      <w:color w:val="auto"/>
                      <w:szCs w:val="21"/>
                    </w:rPr>
                  </w:pPr>
                  <w:r>
                    <w:rPr>
                      <w:color w:val="auto"/>
                      <w:szCs w:val="21"/>
                    </w:rPr>
                    <w:t>废气治理</w:t>
                  </w:r>
                </w:p>
              </w:tc>
              <w:tc>
                <w:tcPr>
                  <w:tcW w:w="1258" w:type="pct"/>
                  <w:vAlign w:val="center"/>
                </w:tcPr>
                <w:p>
                  <w:pPr>
                    <w:adjustRightInd w:val="0"/>
                    <w:snapToGrid w:val="0"/>
                    <w:jc w:val="center"/>
                    <w:rPr>
                      <w:color w:val="auto"/>
                      <w:szCs w:val="21"/>
                    </w:rPr>
                  </w:pPr>
                  <w:r>
                    <w:rPr>
                      <w:color w:val="auto"/>
                      <w:szCs w:val="21"/>
                    </w:rPr>
                    <w:t>焊接烟尘通过移动除尘器收集后无组织排放</w:t>
                  </w:r>
                </w:p>
              </w:tc>
              <w:tc>
                <w:tcPr>
                  <w:tcW w:w="1690" w:type="pct"/>
                  <w:vAlign w:val="center"/>
                </w:tcPr>
                <w:p>
                  <w:pPr>
                    <w:adjustRightInd w:val="0"/>
                    <w:snapToGrid w:val="0"/>
                    <w:jc w:val="center"/>
                    <w:rPr>
                      <w:color w:val="auto"/>
                      <w:szCs w:val="21"/>
                    </w:rPr>
                  </w:pPr>
                  <w:r>
                    <w:rPr>
                      <w:color w:val="auto"/>
                      <w:szCs w:val="21"/>
                    </w:rPr>
                    <w:t>本项目电泳及烘干工段产生的废气采用集气罩收集，经“二级活性炭吸附装置”处理后，与天然气燃烧废气</w:t>
                  </w:r>
                  <w:r>
                    <w:rPr>
                      <w:rFonts w:hint="eastAsia"/>
                      <w:color w:val="auto"/>
                      <w:lang w:val="en-US" w:eastAsia="zh-CN"/>
                    </w:rPr>
                    <w:t>一并</w:t>
                  </w:r>
                  <w:r>
                    <w:rPr>
                      <w:color w:val="auto"/>
                      <w:szCs w:val="21"/>
                    </w:rPr>
                    <w:t>通过1根15米高排气筒（FQ-1）排放</w:t>
                  </w:r>
                </w:p>
              </w:tc>
              <w:tc>
                <w:tcPr>
                  <w:tcW w:w="1074" w:type="pct"/>
                  <w:vAlign w:val="center"/>
                </w:tcPr>
                <w:p>
                  <w:pPr>
                    <w:adjustRightInd w:val="0"/>
                    <w:snapToGrid w:val="0"/>
                    <w:jc w:val="center"/>
                    <w:rPr>
                      <w:color w:val="auto"/>
                      <w:szCs w:val="21"/>
                    </w:rPr>
                  </w:pPr>
                  <w:r>
                    <w:rPr>
                      <w:color w:val="auto"/>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04" w:type="pct"/>
                  <w:vMerge w:val="continue"/>
                  <w:vAlign w:val="center"/>
                </w:tcPr>
                <w:p>
                  <w:pPr>
                    <w:adjustRightInd w:val="0"/>
                    <w:snapToGrid w:val="0"/>
                    <w:jc w:val="center"/>
                    <w:rPr>
                      <w:color w:val="auto"/>
                      <w:szCs w:val="21"/>
                    </w:rPr>
                  </w:pPr>
                </w:p>
              </w:tc>
              <w:tc>
                <w:tcPr>
                  <w:tcW w:w="572" w:type="pct"/>
                  <w:vAlign w:val="center"/>
                </w:tcPr>
                <w:p>
                  <w:pPr>
                    <w:adjustRightInd w:val="0"/>
                    <w:snapToGrid w:val="0"/>
                    <w:jc w:val="center"/>
                    <w:rPr>
                      <w:color w:val="auto"/>
                      <w:szCs w:val="21"/>
                    </w:rPr>
                  </w:pPr>
                  <w:r>
                    <w:rPr>
                      <w:color w:val="auto"/>
                      <w:szCs w:val="21"/>
                    </w:rPr>
                    <w:t>废水处理</w:t>
                  </w:r>
                </w:p>
              </w:tc>
              <w:tc>
                <w:tcPr>
                  <w:tcW w:w="1258" w:type="pct"/>
                  <w:vAlign w:val="center"/>
                </w:tcPr>
                <w:p>
                  <w:pPr>
                    <w:adjustRightInd w:val="0"/>
                    <w:snapToGrid w:val="0"/>
                    <w:jc w:val="center"/>
                    <w:rPr>
                      <w:rFonts w:hint="default"/>
                      <w:color w:val="auto"/>
                      <w:szCs w:val="21"/>
                      <w:lang w:val="en-US" w:eastAsia="zh-CN"/>
                    </w:rPr>
                  </w:pPr>
                  <w:r>
                    <w:rPr>
                      <w:rFonts w:hint="eastAsia"/>
                      <w:color w:val="auto"/>
                      <w:szCs w:val="21"/>
                      <w:lang w:val="en-US" w:eastAsia="zh-CN"/>
                    </w:rPr>
                    <w:t>生活污水接管至武南污水处理厂处理</w:t>
                  </w:r>
                </w:p>
              </w:tc>
              <w:tc>
                <w:tcPr>
                  <w:tcW w:w="1690" w:type="pct"/>
                  <w:vAlign w:val="center"/>
                </w:tcPr>
                <w:p>
                  <w:pPr>
                    <w:adjustRightInd w:val="0"/>
                    <w:snapToGrid w:val="0"/>
                    <w:jc w:val="center"/>
                    <w:rPr>
                      <w:rFonts w:hint="default"/>
                      <w:color w:val="auto"/>
                      <w:szCs w:val="21"/>
                      <w:lang w:val="en-US" w:eastAsia="zh-CN"/>
                    </w:rPr>
                  </w:pPr>
                  <w:r>
                    <w:rPr>
                      <w:rFonts w:hint="eastAsia"/>
                      <w:color w:val="auto"/>
                      <w:szCs w:val="21"/>
                      <w:lang w:val="en-US" w:eastAsia="zh-CN"/>
                    </w:rPr>
                    <w:t>生产废水经厂内污水处理站处理达标后和生活污水一并排放至武南污水处理厂</w:t>
                  </w:r>
                </w:p>
              </w:tc>
              <w:tc>
                <w:tcPr>
                  <w:tcW w:w="1074" w:type="pct"/>
                  <w:vAlign w:val="center"/>
                </w:tcPr>
                <w:p>
                  <w:pPr>
                    <w:adjustRightInd w:val="0"/>
                    <w:snapToGrid w:val="0"/>
                    <w:jc w:val="center"/>
                    <w:rPr>
                      <w:rFonts w:hint="default" w:eastAsia="宋体"/>
                      <w:color w:val="auto"/>
                      <w:szCs w:val="21"/>
                      <w:lang w:val="en-US" w:eastAsia="zh-CN"/>
                    </w:rPr>
                  </w:pPr>
                  <w:r>
                    <w:rPr>
                      <w:rFonts w:hint="eastAsia"/>
                      <w:color w:val="auto"/>
                      <w:szCs w:val="21"/>
                      <w:lang w:val="en-US" w:eastAsia="zh-CN"/>
                    </w:rPr>
                    <w:t>新增污水处理站，日处理能力5t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404" w:type="pct"/>
                  <w:vMerge w:val="continue"/>
                  <w:vAlign w:val="center"/>
                </w:tcPr>
                <w:p>
                  <w:pPr>
                    <w:adjustRightInd w:val="0"/>
                    <w:snapToGrid w:val="0"/>
                    <w:jc w:val="center"/>
                    <w:rPr>
                      <w:color w:val="auto"/>
                      <w:szCs w:val="21"/>
                    </w:rPr>
                  </w:pPr>
                </w:p>
              </w:tc>
              <w:tc>
                <w:tcPr>
                  <w:tcW w:w="572" w:type="pct"/>
                  <w:vAlign w:val="center"/>
                </w:tcPr>
                <w:p>
                  <w:pPr>
                    <w:adjustRightInd w:val="0"/>
                    <w:snapToGrid w:val="0"/>
                    <w:jc w:val="center"/>
                    <w:rPr>
                      <w:color w:val="auto"/>
                      <w:szCs w:val="21"/>
                    </w:rPr>
                  </w:pPr>
                  <w:r>
                    <w:rPr>
                      <w:color w:val="auto"/>
                      <w:szCs w:val="21"/>
                    </w:rPr>
                    <w:t>噪声处理</w:t>
                  </w:r>
                </w:p>
              </w:tc>
              <w:tc>
                <w:tcPr>
                  <w:tcW w:w="1258" w:type="pct"/>
                  <w:tcBorders>
                    <w:bottom w:val="single" w:color="auto" w:sz="4" w:space="0"/>
                  </w:tcBorders>
                  <w:vAlign w:val="center"/>
                </w:tcPr>
                <w:p>
                  <w:pPr>
                    <w:pStyle w:val="17"/>
                    <w:snapToGrid w:val="0"/>
                    <w:spacing w:after="0" w:line="240" w:lineRule="auto"/>
                    <w:jc w:val="center"/>
                    <w:rPr>
                      <w:color w:val="auto"/>
                      <w:szCs w:val="21"/>
                    </w:rPr>
                  </w:pPr>
                  <w:r>
                    <w:rPr>
                      <w:color w:val="auto"/>
                      <w:szCs w:val="21"/>
                    </w:rPr>
                    <w:t>局部消声、隔音；厂房隔音等</w:t>
                  </w:r>
                </w:p>
              </w:tc>
              <w:tc>
                <w:tcPr>
                  <w:tcW w:w="1690" w:type="pct"/>
                  <w:tcBorders>
                    <w:bottom w:val="single" w:color="auto" w:sz="4" w:space="0"/>
                  </w:tcBorders>
                  <w:vAlign w:val="center"/>
                </w:tcPr>
                <w:p>
                  <w:pPr>
                    <w:pStyle w:val="17"/>
                    <w:snapToGrid w:val="0"/>
                    <w:spacing w:after="0" w:line="240" w:lineRule="auto"/>
                    <w:jc w:val="center"/>
                    <w:rPr>
                      <w:color w:val="auto"/>
                      <w:szCs w:val="21"/>
                    </w:rPr>
                  </w:pPr>
                  <w:r>
                    <w:rPr>
                      <w:color w:val="auto"/>
                      <w:szCs w:val="21"/>
                    </w:rPr>
                    <w:t>局部消声、隔音；厂房隔音等</w:t>
                  </w:r>
                </w:p>
              </w:tc>
              <w:tc>
                <w:tcPr>
                  <w:tcW w:w="1074" w:type="pct"/>
                  <w:vAlign w:val="center"/>
                </w:tcPr>
                <w:p>
                  <w:pPr>
                    <w:pStyle w:val="17"/>
                    <w:snapToGrid w:val="0"/>
                    <w:spacing w:line="260" w:lineRule="exact"/>
                    <w:jc w:val="center"/>
                    <w:rPr>
                      <w:color w:val="auto"/>
                      <w:szCs w:val="21"/>
                    </w:rPr>
                  </w:pPr>
                  <w:r>
                    <w:rPr>
                      <w:color w:val="auto"/>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404" w:type="pct"/>
                  <w:vMerge w:val="continue"/>
                  <w:vAlign w:val="center"/>
                </w:tcPr>
                <w:p>
                  <w:pPr>
                    <w:adjustRightInd w:val="0"/>
                    <w:snapToGrid w:val="0"/>
                    <w:jc w:val="center"/>
                    <w:rPr>
                      <w:color w:val="auto"/>
                      <w:szCs w:val="21"/>
                    </w:rPr>
                  </w:pPr>
                </w:p>
              </w:tc>
              <w:tc>
                <w:tcPr>
                  <w:tcW w:w="572" w:type="pct"/>
                  <w:vMerge w:val="restart"/>
                  <w:vAlign w:val="center"/>
                </w:tcPr>
                <w:p>
                  <w:pPr>
                    <w:adjustRightInd w:val="0"/>
                    <w:snapToGrid w:val="0"/>
                    <w:jc w:val="center"/>
                    <w:rPr>
                      <w:color w:val="auto"/>
                      <w:szCs w:val="21"/>
                    </w:rPr>
                  </w:pPr>
                  <w:r>
                    <w:rPr>
                      <w:color w:val="auto"/>
                      <w:szCs w:val="21"/>
                    </w:rPr>
                    <w:t>固废处理</w:t>
                  </w:r>
                </w:p>
              </w:tc>
              <w:tc>
                <w:tcPr>
                  <w:tcW w:w="1258" w:type="pct"/>
                  <w:vAlign w:val="center"/>
                </w:tcPr>
                <w:p>
                  <w:pPr>
                    <w:pStyle w:val="60"/>
                    <w:tabs>
                      <w:tab w:val="left" w:pos="8100"/>
                    </w:tabs>
                    <w:adjustRightInd w:val="0"/>
                    <w:snapToGrid w:val="0"/>
                    <w:jc w:val="center"/>
                    <w:textAlignment w:val="auto"/>
                    <w:rPr>
                      <w:rFonts w:ascii="Times New Roman" w:hAnsi="Times New Roman"/>
                      <w:bCs/>
                      <w:color w:val="auto"/>
                      <w:sz w:val="21"/>
                      <w:szCs w:val="21"/>
                    </w:rPr>
                  </w:pPr>
                  <w:r>
                    <w:rPr>
                      <w:rFonts w:hint="eastAsia" w:ascii="Times New Roman" w:hAnsi="Times New Roman"/>
                      <w:bCs/>
                      <w:color w:val="auto"/>
                      <w:sz w:val="21"/>
                      <w:szCs w:val="21"/>
                      <w:lang w:val="en-US" w:eastAsia="zh-CN"/>
                    </w:rPr>
                    <w:t>厂内设置</w:t>
                  </w:r>
                  <w:r>
                    <w:rPr>
                      <w:rFonts w:ascii="Times New Roman" w:hAnsi="Times New Roman"/>
                      <w:bCs/>
                      <w:color w:val="auto"/>
                      <w:sz w:val="21"/>
                      <w:szCs w:val="21"/>
                    </w:rPr>
                    <w:t>30m</w:t>
                  </w:r>
                  <w:r>
                    <w:rPr>
                      <w:rFonts w:ascii="Times New Roman" w:hAnsi="Times New Roman"/>
                      <w:bCs/>
                      <w:color w:val="auto"/>
                      <w:sz w:val="21"/>
                      <w:szCs w:val="21"/>
                      <w:vertAlign w:val="superscript"/>
                    </w:rPr>
                    <w:t>2</w:t>
                  </w:r>
                  <w:r>
                    <w:rPr>
                      <w:rFonts w:ascii="Times New Roman" w:hAnsi="Times New Roman"/>
                      <w:bCs/>
                      <w:color w:val="auto"/>
                      <w:sz w:val="21"/>
                      <w:szCs w:val="21"/>
                    </w:rPr>
                    <w:t>一般固废堆场</w:t>
                  </w:r>
                </w:p>
              </w:tc>
              <w:tc>
                <w:tcPr>
                  <w:tcW w:w="1690" w:type="pct"/>
                  <w:vAlign w:val="center"/>
                </w:tcPr>
                <w:p>
                  <w:pPr>
                    <w:pStyle w:val="60"/>
                    <w:tabs>
                      <w:tab w:val="left" w:pos="8100"/>
                    </w:tabs>
                    <w:adjustRightInd w:val="0"/>
                    <w:snapToGrid w:val="0"/>
                    <w:jc w:val="center"/>
                    <w:rPr>
                      <w:rFonts w:ascii="Times New Roman" w:hAnsi="Times New Roman"/>
                      <w:bCs/>
                      <w:color w:val="auto"/>
                      <w:sz w:val="21"/>
                      <w:szCs w:val="21"/>
                    </w:rPr>
                  </w:pPr>
                  <w:r>
                    <w:rPr>
                      <w:rFonts w:ascii="Times New Roman" w:hAnsi="Times New Roman"/>
                      <w:bCs/>
                      <w:color w:val="auto"/>
                      <w:sz w:val="21"/>
                      <w:szCs w:val="21"/>
                    </w:rPr>
                    <w:t>无一般固废产生</w:t>
                  </w:r>
                </w:p>
              </w:tc>
              <w:tc>
                <w:tcPr>
                  <w:tcW w:w="1074" w:type="pct"/>
                  <w:vAlign w:val="center"/>
                </w:tcPr>
                <w:p>
                  <w:pPr>
                    <w:pStyle w:val="60"/>
                    <w:tabs>
                      <w:tab w:val="left" w:pos="8100"/>
                    </w:tabs>
                    <w:adjustRightInd w:val="0"/>
                    <w:snapToGrid w:val="0"/>
                    <w:jc w:val="center"/>
                    <w:textAlignment w:val="auto"/>
                    <w:rPr>
                      <w:rFonts w:ascii="Times New Roman" w:hAnsi="Times New Roman"/>
                      <w:color w:val="auto"/>
                      <w:sz w:val="21"/>
                      <w:szCs w:val="21"/>
                    </w:rPr>
                  </w:pPr>
                  <w:r>
                    <w:rPr>
                      <w:rFonts w:ascii="Times New Roman" w:hAnsi="Times New Roman"/>
                      <w:color w:val="auto"/>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404" w:type="pct"/>
                  <w:vMerge w:val="continue"/>
                  <w:vAlign w:val="center"/>
                </w:tcPr>
                <w:p>
                  <w:pPr>
                    <w:adjustRightInd w:val="0"/>
                    <w:snapToGrid w:val="0"/>
                    <w:jc w:val="center"/>
                    <w:rPr>
                      <w:color w:val="auto"/>
                      <w:szCs w:val="21"/>
                    </w:rPr>
                  </w:pPr>
                </w:p>
              </w:tc>
              <w:tc>
                <w:tcPr>
                  <w:tcW w:w="572" w:type="pct"/>
                  <w:vMerge w:val="continue"/>
                  <w:vAlign w:val="center"/>
                </w:tcPr>
                <w:p>
                  <w:pPr>
                    <w:adjustRightInd w:val="0"/>
                    <w:snapToGrid w:val="0"/>
                    <w:jc w:val="center"/>
                    <w:rPr>
                      <w:color w:val="auto"/>
                      <w:szCs w:val="21"/>
                    </w:rPr>
                  </w:pPr>
                </w:p>
              </w:tc>
              <w:tc>
                <w:tcPr>
                  <w:tcW w:w="1258" w:type="pct"/>
                  <w:vAlign w:val="center"/>
                </w:tcPr>
                <w:p>
                  <w:pPr>
                    <w:pStyle w:val="60"/>
                    <w:tabs>
                      <w:tab w:val="left" w:pos="8100"/>
                    </w:tabs>
                    <w:adjustRightInd w:val="0"/>
                    <w:snapToGrid w:val="0"/>
                    <w:jc w:val="center"/>
                    <w:textAlignment w:val="auto"/>
                    <w:rPr>
                      <w:rFonts w:hint="default" w:ascii="Times New Roman" w:hAnsi="Times New Roman" w:eastAsia="宋体"/>
                      <w:color w:val="auto"/>
                      <w:sz w:val="21"/>
                      <w:szCs w:val="21"/>
                      <w:lang w:val="en-US" w:eastAsia="zh-CN"/>
                    </w:rPr>
                  </w:pPr>
                  <w:r>
                    <w:rPr>
                      <w:rFonts w:ascii="Times New Roman" w:hAnsi="Times New Roman"/>
                      <w:bCs/>
                      <w:color w:val="auto"/>
                      <w:sz w:val="21"/>
                      <w:szCs w:val="21"/>
                    </w:rPr>
                    <w:t>无</w:t>
                  </w:r>
                  <w:r>
                    <w:rPr>
                      <w:rFonts w:hint="eastAsia" w:ascii="Times New Roman" w:hAnsi="Times New Roman"/>
                      <w:bCs/>
                      <w:color w:val="auto"/>
                      <w:sz w:val="21"/>
                      <w:szCs w:val="21"/>
                      <w:lang w:val="en-US" w:eastAsia="zh-CN"/>
                    </w:rPr>
                    <w:t>危险废物产生</w:t>
                  </w:r>
                </w:p>
              </w:tc>
              <w:tc>
                <w:tcPr>
                  <w:tcW w:w="1690" w:type="pct"/>
                  <w:vAlign w:val="center"/>
                </w:tcPr>
                <w:p>
                  <w:pPr>
                    <w:pStyle w:val="60"/>
                    <w:tabs>
                      <w:tab w:val="left" w:pos="8100"/>
                    </w:tabs>
                    <w:adjustRightInd w:val="0"/>
                    <w:snapToGrid w:val="0"/>
                    <w:jc w:val="center"/>
                    <w:rPr>
                      <w:rFonts w:ascii="Times New Roman" w:hAnsi="Times New Roman"/>
                      <w:color w:val="auto"/>
                      <w:sz w:val="21"/>
                      <w:szCs w:val="21"/>
                    </w:rPr>
                  </w:pPr>
                  <w:r>
                    <w:rPr>
                      <w:rFonts w:ascii="Times New Roman" w:hAnsi="Times New Roman"/>
                      <w:color w:val="auto"/>
                      <w:sz w:val="21"/>
                      <w:szCs w:val="21"/>
                    </w:rPr>
                    <w:t>新建一个</w:t>
                  </w:r>
                  <w:r>
                    <w:rPr>
                      <w:rFonts w:hint="eastAsia" w:ascii="Times New Roman" w:hAnsi="Times New Roman"/>
                      <w:color w:val="auto"/>
                      <w:sz w:val="21"/>
                      <w:szCs w:val="21"/>
                      <w:lang w:val="en-US" w:eastAsia="zh-CN"/>
                    </w:rPr>
                    <w:t>3</w:t>
                  </w:r>
                  <w:r>
                    <w:rPr>
                      <w:rFonts w:ascii="Times New Roman" w:hAnsi="Times New Roman"/>
                      <w:color w:val="auto"/>
                      <w:sz w:val="21"/>
                      <w:szCs w:val="21"/>
                    </w:rPr>
                    <w:t>0m</w:t>
                  </w:r>
                  <w:r>
                    <w:rPr>
                      <w:rFonts w:ascii="Times New Roman" w:hAnsi="Times New Roman"/>
                      <w:color w:val="auto"/>
                      <w:sz w:val="21"/>
                      <w:szCs w:val="21"/>
                      <w:vertAlign w:val="superscript"/>
                    </w:rPr>
                    <w:t>2</w:t>
                  </w:r>
                  <w:r>
                    <w:rPr>
                      <w:rFonts w:ascii="Times New Roman" w:hAnsi="Times New Roman"/>
                      <w:color w:val="auto"/>
                      <w:sz w:val="21"/>
                      <w:szCs w:val="21"/>
                    </w:rPr>
                    <w:t>危废仓库</w:t>
                  </w:r>
                </w:p>
              </w:tc>
              <w:tc>
                <w:tcPr>
                  <w:tcW w:w="1074" w:type="pct"/>
                  <w:vAlign w:val="center"/>
                </w:tcPr>
                <w:p>
                  <w:pPr>
                    <w:pStyle w:val="60"/>
                    <w:tabs>
                      <w:tab w:val="left" w:pos="8100"/>
                    </w:tabs>
                    <w:adjustRightInd w:val="0"/>
                    <w:snapToGrid w:val="0"/>
                    <w:jc w:val="center"/>
                    <w:textAlignment w:val="auto"/>
                    <w:rPr>
                      <w:rFonts w:ascii="Times New Roman" w:hAnsi="Times New Roman"/>
                      <w:color w:val="auto"/>
                      <w:sz w:val="21"/>
                      <w:szCs w:val="21"/>
                    </w:rPr>
                  </w:pPr>
                  <w:r>
                    <w:rPr>
                      <w:rFonts w:ascii="Times New Roman" w:hAnsi="Times New Roman"/>
                      <w:color w:val="auto"/>
                      <w:sz w:val="21"/>
                      <w:szCs w:val="21"/>
                    </w:rPr>
                    <w:t>/</w:t>
                  </w:r>
                </w:p>
              </w:tc>
            </w:tr>
          </w:tbl>
          <w:p>
            <w:pPr>
              <w:adjustRightInd w:val="0"/>
              <w:snapToGrid w:val="0"/>
              <w:spacing w:line="360" w:lineRule="auto"/>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5、生产规模及产品方案</w:t>
            </w:r>
          </w:p>
          <w:p>
            <w:pPr>
              <w:adjustRightInd w:val="0"/>
              <w:snapToGrid w:val="0"/>
              <w:spacing w:line="30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产品方案见下表。</w:t>
            </w:r>
          </w:p>
          <w:p>
            <w:pPr>
              <w:adjustRightInd w:val="0"/>
              <w:snapToGrid w:val="0"/>
              <w:jc w:val="center"/>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表2-3</w:t>
            </w:r>
            <w:r>
              <w:rPr>
                <w:rFonts w:hint="eastAsia" w:ascii="Times New Roman" w:hAnsi="Times New Roman" w:eastAsia="宋体" w:cs="Times New Roman"/>
                <w:b/>
                <w:bCs/>
                <w:color w:val="auto"/>
                <w:sz w:val="24"/>
                <w:lang w:val="en-US" w:eastAsia="zh-CN"/>
              </w:rPr>
              <w:t xml:space="preserve">  </w:t>
            </w:r>
            <w:r>
              <w:rPr>
                <w:rFonts w:hint="default" w:ascii="Times New Roman" w:hAnsi="Times New Roman" w:eastAsia="宋体" w:cs="Times New Roman"/>
                <w:b/>
                <w:bCs/>
                <w:color w:val="auto"/>
                <w:sz w:val="24"/>
              </w:rPr>
              <w:t>产品方案一览表</w:t>
            </w:r>
          </w:p>
          <w:tbl>
            <w:tblPr>
              <w:tblStyle w:val="22"/>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1653"/>
              <w:gridCol w:w="1720"/>
              <w:gridCol w:w="1137"/>
              <w:gridCol w:w="1228"/>
              <w:gridCol w:w="1334"/>
              <w:gridCol w:w="92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454" w:hRule="atLeast"/>
                <w:jc w:val="center"/>
              </w:trPr>
              <w:tc>
                <w:tcPr>
                  <w:tcW w:w="253" w:type="pct"/>
                  <w:vMerge w:val="restart"/>
                  <w:vAlign w:val="center"/>
                </w:tcPr>
                <w:p>
                  <w:pPr>
                    <w:widowControl/>
                    <w:adjustRightInd w:val="0"/>
                    <w:snapToGrid w:val="0"/>
                    <w:jc w:val="center"/>
                    <w:rPr>
                      <w:b/>
                      <w:bCs/>
                      <w:color w:val="auto"/>
                      <w:szCs w:val="21"/>
                    </w:rPr>
                  </w:pPr>
                  <w:r>
                    <w:rPr>
                      <w:b/>
                      <w:bCs/>
                      <w:color w:val="auto"/>
                      <w:szCs w:val="21"/>
                    </w:rPr>
                    <w:t>序号</w:t>
                  </w:r>
                </w:p>
              </w:tc>
              <w:tc>
                <w:tcPr>
                  <w:tcW w:w="981" w:type="pct"/>
                  <w:vMerge w:val="restart"/>
                  <w:vAlign w:val="center"/>
                </w:tcPr>
                <w:p>
                  <w:pPr>
                    <w:widowControl/>
                    <w:adjustRightInd w:val="0"/>
                    <w:snapToGrid w:val="0"/>
                    <w:jc w:val="center"/>
                    <w:rPr>
                      <w:b/>
                      <w:bCs/>
                      <w:color w:val="auto"/>
                      <w:szCs w:val="21"/>
                    </w:rPr>
                  </w:pPr>
                  <w:r>
                    <w:rPr>
                      <w:b/>
                      <w:bCs/>
                      <w:color w:val="auto"/>
                      <w:szCs w:val="21"/>
                    </w:rPr>
                    <w:t>工程名称（生产线或生产车间）</w:t>
                  </w:r>
                </w:p>
              </w:tc>
              <w:tc>
                <w:tcPr>
                  <w:tcW w:w="1021" w:type="pct"/>
                  <w:vMerge w:val="restart"/>
                  <w:vAlign w:val="center"/>
                </w:tcPr>
                <w:p>
                  <w:pPr>
                    <w:widowControl/>
                    <w:adjustRightInd w:val="0"/>
                    <w:snapToGrid w:val="0"/>
                    <w:jc w:val="center"/>
                    <w:rPr>
                      <w:b/>
                      <w:bCs/>
                      <w:color w:val="auto"/>
                      <w:szCs w:val="21"/>
                    </w:rPr>
                  </w:pPr>
                  <w:r>
                    <w:rPr>
                      <w:b/>
                      <w:bCs/>
                      <w:color w:val="auto"/>
                      <w:szCs w:val="21"/>
                    </w:rPr>
                    <w:t>产品名称</w:t>
                  </w:r>
                </w:p>
              </w:tc>
              <w:tc>
                <w:tcPr>
                  <w:tcW w:w="2196" w:type="pct"/>
                  <w:gridSpan w:val="3"/>
                  <w:vAlign w:val="center"/>
                </w:tcPr>
                <w:p>
                  <w:pPr>
                    <w:widowControl/>
                    <w:adjustRightInd w:val="0"/>
                    <w:snapToGrid w:val="0"/>
                    <w:jc w:val="center"/>
                    <w:rPr>
                      <w:b/>
                      <w:bCs/>
                      <w:color w:val="auto"/>
                      <w:szCs w:val="21"/>
                    </w:rPr>
                  </w:pPr>
                  <w:r>
                    <w:rPr>
                      <w:b/>
                      <w:bCs/>
                      <w:color w:val="auto"/>
                      <w:szCs w:val="21"/>
                    </w:rPr>
                    <w:t>生产能力</w:t>
                  </w:r>
                </w:p>
              </w:tc>
              <w:tc>
                <w:tcPr>
                  <w:tcW w:w="547" w:type="pct"/>
                  <w:vMerge w:val="restart"/>
                  <w:vAlign w:val="center"/>
                </w:tcPr>
                <w:p>
                  <w:pPr>
                    <w:pStyle w:val="47"/>
                    <w:adjustRightInd w:val="0"/>
                    <w:rPr>
                      <w:rFonts w:ascii="Times New Roman" w:hAnsi="Times New Roman" w:eastAsia="宋体" w:cs="Times New Roman"/>
                      <w:b/>
                      <w:bCs/>
                      <w:color w:val="auto"/>
                      <w:sz w:val="21"/>
                      <w:szCs w:val="21"/>
                    </w:rPr>
                  </w:pPr>
                  <w:r>
                    <w:rPr>
                      <w:rFonts w:ascii="Times New Roman" w:hAnsi="Times New Roman" w:eastAsia="宋体" w:cs="Times New Roman"/>
                      <w:b/>
                      <w:bCs/>
                      <w:color w:val="auto"/>
                      <w:w w:val="100"/>
                      <w:kern w:val="2"/>
                      <w:sz w:val="21"/>
                      <w:szCs w:val="21"/>
                    </w:rPr>
                    <w:t>年运行时数h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253" w:type="pct"/>
                  <w:vMerge w:val="continue"/>
                  <w:vAlign w:val="center"/>
                </w:tcPr>
                <w:p>
                  <w:pPr>
                    <w:widowControl/>
                    <w:adjustRightInd w:val="0"/>
                    <w:snapToGrid w:val="0"/>
                    <w:jc w:val="center"/>
                    <w:rPr>
                      <w:b/>
                      <w:bCs/>
                      <w:color w:val="auto"/>
                      <w:szCs w:val="21"/>
                    </w:rPr>
                  </w:pPr>
                </w:p>
              </w:tc>
              <w:tc>
                <w:tcPr>
                  <w:tcW w:w="981" w:type="pct"/>
                  <w:vMerge w:val="continue"/>
                  <w:vAlign w:val="center"/>
                </w:tcPr>
                <w:p>
                  <w:pPr>
                    <w:widowControl/>
                    <w:adjustRightInd w:val="0"/>
                    <w:snapToGrid w:val="0"/>
                    <w:jc w:val="center"/>
                    <w:rPr>
                      <w:b/>
                      <w:bCs/>
                      <w:color w:val="auto"/>
                      <w:szCs w:val="21"/>
                    </w:rPr>
                  </w:pPr>
                </w:p>
              </w:tc>
              <w:tc>
                <w:tcPr>
                  <w:tcW w:w="1021" w:type="pct"/>
                  <w:vMerge w:val="continue"/>
                  <w:vAlign w:val="center"/>
                </w:tcPr>
                <w:p>
                  <w:pPr>
                    <w:widowControl/>
                    <w:adjustRightInd w:val="0"/>
                    <w:snapToGrid w:val="0"/>
                    <w:jc w:val="center"/>
                    <w:rPr>
                      <w:b/>
                      <w:bCs/>
                      <w:color w:val="auto"/>
                      <w:szCs w:val="21"/>
                    </w:rPr>
                  </w:pPr>
                </w:p>
              </w:tc>
              <w:tc>
                <w:tcPr>
                  <w:tcW w:w="675" w:type="pct"/>
                  <w:vAlign w:val="center"/>
                </w:tcPr>
                <w:p>
                  <w:pPr>
                    <w:widowControl/>
                    <w:adjustRightInd w:val="0"/>
                    <w:snapToGrid w:val="0"/>
                    <w:jc w:val="center"/>
                    <w:rPr>
                      <w:b/>
                      <w:bCs/>
                      <w:color w:val="auto"/>
                      <w:szCs w:val="21"/>
                    </w:rPr>
                  </w:pPr>
                  <w:r>
                    <w:rPr>
                      <w:b/>
                      <w:bCs/>
                      <w:color w:val="auto"/>
                      <w:szCs w:val="21"/>
                    </w:rPr>
                    <w:t>扩建前</w:t>
                  </w:r>
                </w:p>
              </w:tc>
              <w:tc>
                <w:tcPr>
                  <w:tcW w:w="729" w:type="pct"/>
                  <w:vAlign w:val="center"/>
                </w:tcPr>
                <w:p>
                  <w:pPr>
                    <w:widowControl/>
                    <w:adjustRightInd w:val="0"/>
                    <w:snapToGrid w:val="0"/>
                    <w:jc w:val="center"/>
                    <w:rPr>
                      <w:b/>
                      <w:bCs/>
                      <w:color w:val="auto"/>
                      <w:szCs w:val="21"/>
                    </w:rPr>
                  </w:pPr>
                  <w:r>
                    <w:rPr>
                      <w:b/>
                      <w:bCs/>
                      <w:color w:val="auto"/>
                      <w:szCs w:val="21"/>
                    </w:rPr>
                    <w:t>扩建后</w:t>
                  </w:r>
                </w:p>
              </w:tc>
              <w:tc>
                <w:tcPr>
                  <w:tcW w:w="791" w:type="pct"/>
                  <w:vAlign w:val="center"/>
                </w:tcPr>
                <w:p>
                  <w:pPr>
                    <w:widowControl/>
                    <w:adjustRightInd w:val="0"/>
                    <w:snapToGrid w:val="0"/>
                    <w:jc w:val="center"/>
                    <w:rPr>
                      <w:b/>
                      <w:bCs/>
                      <w:color w:val="auto"/>
                      <w:szCs w:val="21"/>
                    </w:rPr>
                  </w:pPr>
                  <w:r>
                    <w:rPr>
                      <w:b/>
                      <w:bCs/>
                      <w:color w:val="auto"/>
                      <w:szCs w:val="21"/>
                    </w:rPr>
                    <w:t>变化量</w:t>
                  </w:r>
                </w:p>
              </w:tc>
              <w:tc>
                <w:tcPr>
                  <w:tcW w:w="547" w:type="pct"/>
                  <w:vMerge w:val="continue"/>
                  <w:vAlign w:val="center"/>
                </w:tcPr>
                <w:p>
                  <w:pPr>
                    <w:pStyle w:val="47"/>
                    <w:adjustRightInd w:val="0"/>
                    <w:rPr>
                      <w:rFonts w:ascii="Times New Roman" w:hAnsi="Times New Roman" w:eastAsia="宋体" w:cs="Times New Roman"/>
                      <w:b/>
                      <w:bCs/>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253" w:type="pct"/>
                  <w:vAlign w:val="center"/>
                </w:tcPr>
                <w:p>
                  <w:pPr>
                    <w:pStyle w:val="47"/>
                    <w:adjustRightInd w:val="0"/>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981" w:type="pct"/>
                  <w:vAlign w:val="center"/>
                </w:tcPr>
                <w:p>
                  <w:pPr>
                    <w:adjustRightInd w:val="0"/>
                    <w:snapToGrid w:val="0"/>
                    <w:jc w:val="center"/>
                    <w:rPr>
                      <w:color w:val="auto"/>
                      <w:szCs w:val="21"/>
                    </w:rPr>
                  </w:pPr>
                  <w:r>
                    <w:rPr>
                      <w:color w:val="auto"/>
                      <w:szCs w:val="21"/>
                    </w:rPr>
                    <w:t>机械零部件电泳生产线</w:t>
                  </w:r>
                </w:p>
              </w:tc>
              <w:tc>
                <w:tcPr>
                  <w:tcW w:w="1021" w:type="pct"/>
                  <w:vAlign w:val="center"/>
                </w:tcPr>
                <w:p>
                  <w:pPr>
                    <w:adjustRightInd w:val="0"/>
                    <w:snapToGrid w:val="0"/>
                    <w:jc w:val="center"/>
                    <w:rPr>
                      <w:color w:val="auto"/>
                      <w:szCs w:val="21"/>
                    </w:rPr>
                  </w:pPr>
                  <w:r>
                    <w:rPr>
                      <w:color w:val="auto"/>
                      <w:szCs w:val="21"/>
                    </w:rPr>
                    <w:t>机械零部件</w:t>
                  </w:r>
                </w:p>
              </w:tc>
              <w:tc>
                <w:tcPr>
                  <w:tcW w:w="675" w:type="pct"/>
                  <w:vAlign w:val="center"/>
                </w:tcPr>
                <w:p>
                  <w:pPr>
                    <w:adjustRightInd w:val="0"/>
                    <w:snapToGrid w:val="0"/>
                    <w:jc w:val="center"/>
                    <w:rPr>
                      <w:color w:val="auto"/>
                      <w:szCs w:val="21"/>
                    </w:rPr>
                  </w:pPr>
                  <w:r>
                    <w:rPr>
                      <w:color w:val="auto"/>
                      <w:szCs w:val="21"/>
                    </w:rPr>
                    <w:t>0</w:t>
                  </w:r>
                </w:p>
              </w:tc>
              <w:tc>
                <w:tcPr>
                  <w:tcW w:w="729" w:type="pct"/>
                  <w:vAlign w:val="center"/>
                </w:tcPr>
                <w:p>
                  <w:pPr>
                    <w:adjustRightInd w:val="0"/>
                    <w:snapToGrid w:val="0"/>
                    <w:jc w:val="center"/>
                    <w:rPr>
                      <w:color w:val="auto"/>
                      <w:szCs w:val="21"/>
                    </w:rPr>
                  </w:pPr>
                  <w:r>
                    <w:rPr>
                      <w:color w:val="auto"/>
                      <w:szCs w:val="21"/>
                    </w:rPr>
                    <w:t>550万件/年</w:t>
                  </w:r>
                </w:p>
              </w:tc>
              <w:tc>
                <w:tcPr>
                  <w:tcW w:w="791" w:type="pct"/>
                  <w:vAlign w:val="center"/>
                </w:tcPr>
                <w:p>
                  <w:pPr>
                    <w:adjustRightInd w:val="0"/>
                    <w:snapToGrid w:val="0"/>
                    <w:jc w:val="center"/>
                    <w:rPr>
                      <w:color w:val="auto"/>
                      <w:szCs w:val="21"/>
                    </w:rPr>
                  </w:pPr>
                  <w:r>
                    <w:rPr>
                      <w:color w:val="auto"/>
                      <w:szCs w:val="21"/>
                    </w:rPr>
                    <w:t>+550万件/年</w:t>
                  </w:r>
                </w:p>
              </w:tc>
              <w:tc>
                <w:tcPr>
                  <w:tcW w:w="547" w:type="pct"/>
                  <w:vAlign w:val="center"/>
                </w:tcPr>
                <w:p>
                  <w:pPr>
                    <w:pStyle w:val="47"/>
                    <w:adjustRightInd w:val="0"/>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4800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253" w:type="pct"/>
                  <w:vAlign w:val="center"/>
                </w:tcPr>
                <w:p>
                  <w:pPr>
                    <w:pStyle w:val="47"/>
                    <w:adjustRightInd w:val="0"/>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w:t>
                  </w:r>
                </w:p>
              </w:tc>
              <w:tc>
                <w:tcPr>
                  <w:tcW w:w="981" w:type="pct"/>
                  <w:vAlign w:val="center"/>
                </w:tcPr>
                <w:p>
                  <w:pPr>
                    <w:adjustRightInd w:val="0"/>
                    <w:snapToGrid w:val="0"/>
                    <w:jc w:val="center"/>
                    <w:rPr>
                      <w:color w:val="auto"/>
                      <w:szCs w:val="21"/>
                    </w:rPr>
                  </w:pPr>
                  <w:r>
                    <w:rPr>
                      <w:color w:val="auto"/>
                      <w:szCs w:val="21"/>
                    </w:rPr>
                    <w:t>常色粉生产线</w:t>
                  </w:r>
                </w:p>
              </w:tc>
              <w:tc>
                <w:tcPr>
                  <w:tcW w:w="1021" w:type="pct"/>
                  <w:vAlign w:val="center"/>
                </w:tcPr>
                <w:p>
                  <w:pPr>
                    <w:adjustRightInd w:val="0"/>
                    <w:snapToGrid w:val="0"/>
                    <w:jc w:val="center"/>
                    <w:rPr>
                      <w:color w:val="auto"/>
                      <w:szCs w:val="21"/>
                    </w:rPr>
                  </w:pPr>
                  <w:r>
                    <w:rPr>
                      <w:color w:val="auto"/>
                      <w:szCs w:val="21"/>
                    </w:rPr>
                    <w:t>常色粉</w:t>
                  </w:r>
                </w:p>
              </w:tc>
              <w:tc>
                <w:tcPr>
                  <w:tcW w:w="675" w:type="pct"/>
                  <w:vAlign w:val="center"/>
                </w:tcPr>
                <w:p>
                  <w:pPr>
                    <w:adjustRightInd w:val="0"/>
                    <w:snapToGrid w:val="0"/>
                    <w:jc w:val="center"/>
                    <w:rPr>
                      <w:color w:val="auto"/>
                      <w:szCs w:val="21"/>
                    </w:rPr>
                  </w:pPr>
                  <w:r>
                    <w:rPr>
                      <w:color w:val="auto"/>
                      <w:szCs w:val="21"/>
                    </w:rPr>
                    <w:t>1000吨/年</w:t>
                  </w:r>
                </w:p>
              </w:tc>
              <w:tc>
                <w:tcPr>
                  <w:tcW w:w="729" w:type="pct"/>
                  <w:vAlign w:val="center"/>
                </w:tcPr>
                <w:p>
                  <w:pPr>
                    <w:adjustRightInd w:val="0"/>
                    <w:snapToGrid w:val="0"/>
                    <w:jc w:val="center"/>
                    <w:rPr>
                      <w:color w:val="auto"/>
                      <w:szCs w:val="21"/>
                    </w:rPr>
                  </w:pPr>
                  <w:r>
                    <w:rPr>
                      <w:color w:val="auto"/>
                      <w:szCs w:val="21"/>
                    </w:rPr>
                    <w:t>0</w:t>
                  </w:r>
                </w:p>
              </w:tc>
              <w:tc>
                <w:tcPr>
                  <w:tcW w:w="791" w:type="pct"/>
                  <w:vAlign w:val="center"/>
                </w:tcPr>
                <w:p>
                  <w:pPr>
                    <w:adjustRightInd w:val="0"/>
                    <w:snapToGrid w:val="0"/>
                    <w:jc w:val="center"/>
                    <w:rPr>
                      <w:color w:val="auto"/>
                      <w:szCs w:val="21"/>
                    </w:rPr>
                  </w:pPr>
                  <w:r>
                    <w:rPr>
                      <w:color w:val="auto"/>
                      <w:szCs w:val="21"/>
                    </w:rPr>
                    <w:t>-1000吨/年</w:t>
                  </w:r>
                </w:p>
              </w:tc>
              <w:tc>
                <w:tcPr>
                  <w:tcW w:w="547" w:type="pct"/>
                  <w:vAlign w:val="center"/>
                </w:tcPr>
                <w:p>
                  <w:pPr>
                    <w:pStyle w:val="47"/>
                    <w:adjustRightInd w:val="0"/>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253" w:type="pct"/>
                  <w:vMerge w:val="restart"/>
                  <w:vAlign w:val="center"/>
                </w:tcPr>
                <w:p>
                  <w:pPr>
                    <w:pStyle w:val="47"/>
                    <w:adjustRightInd w:val="0"/>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981" w:type="pct"/>
                  <w:vMerge w:val="restart"/>
                  <w:vAlign w:val="center"/>
                </w:tcPr>
                <w:p>
                  <w:pPr>
                    <w:adjustRightInd w:val="0"/>
                    <w:snapToGrid w:val="0"/>
                    <w:jc w:val="center"/>
                    <w:rPr>
                      <w:color w:val="auto"/>
                      <w:szCs w:val="21"/>
                    </w:rPr>
                  </w:pPr>
                  <w:r>
                    <w:rPr>
                      <w:color w:val="auto"/>
                      <w:szCs w:val="21"/>
                    </w:rPr>
                    <w:t>柴油机消声器、机械零部件制造加工生产线</w:t>
                  </w:r>
                </w:p>
              </w:tc>
              <w:tc>
                <w:tcPr>
                  <w:tcW w:w="1021" w:type="pct"/>
                  <w:vAlign w:val="center"/>
                </w:tcPr>
                <w:p>
                  <w:pPr>
                    <w:adjustRightInd w:val="0"/>
                    <w:snapToGrid w:val="0"/>
                    <w:jc w:val="center"/>
                    <w:rPr>
                      <w:color w:val="auto"/>
                      <w:szCs w:val="21"/>
                    </w:rPr>
                  </w:pPr>
                  <w:r>
                    <w:rPr>
                      <w:color w:val="auto"/>
                      <w:szCs w:val="21"/>
                    </w:rPr>
                    <w:t>柴油机消声器</w:t>
                  </w:r>
                </w:p>
              </w:tc>
              <w:tc>
                <w:tcPr>
                  <w:tcW w:w="675" w:type="pct"/>
                  <w:vAlign w:val="center"/>
                </w:tcPr>
                <w:p>
                  <w:pPr>
                    <w:adjustRightInd w:val="0"/>
                    <w:snapToGrid w:val="0"/>
                    <w:jc w:val="center"/>
                    <w:rPr>
                      <w:color w:val="auto"/>
                      <w:szCs w:val="21"/>
                    </w:rPr>
                  </w:pPr>
                  <w:r>
                    <w:rPr>
                      <w:color w:val="auto"/>
                      <w:szCs w:val="21"/>
                    </w:rPr>
                    <w:t>30万只</w:t>
                  </w:r>
                </w:p>
              </w:tc>
              <w:tc>
                <w:tcPr>
                  <w:tcW w:w="729" w:type="pct"/>
                  <w:vAlign w:val="center"/>
                </w:tcPr>
                <w:p>
                  <w:pPr>
                    <w:adjustRightInd w:val="0"/>
                    <w:snapToGrid w:val="0"/>
                    <w:jc w:val="center"/>
                    <w:rPr>
                      <w:color w:val="auto"/>
                      <w:szCs w:val="21"/>
                    </w:rPr>
                  </w:pPr>
                  <w:r>
                    <w:rPr>
                      <w:color w:val="auto"/>
                      <w:szCs w:val="21"/>
                    </w:rPr>
                    <w:t>30万只</w:t>
                  </w:r>
                </w:p>
              </w:tc>
              <w:tc>
                <w:tcPr>
                  <w:tcW w:w="791" w:type="pct"/>
                  <w:vAlign w:val="center"/>
                </w:tcPr>
                <w:p>
                  <w:pPr>
                    <w:adjustRightInd w:val="0"/>
                    <w:snapToGrid w:val="0"/>
                    <w:jc w:val="center"/>
                    <w:rPr>
                      <w:color w:val="auto"/>
                      <w:szCs w:val="21"/>
                    </w:rPr>
                  </w:pPr>
                  <w:r>
                    <w:rPr>
                      <w:color w:val="auto"/>
                      <w:szCs w:val="21"/>
                    </w:rPr>
                    <w:t>0</w:t>
                  </w:r>
                </w:p>
              </w:tc>
              <w:tc>
                <w:tcPr>
                  <w:tcW w:w="547" w:type="pct"/>
                  <w:vMerge w:val="restart"/>
                  <w:vAlign w:val="center"/>
                </w:tcPr>
                <w:p>
                  <w:pPr>
                    <w:pStyle w:val="47"/>
                    <w:adjustRightInd w:val="0"/>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253" w:type="pct"/>
                  <w:vMerge w:val="continue"/>
                  <w:vAlign w:val="center"/>
                </w:tcPr>
                <w:p>
                  <w:pPr>
                    <w:pStyle w:val="47"/>
                    <w:adjustRightInd w:val="0"/>
                    <w:rPr>
                      <w:rFonts w:ascii="Times New Roman" w:hAnsi="Times New Roman" w:eastAsia="宋体" w:cs="Times New Roman"/>
                      <w:color w:val="auto"/>
                      <w:sz w:val="21"/>
                      <w:szCs w:val="21"/>
                    </w:rPr>
                  </w:pPr>
                </w:p>
              </w:tc>
              <w:tc>
                <w:tcPr>
                  <w:tcW w:w="981" w:type="pct"/>
                  <w:vMerge w:val="continue"/>
                  <w:vAlign w:val="center"/>
                </w:tcPr>
                <w:p>
                  <w:pPr>
                    <w:adjustRightInd w:val="0"/>
                    <w:snapToGrid w:val="0"/>
                    <w:jc w:val="center"/>
                    <w:rPr>
                      <w:color w:val="auto"/>
                      <w:szCs w:val="21"/>
                    </w:rPr>
                  </w:pPr>
                </w:p>
              </w:tc>
              <w:tc>
                <w:tcPr>
                  <w:tcW w:w="1021" w:type="pct"/>
                  <w:vAlign w:val="center"/>
                </w:tcPr>
                <w:p>
                  <w:pPr>
                    <w:adjustRightInd w:val="0"/>
                    <w:snapToGrid w:val="0"/>
                    <w:jc w:val="center"/>
                    <w:rPr>
                      <w:color w:val="auto"/>
                      <w:szCs w:val="21"/>
                    </w:rPr>
                  </w:pPr>
                  <w:r>
                    <w:rPr>
                      <w:color w:val="auto"/>
                      <w:szCs w:val="21"/>
                    </w:rPr>
                    <w:t>机械零部件</w:t>
                  </w:r>
                </w:p>
              </w:tc>
              <w:tc>
                <w:tcPr>
                  <w:tcW w:w="675" w:type="pct"/>
                  <w:vAlign w:val="center"/>
                </w:tcPr>
                <w:p>
                  <w:pPr>
                    <w:adjustRightInd w:val="0"/>
                    <w:snapToGrid w:val="0"/>
                    <w:jc w:val="center"/>
                    <w:rPr>
                      <w:color w:val="auto"/>
                      <w:szCs w:val="21"/>
                    </w:rPr>
                  </w:pPr>
                  <w:r>
                    <w:rPr>
                      <w:color w:val="auto"/>
                      <w:szCs w:val="21"/>
                    </w:rPr>
                    <w:t>20万件</w:t>
                  </w:r>
                </w:p>
              </w:tc>
              <w:tc>
                <w:tcPr>
                  <w:tcW w:w="729" w:type="pct"/>
                  <w:vAlign w:val="center"/>
                </w:tcPr>
                <w:p>
                  <w:pPr>
                    <w:adjustRightInd w:val="0"/>
                    <w:snapToGrid w:val="0"/>
                    <w:jc w:val="center"/>
                    <w:rPr>
                      <w:color w:val="auto"/>
                      <w:szCs w:val="21"/>
                    </w:rPr>
                  </w:pPr>
                  <w:r>
                    <w:rPr>
                      <w:color w:val="auto"/>
                      <w:szCs w:val="21"/>
                    </w:rPr>
                    <w:t>20万件</w:t>
                  </w:r>
                </w:p>
              </w:tc>
              <w:tc>
                <w:tcPr>
                  <w:tcW w:w="791" w:type="pct"/>
                  <w:vAlign w:val="center"/>
                </w:tcPr>
                <w:p>
                  <w:pPr>
                    <w:adjustRightInd w:val="0"/>
                    <w:snapToGrid w:val="0"/>
                    <w:jc w:val="center"/>
                    <w:rPr>
                      <w:color w:val="auto"/>
                      <w:szCs w:val="21"/>
                    </w:rPr>
                  </w:pPr>
                  <w:r>
                    <w:rPr>
                      <w:color w:val="auto"/>
                      <w:szCs w:val="21"/>
                    </w:rPr>
                    <w:t>0</w:t>
                  </w:r>
                </w:p>
              </w:tc>
              <w:tc>
                <w:tcPr>
                  <w:tcW w:w="547" w:type="pct"/>
                  <w:vMerge w:val="continue"/>
                  <w:vAlign w:val="center"/>
                </w:tcPr>
                <w:p>
                  <w:pPr>
                    <w:pStyle w:val="47"/>
                    <w:adjustRightInd w:val="0"/>
                    <w:rPr>
                      <w:rFonts w:ascii="Times New Roman" w:hAnsi="Times New Roman" w:eastAsia="宋体" w:cs="Times New Roman"/>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253" w:type="pct"/>
                  <w:vAlign w:val="center"/>
                </w:tcPr>
                <w:p>
                  <w:pPr>
                    <w:pStyle w:val="47"/>
                    <w:adjustRightInd w:val="0"/>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5</w:t>
                  </w:r>
                </w:p>
              </w:tc>
              <w:tc>
                <w:tcPr>
                  <w:tcW w:w="981" w:type="pct"/>
                  <w:vAlign w:val="center"/>
                </w:tcPr>
                <w:p>
                  <w:pPr>
                    <w:adjustRightInd w:val="0"/>
                    <w:snapToGrid w:val="0"/>
                    <w:jc w:val="center"/>
                    <w:rPr>
                      <w:color w:val="auto"/>
                      <w:szCs w:val="21"/>
                    </w:rPr>
                  </w:pPr>
                  <w:r>
                    <w:rPr>
                      <w:color w:val="auto"/>
                      <w:szCs w:val="21"/>
                    </w:rPr>
                    <w:t>促染剂生产线</w:t>
                  </w:r>
                </w:p>
              </w:tc>
              <w:tc>
                <w:tcPr>
                  <w:tcW w:w="1021" w:type="pct"/>
                  <w:vAlign w:val="center"/>
                </w:tcPr>
                <w:p>
                  <w:pPr>
                    <w:adjustRightInd w:val="0"/>
                    <w:snapToGrid w:val="0"/>
                    <w:jc w:val="center"/>
                    <w:rPr>
                      <w:color w:val="auto"/>
                      <w:szCs w:val="21"/>
                    </w:rPr>
                  </w:pPr>
                  <w:r>
                    <w:rPr>
                      <w:color w:val="auto"/>
                      <w:szCs w:val="21"/>
                    </w:rPr>
                    <w:t>促染剂</w:t>
                  </w:r>
                </w:p>
              </w:tc>
              <w:tc>
                <w:tcPr>
                  <w:tcW w:w="675" w:type="pct"/>
                  <w:vAlign w:val="center"/>
                </w:tcPr>
                <w:p>
                  <w:pPr>
                    <w:adjustRightInd w:val="0"/>
                    <w:snapToGrid w:val="0"/>
                    <w:jc w:val="center"/>
                    <w:rPr>
                      <w:color w:val="auto"/>
                      <w:szCs w:val="21"/>
                    </w:rPr>
                  </w:pPr>
                  <w:r>
                    <w:rPr>
                      <w:color w:val="auto"/>
                      <w:szCs w:val="21"/>
                    </w:rPr>
                    <w:t>10000吨</w:t>
                  </w:r>
                </w:p>
              </w:tc>
              <w:tc>
                <w:tcPr>
                  <w:tcW w:w="729" w:type="pct"/>
                  <w:vAlign w:val="center"/>
                </w:tcPr>
                <w:p>
                  <w:pPr>
                    <w:adjustRightInd w:val="0"/>
                    <w:snapToGrid w:val="0"/>
                    <w:jc w:val="center"/>
                    <w:rPr>
                      <w:color w:val="auto"/>
                      <w:szCs w:val="21"/>
                    </w:rPr>
                  </w:pPr>
                  <w:r>
                    <w:rPr>
                      <w:color w:val="auto"/>
                      <w:szCs w:val="21"/>
                    </w:rPr>
                    <w:t>0</w:t>
                  </w:r>
                </w:p>
              </w:tc>
              <w:tc>
                <w:tcPr>
                  <w:tcW w:w="791" w:type="pct"/>
                  <w:vAlign w:val="center"/>
                </w:tcPr>
                <w:p>
                  <w:pPr>
                    <w:adjustRightInd w:val="0"/>
                    <w:snapToGrid w:val="0"/>
                    <w:jc w:val="center"/>
                    <w:rPr>
                      <w:color w:val="auto"/>
                      <w:szCs w:val="21"/>
                    </w:rPr>
                  </w:pPr>
                  <w:r>
                    <w:rPr>
                      <w:color w:val="auto"/>
                      <w:szCs w:val="21"/>
                    </w:rPr>
                    <w:t>-10000吨</w:t>
                  </w:r>
                </w:p>
              </w:tc>
              <w:tc>
                <w:tcPr>
                  <w:tcW w:w="547" w:type="pct"/>
                  <w:vAlign w:val="center"/>
                </w:tcPr>
                <w:p>
                  <w:pPr>
                    <w:pStyle w:val="47"/>
                    <w:adjustRightInd w:val="0"/>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253" w:type="pct"/>
                  <w:vAlign w:val="center"/>
                </w:tcPr>
                <w:p>
                  <w:pPr>
                    <w:pStyle w:val="47"/>
                    <w:adjustRightInd w:val="0"/>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6</w:t>
                  </w:r>
                </w:p>
              </w:tc>
              <w:tc>
                <w:tcPr>
                  <w:tcW w:w="981" w:type="pct"/>
                  <w:vAlign w:val="center"/>
                </w:tcPr>
                <w:p>
                  <w:pPr>
                    <w:adjustRightInd w:val="0"/>
                    <w:snapToGrid w:val="0"/>
                    <w:jc w:val="center"/>
                    <w:rPr>
                      <w:color w:val="auto"/>
                      <w:szCs w:val="21"/>
                    </w:rPr>
                  </w:pPr>
                  <w:r>
                    <w:rPr>
                      <w:color w:val="auto"/>
                      <w:szCs w:val="21"/>
                    </w:rPr>
                    <w:t>玻璃钢制品生产线</w:t>
                  </w:r>
                </w:p>
              </w:tc>
              <w:tc>
                <w:tcPr>
                  <w:tcW w:w="1021" w:type="pct"/>
                  <w:vAlign w:val="center"/>
                </w:tcPr>
                <w:p>
                  <w:pPr>
                    <w:adjustRightInd w:val="0"/>
                    <w:snapToGrid w:val="0"/>
                    <w:jc w:val="center"/>
                    <w:rPr>
                      <w:color w:val="auto"/>
                      <w:szCs w:val="21"/>
                    </w:rPr>
                  </w:pPr>
                  <w:r>
                    <w:rPr>
                      <w:color w:val="auto"/>
                      <w:szCs w:val="21"/>
                    </w:rPr>
                    <w:t>玻璃钢制品</w:t>
                  </w:r>
                </w:p>
              </w:tc>
              <w:tc>
                <w:tcPr>
                  <w:tcW w:w="675" w:type="pct"/>
                  <w:vAlign w:val="center"/>
                </w:tcPr>
                <w:p>
                  <w:pPr>
                    <w:adjustRightInd w:val="0"/>
                    <w:snapToGrid w:val="0"/>
                    <w:jc w:val="center"/>
                    <w:rPr>
                      <w:color w:val="auto"/>
                      <w:szCs w:val="21"/>
                    </w:rPr>
                  </w:pPr>
                  <w:r>
                    <w:rPr>
                      <w:color w:val="auto"/>
                      <w:szCs w:val="21"/>
                    </w:rPr>
                    <w:t>150吨</w:t>
                  </w:r>
                </w:p>
              </w:tc>
              <w:tc>
                <w:tcPr>
                  <w:tcW w:w="729" w:type="pct"/>
                  <w:vAlign w:val="center"/>
                </w:tcPr>
                <w:p>
                  <w:pPr>
                    <w:adjustRightInd w:val="0"/>
                    <w:snapToGrid w:val="0"/>
                    <w:jc w:val="center"/>
                    <w:rPr>
                      <w:color w:val="auto"/>
                      <w:szCs w:val="21"/>
                    </w:rPr>
                  </w:pPr>
                  <w:r>
                    <w:rPr>
                      <w:color w:val="auto"/>
                      <w:szCs w:val="21"/>
                    </w:rPr>
                    <w:t>0</w:t>
                  </w:r>
                </w:p>
              </w:tc>
              <w:tc>
                <w:tcPr>
                  <w:tcW w:w="791" w:type="pct"/>
                  <w:vAlign w:val="center"/>
                </w:tcPr>
                <w:p>
                  <w:pPr>
                    <w:adjustRightInd w:val="0"/>
                    <w:snapToGrid w:val="0"/>
                    <w:jc w:val="center"/>
                    <w:rPr>
                      <w:color w:val="auto"/>
                      <w:szCs w:val="21"/>
                    </w:rPr>
                  </w:pPr>
                  <w:r>
                    <w:rPr>
                      <w:color w:val="auto"/>
                      <w:szCs w:val="21"/>
                    </w:rPr>
                    <w:t>-150吨</w:t>
                  </w:r>
                </w:p>
              </w:tc>
              <w:tc>
                <w:tcPr>
                  <w:tcW w:w="547" w:type="pct"/>
                  <w:vAlign w:val="center"/>
                </w:tcPr>
                <w:p>
                  <w:pPr>
                    <w:pStyle w:val="47"/>
                    <w:adjustRightInd w:val="0"/>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w:t>
                  </w:r>
                </w:p>
              </w:tc>
            </w:tr>
          </w:tbl>
          <w:p>
            <w:pPr>
              <w:adjustRightInd w:val="0"/>
              <w:snapToGrid w:val="0"/>
              <w:spacing w:line="360" w:lineRule="auto"/>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6、设备清单</w:t>
            </w:r>
          </w:p>
          <w:p>
            <w:pPr>
              <w:spacing w:line="360" w:lineRule="auto"/>
              <w:ind w:firstLine="480" w:firstLineChars="200"/>
              <w:rPr>
                <w:rFonts w:hint="default" w:ascii="Times New Roman" w:hAnsi="Times New Roman" w:eastAsia="宋体" w:cs="Times New Roman"/>
                <w:b/>
                <w:bCs/>
                <w:color w:val="auto"/>
                <w:sz w:val="24"/>
              </w:rPr>
            </w:pPr>
            <w:r>
              <w:rPr>
                <w:rFonts w:hint="default" w:ascii="Times New Roman" w:hAnsi="Times New Roman" w:eastAsia="宋体" w:cs="Times New Roman"/>
                <w:color w:val="auto"/>
                <w:sz w:val="24"/>
              </w:rPr>
              <w:t>主要生产设备见下表。</w:t>
            </w:r>
          </w:p>
          <w:p>
            <w:pPr>
              <w:adjustRightInd w:val="0"/>
              <w:snapToGrid w:val="0"/>
              <w:jc w:val="center"/>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表2-4主要设施规格、数量状况</w:t>
            </w:r>
          </w:p>
          <w:tbl>
            <w:tblPr>
              <w:tblStyle w:val="22"/>
              <w:tblW w:w="4998"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583"/>
              <w:gridCol w:w="903"/>
              <w:gridCol w:w="2109"/>
              <w:gridCol w:w="1917"/>
              <w:gridCol w:w="965"/>
              <w:gridCol w:w="910"/>
              <w:gridCol w:w="1033"/>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883" w:type="pct"/>
                  <w:gridSpan w:val="2"/>
                  <w:vMerge w:val="restart"/>
                  <w:vAlign w:val="center"/>
                </w:tcPr>
                <w:p>
                  <w:pPr>
                    <w:adjustRightInd w:val="0"/>
                    <w:snapToGrid w:val="0"/>
                    <w:jc w:val="center"/>
                    <w:rPr>
                      <w:b/>
                      <w:bCs/>
                      <w:color w:val="auto"/>
                      <w:szCs w:val="21"/>
                    </w:rPr>
                  </w:pPr>
                  <w:r>
                    <w:rPr>
                      <w:b/>
                      <w:bCs/>
                      <w:color w:val="auto"/>
                      <w:szCs w:val="21"/>
                    </w:rPr>
                    <w:t>类别</w:t>
                  </w:r>
                </w:p>
              </w:tc>
              <w:tc>
                <w:tcPr>
                  <w:tcW w:w="1252" w:type="pct"/>
                  <w:vMerge w:val="restart"/>
                  <w:vAlign w:val="center"/>
                </w:tcPr>
                <w:p>
                  <w:pPr>
                    <w:adjustRightInd w:val="0"/>
                    <w:snapToGrid w:val="0"/>
                    <w:jc w:val="center"/>
                    <w:rPr>
                      <w:b/>
                      <w:bCs/>
                      <w:color w:val="auto"/>
                      <w:szCs w:val="21"/>
                    </w:rPr>
                  </w:pPr>
                  <w:r>
                    <w:rPr>
                      <w:b/>
                      <w:bCs/>
                      <w:color w:val="auto"/>
                      <w:szCs w:val="21"/>
                    </w:rPr>
                    <w:t>设备名称</w:t>
                  </w:r>
                </w:p>
              </w:tc>
              <w:tc>
                <w:tcPr>
                  <w:tcW w:w="1138" w:type="pct"/>
                  <w:vMerge w:val="restart"/>
                  <w:vAlign w:val="center"/>
                </w:tcPr>
                <w:p>
                  <w:pPr>
                    <w:adjustRightInd w:val="0"/>
                    <w:snapToGrid w:val="0"/>
                    <w:jc w:val="center"/>
                    <w:rPr>
                      <w:b/>
                      <w:bCs/>
                      <w:color w:val="auto"/>
                      <w:szCs w:val="21"/>
                    </w:rPr>
                  </w:pPr>
                  <w:r>
                    <w:rPr>
                      <w:b/>
                      <w:bCs/>
                      <w:color w:val="auto"/>
                      <w:szCs w:val="21"/>
                    </w:rPr>
                    <w:t>规格、型号</w:t>
                  </w:r>
                </w:p>
              </w:tc>
              <w:tc>
                <w:tcPr>
                  <w:tcW w:w="1726" w:type="pct"/>
                  <w:gridSpan w:val="3"/>
                  <w:tcBorders>
                    <w:left w:val="single" w:color="auto" w:sz="4" w:space="0"/>
                  </w:tcBorders>
                  <w:vAlign w:val="center"/>
                </w:tcPr>
                <w:p>
                  <w:pPr>
                    <w:adjustRightInd w:val="0"/>
                    <w:snapToGrid w:val="0"/>
                    <w:jc w:val="center"/>
                    <w:rPr>
                      <w:b/>
                      <w:bCs/>
                      <w:color w:val="auto"/>
                      <w:szCs w:val="21"/>
                    </w:rPr>
                  </w:pPr>
                  <w:r>
                    <w:rPr>
                      <w:b/>
                      <w:bCs/>
                      <w:color w:val="auto"/>
                      <w:szCs w:val="21"/>
                    </w:rPr>
                    <w:t>数量(台/套）</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915" w:hRule="atLeast"/>
                <w:jc w:val="center"/>
              </w:trPr>
              <w:tc>
                <w:tcPr>
                  <w:tcW w:w="883" w:type="pct"/>
                  <w:gridSpan w:val="2"/>
                  <w:vMerge w:val="continue"/>
                  <w:vAlign w:val="center"/>
                </w:tcPr>
                <w:p>
                  <w:pPr>
                    <w:adjustRightInd w:val="0"/>
                    <w:snapToGrid w:val="0"/>
                    <w:jc w:val="center"/>
                    <w:rPr>
                      <w:b/>
                      <w:bCs/>
                      <w:color w:val="auto"/>
                      <w:szCs w:val="21"/>
                    </w:rPr>
                  </w:pPr>
                </w:p>
              </w:tc>
              <w:tc>
                <w:tcPr>
                  <w:tcW w:w="1252" w:type="pct"/>
                  <w:vMerge w:val="continue"/>
                  <w:vAlign w:val="center"/>
                </w:tcPr>
                <w:p>
                  <w:pPr>
                    <w:adjustRightInd w:val="0"/>
                    <w:snapToGrid w:val="0"/>
                    <w:jc w:val="center"/>
                    <w:rPr>
                      <w:b/>
                      <w:bCs/>
                      <w:color w:val="auto"/>
                      <w:szCs w:val="21"/>
                    </w:rPr>
                  </w:pPr>
                </w:p>
              </w:tc>
              <w:tc>
                <w:tcPr>
                  <w:tcW w:w="1138" w:type="pct"/>
                  <w:vMerge w:val="continue"/>
                  <w:vAlign w:val="center"/>
                </w:tcPr>
                <w:p>
                  <w:pPr>
                    <w:adjustRightInd w:val="0"/>
                    <w:snapToGrid w:val="0"/>
                    <w:jc w:val="center"/>
                    <w:rPr>
                      <w:b/>
                      <w:bCs/>
                      <w:color w:val="auto"/>
                      <w:szCs w:val="21"/>
                    </w:rPr>
                  </w:pPr>
                </w:p>
              </w:tc>
              <w:tc>
                <w:tcPr>
                  <w:tcW w:w="573" w:type="pct"/>
                  <w:tcBorders>
                    <w:right w:val="single" w:color="auto" w:sz="4" w:space="0"/>
                  </w:tcBorders>
                  <w:vAlign w:val="center"/>
                </w:tcPr>
                <w:p>
                  <w:pPr>
                    <w:adjustRightInd w:val="0"/>
                    <w:snapToGrid w:val="0"/>
                    <w:jc w:val="center"/>
                    <w:rPr>
                      <w:b/>
                      <w:bCs/>
                      <w:color w:val="auto"/>
                      <w:szCs w:val="21"/>
                    </w:rPr>
                  </w:pPr>
                  <w:r>
                    <w:rPr>
                      <w:b/>
                      <w:bCs/>
                      <w:color w:val="auto"/>
                      <w:szCs w:val="21"/>
                    </w:rPr>
                    <w:t>扩建前</w:t>
                  </w:r>
                </w:p>
              </w:tc>
              <w:tc>
                <w:tcPr>
                  <w:tcW w:w="540" w:type="pct"/>
                  <w:tcBorders>
                    <w:left w:val="single" w:color="auto" w:sz="4" w:space="0"/>
                  </w:tcBorders>
                  <w:vAlign w:val="center"/>
                </w:tcPr>
                <w:p>
                  <w:pPr>
                    <w:adjustRightInd w:val="0"/>
                    <w:snapToGrid w:val="0"/>
                    <w:jc w:val="center"/>
                    <w:rPr>
                      <w:b/>
                      <w:bCs/>
                      <w:color w:val="auto"/>
                      <w:szCs w:val="21"/>
                    </w:rPr>
                  </w:pPr>
                  <w:r>
                    <w:rPr>
                      <w:b/>
                      <w:bCs/>
                      <w:color w:val="auto"/>
                      <w:szCs w:val="21"/>
                    </w:rPr>
                    <w:t>扩建后</w:t>
                  </w:r>
                </w:p>
              </w:tc>
              <w:tc>
                <w:tcPr>
                  <w:tcW w:w="611" w:type="pct"/>
                  <w:tcBorders>
                    <w:left w:val="single" w:color="auto" w:sz="4" w:space="0"/>
                  </w:tcBorders>
                  <w:vAlign w:val="center"/>
                </w:tcPr>
                <w:p>
                  <w:pPr>
                    <w:adjustRightInd w:val="0"/>
                    <w:snapToGrid w:val="0"/>
                    <w:jc w:val="center"/>
                    <w:rPr>
                      <w:b/>
                      <w:bCs/>
                      <w:color w:val="auto"/>
                      <w:szCs w:val="21"/>
                    </w:rPr>
                  </w:pPr>
                  <w:r>
                    <w:rPr>
                      <w:b/>
                      <w:bCs/>
                      <w:color w:val="auto"/>
                      <w:szCs w:val="21"/>
                    </w:rPr>
                    <w:t>变化量</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347" w:type="pct"/>
                  <w:vMerge w:val="restart"/>
                  <w:tcBorders>
                    <w:top w:val="single" w:color="auto" w:sz="4" w:space="0"/>
                  </w:tcBorders>
                  <w:vAlign w:val="center"/>
                </w:tcPr>
                <w:p>
                  <w:pPr>
                    <w:adjustRightInd w:val="0"/>
                    <w:snapToGrid w:val="0"/>
                    <w:jc w:val="center"/>
                    <w:rPr>
                      <w:color w:val="auto"/>
                      <w:szCs w:val="21"/>
                    </w:rPr>
                  </w:pPr>
                  <w:r>
                    <w:rPr>
                      <w:color w:val="auto"/>
                      <w:szCs w:val="21"/>
                    </w:rPr>
                    <w:t>生产设备</w:t>
                  </w:r>
                </w:p>
              </w:tc>
              <w:tc>
                <w:tcPr>
                  <w:tcW w:w="535" w:type="pct"/>
                  <w:vMerge w:val="restart"/>
                  <w:tcBorders>
                    <w:top w:val="single" w:color="auto" w:sz="4" w:space="0"/>
                  </w:tcBorders>
                  <w:vAlign w:val="center"/>
                </w:tcPr>
                <w:p>
                  <w:pPr>
                    <w:adjustRightInd w:val="0"/>
                    <w:snapToGrid w:val="0"/>
                    <w:jc w:val="center"/>
                    <w:rPr>
                      <w:color w:val="auto"/>
                      <w:szCs w:val="21"/>
                    </w:rPr>
                  </w:pPr>
                  <w:r>
                    <w:rPr>
                      <w:color w:val="auto"/>
                      <w:szCs w:val="21"/>
                    </w:rPr>
                    <w:t>本项目</w:t>
                  </w:r>
                </w:p>
              </w:tc>
              <w:tc>
                <w:tcPr>
                  <w:tcW w:w="1252" w:type="pct"/>
                  <w:tcBorders>
                    <w:top w:val="single" w:color="auto" w:sz="4" w:space="0"/>
                  </w:tcBorders>
                  <w:vAlign w:val="center"/>
                </w:tcPr>
                <w:p>
                  <w:pPr>
                    <w:adjustRightInd w:val="0"/>
                    <w:snapToGrid w:val="0"/>
                    <w:jc w:val="center"/>
                    <w:rPr>
                      <w:bCs/>
                      <w:color w:val="auto"/>
                      <w:szCs w:val="21"/>
                    </w:rPr>
                  </w:pPr>
                  <w:r>
                    <w:rPr>
                      <w:color w:val="auto"/>
                      <w:kern w:val="0"/>
                      <w:szCs w:val="21"/>
                    </w:rPr>
                    <w:t>电泳涂装线</w:t>
                  </w:r>
                </w:p>
              </w:tc>
              <w:tc>
                <w:tcPr>
                  <w:tcW w:w="1138" w:type="pct"/>
                  <w:vAlign w:val="center"/>
                </w:tcPr>
                <w:p>
                  <w:pPr>
                    <w:widowControl/>
                    <w:adjustRightInd w:val="0"/>
                    <w:snapToGrid w:val="0"/>
                    <w:jc w:val="center"/>
                    <w:textAlignment w:val="center"/>
                    <w:rPr>
                      <w:color w:val="auto"/>
                      <w:kern w:val="0"/>
                    </w:rPr>
                  </w:pPr>
                  <w:r>
                    <w:rPr>
                      <w:color w:val="auto"/>
                      <w:kern w:val="0"/>
                    </w:rPr>
                    <w:t>全自动悬挂式</w:t>
                  </w:r>
                </w:p>
              </w:tc>
              <w:tc>
                <w:tcPr>
                  <w:tcW w:w="573" w:type="pct"/>
                  <w:tcBorders>
                    <w:right w:val="single" w:color="auto" w:sz="4" w:space="0"/>
                  </w:tcBorders>
                  <w:vAlign w:val="center"/>
                </w:tcPr>
                <w:p>
                  <w:pPr>
                    <w:widowControl/>
                    <w:adjustRightInd w:val="0"/>
                    <w:snapToGrid w:val="0"/>
                    <w:jc w:val="center"/>
                    <w:rPr>
                      <w:color w:val="auto"/>
                      <w:szCs w:val="21"/>
                    </w:rPr>
                  </w:pPr>
                  <w:r>
                    <w:rPr>
                      <w:color w:val="auto"/>
                      <w:szCs w:val="21"/>
                    </w:rPr>
                    <w:t>0</w:t>
                  </w:r>
                </w:p>
              </w:tc>
              <w:tc>
                <w:tcPr>
                  <w:tcW w:w="540" w:type="pct"/>
                  <w:tcBorders>
                    <w:left w:val="single" w:color="auto" w:sz="4" w:space="0"/>
                  </w:tcBorders>
                  <w:vAlign w:val="center"/>
                </w:tcPr>
                <w:p>
                  <w:pPr>
                    <w:widowControl/>
                    <w:adjustRightInd w:val="0"/>
                    <w:snapToGrid w:val="0"/>
                    <w:jc w:val="center"/>
                    <w:rPr>
                      <w:color w:val="auto"/>
                      <w:szCs w:val="21"/>
                    </w:rPr>
                  </w:pPr>
                  <w:r>
                    <w:rPr>
                      <w:color w:val="auto"/>
                      <w:szCs w:val="21"/>
                    </w:rPr>
                    <w:t>1</w:t>
                  </w:r>
                </w:p>
              </w:tc>
              <w:tc>
                <w:tcPr>
                  <w:tcW w:w="611" w:type="pct"/>
                  <w:tcBorders>
                    <w:left w:val="single" w:color="auto" w:sz="4" w:space="0"/>
                  </w:tcBorders>
                  <w:vAlign w:val="center"/>
                </w:tcPr>
                <w:p>
                  <w:pPr>
                    <w:jc w:val="center"/>
                    <w:textAlignment w:val="center"/>
                    <w:rPr>
                      <w:color w:val="auto"/>
                      <w:szCs w:val="21"/>
                    </w:rPr>
                  </w:pPr>
                  <w:r>
                    <w:rPr>
                      <w:color w:val="auto"/>
                      <w:szCs w:val="21"/>
                    </w:rPr>
                    <w:t>+1</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347" w:type="pct"/>
                  <w:vMerge w:val="continue"/>
                  <w:vAlign w:val="center"/>
                </w:tcPr>
                <w:p>
                  <w:pPr>
                    <w:adjustRightInd w:val="0"/>
                    <w:snapToGrid w:val="0"/>
                    <w:jc w:val="center"/>
                    <w:rPr>
                      <w:color w:val="auto"/>
                      <w:szCs w:val="21"/>
                    </w:rPr>
                  </w:pPr>
                </w:p>
              </w:tc>
              <w:tc>
                <w:tcPr>
                  <w:tcW w:w="535" w:type="pct"/>
                  <w:vMerge w:val="continue"/>
                  <w:vAlign w:val="center"/>
                </w:tcPr>
                <w:p>
                  <w:pPr>
                    <w:adjustRightInd w:val="0"/>
                    <w:snapToGrid w:val="0"/>
                    <w:jc w:val="center"/>
                    <w:rPr>
                      <w:color w:val="auto"/>
                      <w:szCs w:val="21"/>
                    </w:rPr>
                  </w:pPr>
                </w:p>
              </w:tc>
              <w:tc>
                <w:tcPr>
                  <w:tcW w:w="1252" w:type="pct"/>
                  <w:tcBorders>
                    <w:bottom w:val="single" w:color="auto" w:sz="4" w:space="0"/>
                  </w:tcBorders>
                  <w:vAlign w:val="center"/>
                </w:tcPr>
                <w:p>
                  <w:pPr>
                    <w:adjustRightInd w:val="0"/>
                    <w:snapToGrid w:val="0"/>
                    <w:jc w:val="center"/>
                    <w:rPr>
                      <w:color w:val="auto"/>
                      <w:szCs w:val="21"/>
                    </w:rPr>
                  </w:pPr>
                  <w:r>
                    <w:rPr>
                      <w:color w:val="auto"/>
                      <w:szCs w:val="21"/>
                    </w:rPr>
                    <w:t>超滤系统</w:t>
                  </w:r>
                </w:p>
              </w:tc>
              <w:tc>
                <w:tcPr>
                  <w:tcW w:w="1138" w:type="pct"/>
                  <w:vAlign w:val="center"/>
                </w:tcPr>
                <w:p>
                  <w:pPr>
                    <w:widowControl/>
                    <w:adjustRightInd w:val="0"/>
                    <w:snapToGrid w:val="0"/>
                    <w:jc w:val="center"/>
                    <w:textAlignment w:val="center"/>
                    <w:rPr>
                      <w:color w:val="auto"/>
                      <w:kern w:val="0"/>
                    </w:rPr>
                  </w:pPr>
                  <w:r>
                    <w:rPr>
                      <w:color w:val="auto"/>
                      <w:kern w:val="0"/>
                    </w:rPr>
                    <w:t>1000L/H</w:t>
                  </w:r>
                </w:p>
              </w:tc>
              <w:tc>
                <w:tcPr>
                  <w:tcW w:w="573" w:type="pct"/>
                  <w:tcBorders>
                    <w:right w:val="single" w:color="auto" w:sz="4" w:space="0"/>
                  </w:tcBorders>
                  <w:vAlign w:val="center"/>
                </w:tcPr>
                <w:p>
                  <w:pPr>
                    <w:widowControl/>
                    <w:adjustRightInd w:val="0"/>
                    <w:snapToGrid w:val="0"/>
                    <w:jc w:val="center"/>
                    <w:rPr>
                      <w:color w:val="auto"/>
                      <w:kern w:val="0"/>
                      <w:szCs w:val="21"/>
                    </w:rPr>
                  </w:pPr>
                  <w:r>
                    <w:rPr>
                      <w:color w:val="auto"/>
                      <w:kern w:val="0"/>
                      <w:szCs w:val="21"/>
                    </w:rPr>
                    <w:t>0</w:t>
                  </w:r>
                </w:p>
              </w:tc>
              <w:tc>
                <w:tcPr>
                  <w:tcW w:w="540" w:type="pct"/>
                  <w:tcBorders>
                    <w:left w:val="single" w:color="auto" w:sz="4" w:space="0"/>
                  </w:tcBorders>
                  <w:vAlign w:val="center"/>
                </w:tcPr>
                <w:p>
                  <w:pPr>
                    <w:widowControl/>
                    <w:adjustRightInd w:val="0"/>
                    <w:snapToGrid w:val="0"/>
                    <w:jc w:val="center"/>
                    <w:rPr>
                      <w:color w:val="auto"/>
                      <w:kern w:val="0"/>
                      <w:szCs w:val="21"/>
                    </w:rPr>
                  </w:pPr>
                  <w:r>
                    <w:rPr>
                      <w:color w:val="auto"/>
                      <w:kern w:val="0"/>
                      <w:szCs w:val="21"/>
                    </w:rPr>
                    <w:t>1</w:t>
                  </w:r>
                </w:p>
              </w:tc>
              <w:tc>
                <w:tcPr>
                  <w:tcW w:w="611" w:type="pct"/>
                  <w:tcBorders>
                    <w:left w:val="single" w:color="auto" w:sz="4" w:space="0"/>
                    <w:bottom w:val="single" w:color="auto" w:sz="4" w:space="0"/>
                  </w:tcBorders>
                  <w:vAlign w:val="center"/>
                </w:tcPr>
                <w:p>
                  <w:pPr>
                    <w:jc w:val="center"/>
                    <w:textAlignment w:val="center"/>
                    <w:rPr>
                      <w:color w:val="auto"/>
                      <w:szCs w:val="21"/>
                    </w:rPr>
                  </w:pPr>
                  <w:r>
                    <w:rPr>
                      <w:color w:val="auto"/>
                      <w:szCs w:val="21"/>
                    </w:rPr>
                    <w:t>+1</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347" w:type="pct"/>
                  <w:vMerge w:val="continue"/>
                  <w:vAlign w:val="center"/>
                </w:tcPr>
                <w:p>
                  <w:pPr>
                    <w:adjustRightInd w:val="0"/>
                    <w:snapToGrid w:val="0"/>
                    <w:jc w:val="center"/>
                    <w:rPr>
                      <w:color w:val="auto"/>
                      <w:szCs w:val="21"/>
                    </w:rPr>
                  </w:pPr>
                </w:p>
              </w:tc>
              <w:tc>
                <w:tcPr>
                  <w:tcW w:w="535" w:type="pct"/>
                  <w:vMerge w:val="continue"/>
                  <w:tcBorders>
                    <w:bottom w:val="single" w:color="auto" w:sz="4" w:space="0"/>
                  </w:tcBorders>
                  <w:vAlign w:val="center"/>
                </w:tcPr>
                <w:p>
                  <w:pPr>
                    <w:adjustRightInd w:val="0"/>
                    <w:snapToGrid w:val="0"/>
                    <w:jc w:val="center"/>
                    <w:rPr>
                      <w:color w:val="auto"/>
                      <w:szCs w:val="21"/>
                    </w:rPr>
                  </w:pPr>
                </w:p>
              </w:tc>
              <w:tc>
                <w:tcPr>
                  <w:tcW w:w="1252" w:type="pct"/>
                  <w:tcBorders>
                    <w:bottom w:val="single" w:color="auto" w:sz="4" w:space="0"/>
                  </w:tcBorders>
                  <w:vAlign w:val="center"/>
                </w:tcPr>
                <w:p>
                  <w:pPr>
                    <w:adjustRightInd w:val="0"/>
                    <w:snapToGrid w:val="0"/>
                    <w:jc w:val="center"/>
                    <w:rPr>
                      <w:color w:val="auto"/>
                      <w:szCs w:val="21"/>
                    </w:rPr>
                  </w:pPr>
                  <w:r>
                    <w:rPr>
                      <w:color w:val="auto"/>
                      <w:szCs w:val="21"/>
                    </w:rPr>
                    <w:t>纯水制备系统</w:t>
                  </w:r>
                </w:p>
              </w:tc>
              <w:tc>
                <w:tcPr>
                  <w:tcW w:w="1138" w:type="pct"/>
                  <w:vAlign w:val="center"/>
                </w:tcPr>
                <w:p>
                  <w:pPr>
                    <w:widowControl/>
                    <w:adjustRightInd w:val="0"/>
                    <w:snapToGrid w:val="0"/>
                    <w:jc w:val="center"/>
                    <w:textAlignment w:val="center"/>
                    <w:rPr>
                      <w:color w:val="auto"/>
                      <w:kern w:val="0"/>
                    </w:rPr>
                  </w:pPr>
                  <w:r>
                    <w:rPr>
                      <w:color w:val="auto"/>
                      <w:kern w:val="0"/>
                    </w:rPr>
                    <w:t>1000L/H</w:t>
                  </w:r>
                </w:p>
              </w:tc>
              <w:tc>
                <w:tcPr>
                  <w:tcW w:w="573" w:type="pct"/>
                  <w:tcBorders>
                    <w:right w:val="single" w:color="auto" w:sz="4" w:space="0"/>
                  </w:tcBorders>
                  <w:vAlign w:val="center"/>
                </w:tcPr>
                <w:p>
                  <w:pPr>
                    <w:widowControl/>
                    <w:adjustRightInd w:val="0"/>
                    <w:snapToGrid w:val="0"/>
                    <w:jc w:val="center"/>
                    <w:rPr>
                      <w:color w:val="auto"/>
                      <w:kern w:val="0"/>
                      <w:szCs w:val="21"/>
                    </w:rPr>
                  </w:pPr>
                  <w:r>
                    <w:rPr>
                      <w:color w:val="auto"/>
                      <w:kern w:val="0"/>
                      <w:szCs w:val="21"/>
                    </w:rPr>
                    <w:t>0</w:t>
                  </w:r>
                </w:p>
              </w:tc>
              <w:tc>
                <w:tcPr>
                  <w:tcW w:w="540" w:type="pct"/>
                  <w:tcBorders>
                    <w:left w:val="single" w:color="auto" w:sz="4" w:space="0"/>
                  </w:tcBorders>
                  <w:vAlign w:val="center"/>
                </w:tcPr>
                <w:p>
                  <w:pPr>
                    <w:widowControl/>
                    <w:adjustRightInd w:val="0"/>
                    <w:snapToGrid w:val="0"/>
                    <w:jc w:val="center"/>
                    <w:rPr>
                      <w:color w:val="auto"/>
                      <w:kern w:val="0"/>
                      <w:szCs w:val="21"/>
                    </w:rPr>
                  </w:pPr>
                  <w:r>
                    <w:rPr>
                      <w:color w:val="auto"/>
                      <w:kern w:val="0"/>
                      <w:szCs w:val="21"/>
                    </w:rPr>
                    <w:t>1</w:t>
                  </w:r>
                </w:p>
              </w:tc>
              <w:tc>
                <w:tcPr>
                  <w:tcW w:w="611" w:type="pct"/>
                  <w:tcBorders>
                    <w:left w:val="single" w:color="auto" w:sz="4" w:space="0"/>
                    <w:bottom w:val="single" w:color="auto" w:sz="4" w:space="0"/>
                  </w:tcBorders>
                  <w:vAlign w:val="center"/>
                </w:tcPr>
                <w:p>
                  <w:pPr>
                    <w:jc w:val="center"/>
                    <w:textAlignment w:val="center"/>
                    <w:rPr>
                      <w:color w:val="auto"/>
                      <w:szCs w:val="21"/>
                    </w:rPr>
                  </w:pPr>
                  <w:r>
                    <w:rPr>
                      <w:color w:val="auto"/>
                      <w:szCs w:val="21"/>
                    </w:rPr>
                    <w:t>+1</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347" w:type="pct"/>
                  <w:vMerge w:val="continue"/>
                  <w:vAlign w:val="center"/>
                </w:tcPr>
                <w:p>
                  <w:pPr>
                    <w:adjustRightInd w:val="0"/>
                    <w:snapToGrid w:val="0"/>
                    <w:jc w:val="center"/>
                    <w:rPr>
                      <w:color w:val="auto"/>
                      <w:szCs w:val="21"/>
                    </w:rPr>
                  </w:pPr>
                </w:p>
              </w:tc>
              <w:tc>
                <w:tcPr>
                  <w:tcW w:w="535" w:type="pct"/>
                  <w:vMerge w:val="restart"/>
                  <w:vAlign w:val="center"/>
                </w:tcPr>
                <w:p>
                  <w:pPr>
                    <w:adjustRightInd w:val="0"/>
                    <w:snapToGrid w:val="0"/>
                    <w:jc w:val="center"/>
                    <w:rPr>
                      <w:color w:val="auto"/>
                      <w:szCs w:val="21"/>
                    </w:rPr>
                  </w:pPr>
                  <w:r>
                    <w:rPr>
                      <w:rFonts w:hint="eastAsia"/>
                      <w:color w:val="auto"/>
                      <w:szCs w:val="21"/>
                    </w:rPr>
                    <w:t>原有项目</w:t>
                  </w:r>
                </w:p>
              </w:tc>
              <w:tc>
                <w:tcPr>
                  <w:tcW w:w="1252" w:type="pct"/>
                  <w:tcBorders>
                    <w:top w:val="single" w:color="auto" w:sz="4" w:space="0"/>
                  </w:tcBorders>
                  <w:vAlign w:val="center"/>
                </w:tcPr>
                <w:p>
                  <w:pPr>
                    <w:adjustRightInd w:val="0"/>
                    <w:snapToGrid w:val="0"/>
                    <w:jc w:val="center"/>
                    <w:rPr>
                      <w:color w:val="auto"/>
                      <w:szCs w:val="21"/>
                    </w:rPr>
                  </w:pPr>
                  <w:r>
                    <w:rPr>
                      <w:color w:val="auto"/>
                      <w:szCs w:val="21"/>
                    </w:rPr>
                    <w:t>冲床</w:t>
                  </w:r>
                </w:p>
              </w:tc>
              <w:tc>
                <w:tcPr>
                  <w:tcW w:w="1138" w:type="pct"/>
                  <w:tcBorders>
                    <w:top w:val="single" w:color="auto" w:sz="4" w:space="0"/>
                  </w:tcBorders>
                  <w:vAlign w:val="center"/>
                </w:tcPr>
                <w:p>
                  <w:pPr>
                    <w:adjustRightInd w:val="0"/>
                    <w:snapToGrid w:val="0"/>
                    <w:jc w:val="center"/>
                    <w:rPr>
                      <w:color w:val="auto"/>
                      <w:szCs w:val="21"/>
                    </w:rPr>
                  </w:pPr>
                  <w:r>
                    <w:rPr>
                      <w:color w:val="auto"/>
                      <w:szCs w:val="21"/>
                    </w:rPr>
                    <w:t>200吨</w:t>
                  </w:r>
                </w:p>
              </w:tc>
              <w:tc>
                <w:tcPr>
                  <w:tcW w:w="573" w:type="pct"/>
                  <w:tcBorders>
                    <w:right w:val="single" w:color="auto" w:sz="4" w:space="0"/>
                  </w:tcBorders>
                  <w:vAlign w:val="center"/>
                </w:tcPr>
                <w:p>
                  <w:pPr>
                    <w:adjustRightInd w:val="0"/>
                    <w:snapToGrid w:val="0"/>
                    <w:jc w:val="center"/>
                    <w:rPr>
                      <w:color w:val="auto"/>
                      <w:szCs w:val="21"/>
                    </w:rPr>
                  </w:pPr>
                  <w:r>
                    <w:rPr>
                      <w:color w:val="auto"/>
                      <w:szCs w:val="21"/>
                    </w:rPr>
                    <w:t>2</w:t>
                  </w:r>
                </w:p>
              </w:tc>
              <w:tc>
                <w:tcPr>
                  <w:tcW w:w="540" w:type="pct"/>
                  <w:tcBorders>
                    <w:left w:val="single" w:color="auto" w:sz="4" w:space="0"/>
                  </w:tcBorders>
                  <w:vAlign w:val="center"/>
                </w:tcPr>
                <w:p>
                  <w:pPr>
                    <w:adjustRightInd w:val="0"/>
                    <w:snapToGrid w:val="0"/>
                    <w:jc w:val="center"/>
                    <w:rPr>
                      <w:color w:val="auto"/>
                      <w:szCs w:val="21"/>
                    </w:rPr>
                  </w:pPr>
                  <w:r>
                    <w:rPr>
                      <w:color w:val="auto"/>
                      <w:szCs w:val="21"/>
                    </w:rPr>
                    <w:t>2</w:t>
                  </w:r>
                </w:p>
              </w:tc>
              <w:tc>
                <w:tcPr>
                  <w:tcW w:w="611" w:type="pct"/>
                  <w:tcBorders>
                    <w:left w:val="single" w:color="auto" w:sz="4" w:space="0"/>
                  </w:tcBorders>
                  <w:vAlign w:val="center"/>
                </w:tcPr>
                <w:p>
                  <w:pPr>
                    <w:jc w:val="center"/>
                    <w:textAlignment w:val="center"/>
                    <w:rPr>
                      <w:color w:val="auto"/>
                      <w:szCs w:val="21"/>
                    </w:rPr>
                  </w:pPr>
                  <w:r>
                    <w:rPr>
                      <w:color w:val="auto"/>
                      <w:szCs w:val="21"/>
                    </w:rPr>
                    <w:t>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347" w:type="pct"/>
                  <w:vMerge w:val="continue"/>
                  <w:vAlign w:val="center"/>
                </w:tcPr>
                <w:p>
                  <w:pPr>
                    <w:adjustRightInd w:val="0"/>
                    <w:snapToGrid w:val="0"/>
                    <w:jc w:val="center"/>
                    <w:rPr>
                      <w:color w:val="auto"/>
                      <w:szCs w:val="21"/>
                    </w:rPr>
                  </w:pPr>
                </w:p>
              </w:tc>
              <w:tc>
                <w:tcPr>
                  <w:tcW w:w="535" w:type="pct"/>
                  <w:vMerge w:val="continue"/>
                  <w:vAlign w:val="center"/>
                </w:tcPr>
                <w:p>
                  <w:pPr>
                    <w:adjustRightInd w:val="0"/>
                    <w:snapToGrid w:val="0"/>
                    <w:jc w:val="center"/>
                    <w:rPr>
                      <w:color w:val="auto"/>
                      <w:szCs w:val="21"/>
                    </w:rPr>
                  </w:pPr>
                </w:p>
              </w:tc>
              <w:tc>
                <w:tcPr>
                  <w:tcW w:w="1252" w:type="pct"/>
                  <w:tcBorders>
                    <w:top w:val="single" w:color="auto" w:sz="4" w:space="0"/>
                  </w:tcBorders>
                  <w:vAlign w:val="center"/>
                </w:tcPr>
                <w:p>
                  <w:pPr>
                    <w:adjustRightInd w:val="0"/>
                    <w:snapToGrid w:val="0"/>
                    <w:jc w:val="center"/>
                    <w:rPr>
                      <w:color w:val="auto"/>
                      <w:szCs w:val="21"/>
                    </w:rPr>
                  </w:pPr>
                  <w:r>
                    <w:rPr>
                      <w:color w:val="auto"/>
                      <w:szCs w:val="21"/>
                    </w:rPr>
                    <w:t>冲床</w:t>
                  </w:r>
                </w:p>
              </w:tc>
              <w:tc>
                <w:tcPr>
                  <w:tcW w:w="1138" w:type="pct"/>
                  <w:tcBorders>
                    <w:top w:val="single" w:color="auto" w:sz="4" w:space="0"/>
                  </w:tcBorders>
                  <w:vAlign w:val="center"/>
                </w:tcPr>
                <w:p>
                  <w:pPr>
                    <w:adjustRightInd w:val="0"/>
                    <w:snapToGrid w:val="0"/>
                    <w:jc w:val="center"/>
                    <w:rPr>
                      <w:color w:val="auto"/>
                      <w:szCs w:val="21"/>
                    </w:rPr>
                  </w:pPr>
                  <w:r>
                    <w:rPr>
                      <w:color w:val="auto"/>
                      <w:szCs w:val="21"/>
                    </w:rPr>
                    <w:t>100吨</w:t>
                  </w:r>
                </w:p>
              </w:tc>
              <w:tc>
                <w:tcPr>
                  <w:tcW w:w="573" w:type="pct"/>
                  <w:tcBorders>
                    <w:right w:val="single" w:color="auto" w:sz="4" w:space="0"/>
                  </w:tcBorders>
                  <w:vAlign w:val="center"/>
                </w:tcPr>
                <w:p>
                  <w:pPr>
                    <w:adjustRightInd w:val="0"/>
                    <w:snapToGrid w:val="0"/>
                    <w:jc w:val="center"/>
                    <w:rPr>
                      <w:color w:val="auto"/>
                      <w:szCs w:val="21"/>
                    </w:rPr>
                  </w:pPr>
                  <w:r>
                    <w:rPr>
                      <w:color w:val="auto"/>
                      <w:szCs w:val="21"/>
                    </w:rPr>
                    <w:t>1</w:t>
                  </w:r>
                </w:p>
              </w:tc>
              <w:tc>
                <w:tcPr>
                  <w:tcW w:w="540" w:type="pct"/>
                  <w:tcBorders>
                    <w:left w:val="single" w:color="auto" w:sz="4" w:space="0"/>
                  </w:tcBorders>
                  <w:vAlign w:val="center"/>
                </w:tcPr>
                <w:p>
                  <w:pPr>
                    <w:adjustRightInd w:val="0"/>
                    <w:snapToGrid w:val="0"/>
                    <w:jc w:val="center"/>
                    <w:rPr>
                      <w:color w:val="auto"/>
                      <w:szCs w:val="21"/>
                    </w:rPr>
                  </w:pPr>
                  <w:r>
                    <w:rPr>
                      <w:color w:val="auto"/>
                      <w:szCs w:val="21"/>
                    </w:rPr>
                    <w:t>1</w:t>
                  </w:r>
                </w:p>
              </w:tc>
              <w:tc>
                <w:tcPr>
                  <w:tcW w:w="611" w:type="pct"/>
                  <w:tcBorders>
                    <w:left w:val="single" w:color="auto" w:sz="4" w:space="0"/>
                  </w:tcBorders>
                  <w:vAlign w:val="center"/>
                </w:tcPr>
                <w:p>
                  <w:pPr>
                    <w:jc w:val="center"/>
                    <w:textAlignment w:val="center"/>
                    <w:rPr>
                      <w:color w:val="auto"/>
                      <w:szCs w:val="21"/>
                    </w:rPr>
                  </w:pPr>
                  <w:r>
                    <w:rPr>
                      <w:color w:val="auto"/>
                      <w:szCs w:val="21"/>
                    </w:rPr>
                    <w:t>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347" w:type="pct"/>
                  <w:vMerge w:val="continue"/>
                  <w:vAlign w:val="center"/>
                </w:tcPr>
                <w:p>
                  <w:pPr>
                    <w:adjustRightInd w:val="0"/>
                    <w:snapToGrid w:val="0"/>
                    <w:jc w:val="center"/>
                    <w:rPr>
                      <w:color w:val="auto"/>
                      <w:szCs w:val="21"/>
                    </w:rPr>
                  </w:pPr>
                </w:p>
              </w:tc>
              <w:tc>
                <w:tcPr>
                  <w:tcW w:w="535" w:type="pct"/>
                  <w:vMerge w:val="continue"/>
                  <w:vAlign w:val="center"/>
                </w:tcPr>
                <w:p>
                  <w:pPr>
                    <w:adjustRightInd w:val="0"/>
                    <w:snapToGrid w:val="0"/>
                    <w:jc w:val="center"/>
                    <w:rPr>
                      <w:color w:val="auto"/>
                      <w:szCs w:val="21"/>
                    </w:rPr>
                  </w:pPr>
                </w:p>
              </w:tc>
              <w:tc>
                <w:tcPr>
                  <w:tcW w:w="1252" w:type="pct"/>
                  <w:tcBorders>
                    <w:top w:val="single" w:color="auto" w:sz="4" w:space="0"/>
                  </w:tcBorders>
                  <w:vAlign w:val="center"/>
                </w:tcPr>
                <w:p>
                  <w:pPr>
                    <w:adjustRightInd w:val="0"/>
                    <w:snapToGrid w:val="0"/>
                    <w:jc w:val="center"/>
                    <w:rPr>
                      <w:color w:val="auto"/>
                      <w:szCs w:val="21"/>
                    </w:rPr>
                  </w:pPr>
                  <w:r>
                    <w:rPr>
                      <w:color w:val="auto"/>
                      <w:szCs w:val="21"/>
                    </w:rPr>
                    <w:t>剪板机</w:t>
                  </w:r>
                </w:p>
              </w:tc>
              <w:tc>
                <w:tcPr>
                  <w:tcW w:w="1138" w:type="pct"/>
                  <w:tcBorders>
                    <w:top w:val="single" w:color="auto" w:sz="4" w:space="0"/>
                  </w:tcBorders>
                  <w:vAlign w:val="center"/>
                </w:tcPr>
                <w:p>
                  <w:pPr>
                    <w:adjustRightInd w:val="0"/>
                    <w:snapToGrid w:val="0"/>
                    <w:jc w:val="center"/>
                    <w:rPr>
                      <w:color w:val="auto"/>
                      <w:szCs w:val="21"/>
                    </w:rPr>
                  </w:pPr>
                  <w:r>
                    <w:rPr>
                      <w:color w:val="auto"/>
                      <w:szCs w:val="21"/>
                    </w:rPr>
                    <w:t>/</w:t>
                  </w:r>
                </w:p>
              </w:tc>
              <w:tc>
                <w:tcPr>
                  <w:tcW w:w="573" w:type="pct"/>
                  <w:tcBorders>
                    <w:right w:val="single" w:color="auto" w:sz="4" w:space="0"/>
                  </w:tcBorders>
                  <w:vAlign w:val="center"/>
                </w:tcPr>
                <w:p>
                  <w:pPr>
                    <w:adjustRightInd w:val="0"/>
                    <w:snapToGrid w:val="0"/>
                    <w:jc w:val="center"/>
                    <w:rPr>
                      <w:color w:val="auto"/>
                      <w:szCs w:val="21"/>
                    </w:rPr>
                  </w:pPr>
                  <w:r>
                    <w:rPr>
                      <w:color w:val="auto"/>
                      <w:szCs w:val="21"/>
                    </w:rPr>
                    <w:t>1</w:t>
                  </w:r>
                </w:p>
              </w:tc>
              <w:tc>
                <w:tcPr>
                  <w:tcW w:w="540" w:type="pct"/>
                  <w:tcBorders>
                    <w:left w:val="single" w:color="auto" w:sz="4" w:space="0"/>
                  </w:tcBorders>
                  <w:vAlign w:val="center"/>
                </w:tcPr>
                <w:p>
                  <w:pPr>
                    <w:adjustRightInd w:val="0"/>
                    <w:snapToGrid w:val="0"/>
                    <w:jc w:val="center"/>
                    <w:rPr>
                      <w:color w:val="auto"/>
                      <w:szCs w:val="21"/>
                    </w:rPr>
                  </w:pPr>
                  <w:r>
                    <w:rPr>
                      <w:color w:val="auto"/>
                      <w:szCs w:val="21"/>
                    </w:rPr>
                    <w:t>1</w:t>
                  </w:r>
                </w:p>
              </w:tc>
              <w:tc>
                <w:tcPr>
                  <w:tcW w:w="611" w:type="pct"/>
                  <w:tcBorders>
                    <w:left w:val="single" w:color="auto" w:sz="4" w:space="0"/>
                  </w:tcBorders>
                  <w:vAlign w:val="center"/>
                </w:tcPr>
                <w:p>
                  <w:pPr>
                    <w:jc w:val="center"/>
                    <w:textAlignment w:val="center"/>
                    <w:rPr>
                      <w:color w:val="auto"/>
                      <w:szCs w:val="21"/>
                    </w:rPr>
                  </w:pPr>
                  <w:r>
                    <w:rPr>
                      <w:color w:val="auto"/>
                      <w:szCs w:val="21"/>
                    </w:rPr>
                    <w:t>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347" w:type="pct"/>
                  <w:vMerge w:val="continue"/>
                  <w:vAlign w:val="center"/>
                </w:tcPr>
                <w:p>
                  <w:pPr>
                    <w:adjustRightInd w:val="0"/>
                    <w:snapToGrid w:val="0"/>
                    <w:jc w:val="center"/>
                    <w:rPr>
                      <w:color w:val="auto"/>
                      <w:szCs w:val="21"/>
                    </w:rPr>
                  </w:pPr>
                </w:p>
              </w:tc>
              <w:tc>
                <w:tcPr>
                  <w:tcW w:w="535" w:type="pct"/>
                  <w:vMerge w:val="continue"/>
                  <w:vAlign w:val="center"/>
                </w:tcPr>
                <w:p>
                  <w:pPr>
                    <w:adjustRightInd w:val="0"/>
                    <w:snapToGrid w:val="0"/>
                    <w:jc w:val="center"/>
                    <w:rPr>
                      <w:color w:val="auto"/>
                      <w:szCs w:val="21"/>
                    </w:rPr>
                  </w:pPr>
                </w:p>
              </w:tc>
              <w:tc>
                <w:tcPr>
                  <w:tcW w:w="1252" w:type="pct"/>
                  <w:tcBorders>
                    <w:top w:val="single" w:color="auto" w:sz="4" w:space="0"/>
                  </w:tcBorders>
                  <w:vAlign w:val="center"/>
                </w:tcPr>
                <w:p>
                  <w:pPr>
                    <w:adjustRightInd w:val="0"/>
                    <w:snapToGrid w:val="0"/>
                    <w:jc w:val="center"/>
                    <w:rPr>
                      <w:color w:val="auto"/>
                      <w:szCs w:val="21"/>
                    </w:rPr>
                  </w:pPr>
                  <w:r>
                    <w:rPr>
                      <w:color w:val="auto"/>
                      <w:szCs w:val="21"/>
                    </w:rPr>
                    <w:t>电焊机</w:t>
                  </w:r>
                </w:p>
              </w:tc>
              <w:tc>
                <w:tcPr>
                  <w:tcW w:w="1138" w:type="pct"/>
                  <w:tcBorders>
                    <w:top w:val="single" w:color="auto" w:sz="4" w:space="0"/>
                  </w:tcBorders>
                  <w:vAlign w:val="center"/>
                </w:tcPr>
                <w:p>
                  <w:pPr>
                    <w:adjustRightInd w:val="0"/>
                    <w:snapToGrid w:val="0"/>
                    <w:jc w:val="center"/>
                    <w:rPr>
                      <w:color w:val="auto"/>
                      <w:szCs w:val="21"/>
                    </w:rPr>
                  </w:pPr>
                  <w:r>
                    <w:rPr>
                      <w:color w:val="auto"/>
                      <w:szCs w:val="21"/>
                    </w:rPr>
                    <w:t>/</w:t>
                  </w:r>
                </w:p>
              </w:tc>
              <w:tc>
                <w:tcPr>
                  <w:tcW w:w="573" w:type="pct"/>
                  <w:tcBorders>
                    <w:right w:val="single" w:color="auto" w:sz="4" w:space="0"/>
                  </w:tcBorders>
                  <w:vAlign w:val="center"/>
                </w:tcPr>
                <w:p>
                  <w:pPr>
                    <w:adjustRightInd w:val="0"/>
                    <w:snapToGrid w:val="0"/>
                    <w:jc w:val="center"/>
                    <w:rPr>
                      <w:color w:val="auto"/>
                      <w:szCs w:val="21"/>
                    </w:rPr>
                  </w:pPr>
                  <w:r>
                    <w:rPr>
                      <w:color w:val="auto"/>
                      <w:szCs w:val="21"/>
                    </w:rPr>
                    <w:t>1</w:t>
                  </w:r>
                </w:p>
              </w:tc>
              <w:tc>
                <w:tcPr>
                  <w:tcW w:w="540" w:type="pct"/>
                  <w:tcBorders>
                    <w:left w:val="single" w:color="auto" w:sz="4" w:space="0"/>
                  </w:tcBorders>
                  <w:vAlign w:val="center"/>
                </w:tcPr>
                <w:p>
                  <w:pPr>
                    <w:adjustRightInd w:val="0"/>
                    <w:snapToGrid w:val="0"/>
                    <w:jc w:val="center"/>
                    <w:rPr>
                      <w:color w:val="auto"/>
                      <w:szCs w:val="21"/>
                    </w:rPr>
                  </w:pPr>
                  <w:r>
                    <w:rPr>
                      <w:color w:val="auto"/>
                      <w:szCs w:val="21"/>
                    </w:rPr>
                    <w:t>1</w:t>
                  </w:r>
                </w:p>
              </w:tc>
              <w:tc>
                <w:tcPr>
                  <w:tcW w:w="611" w:type="pct"/>
                  <w:tcBorders>
                    <w:left w:val="single" w:color="auto" w:sz="4" w:space="0"/>
                  </w:tcBorders>
                  <w:vAlign w:val="center"/>
                </w:tcPr>
                <w:p>
                  <w:pPr>
                    <w:jc w:val="center"/>
                    <w:textAlignment w:val="center"/>
                    <w:rPr>
                      <w:color w:val="auto"/>
                      <w:szCs w:val="21"/>
                    </w:rPr>
                  </w:pPr>
                  <w:r>
                    <w:rPr>
                      <w:color w:val="auto"/>
                      <w:szCs w:val="21"/>
                    </w:rPr>
                    <w:t>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347" w:type="pct"/>
                  <w:vMerge w:val="continue"/>
                  <w:vAlign w:val="center"/>
                </w:tcPr>
                <w:p>
                  <w:pPr>
                    <w:adjustRightInd w:val="0"/>
                    <w:snapToGrid w:val="0"/>
                    <w:jc w:val="center"/>
                    <w:rPr>
                      <w:color w:val="auto"/>
                      <w:szCs w:val="21"/>
                    </w:rPr>
                  </w:pPr>
                </w:p>
              </w:tc>
              <w:tc>
                <w:tcPr>
                  <w:tcW w:w="535" w:type="pct"/>
                  <w:vMerge w:val="continue"/>
                  <w:vAlign w:val="center"/>
                </w:tcPr>
                <w:p>
                  <w:pPr>
                    <w:adjustRightInd w:val="0"/>
                    <w:snapToGrid w:val="0"/>
                    <w:jc w:val="center"/>
                    <w:rPr>
                      <w:color w:val="auto"/>
                      <w:szCs w:val="21"/>
                    </w:rPr>
                  </w:pPr>
                </w:p>
              </w:tc>
              <w:tc>
                <w:tcPr>
                  <w:tcW w:w="1252" w:type="pct"/>
                  <w:tcBorders>
                    <w:top w:val="single" w:color="auto" w:sz="4" w:space="0"/>
                  </w:tcBorders>
                  <w:vAlign w:val="center"/>
                </w:tcPr>
                <w:p>
                  <w:pPr>
                    <w:adjustRightInd w:val="0"/>
                    <w:snapToGrid w:val="0"/>
                    <w:jc w:val="center"/>
                    <w:rPr>
                      <w:color w:val="auto"/>
                      <w:szCs w:val="21"/>
                    </w:rPr>
                  </w:pPr>
                  <w:r>
                    <w:rPr>
                      <w:color w:val="auto"/>
                      <w:szCs w:val="21"/>
                    </w:rPr>
                    <w:t>普通车床</w:t>
                  </w:r>
                </w:p>
              </w:tc>
              <w:tc>
                <w:tcPr>
                  <w:tcW w:w="1138" w:type="pct"/>
                  <w:tcBorders>
                    <w:top w:val="single" w:color="auto" w:sz="4" w:space="0"/>
                  </w:tcBorders>
                  <w:vAlign w:val="center"/>
                </w:tcPr>
                <w:p>
                  <w:pPr>
                    <w:adjustRightInd w:val="0"/>
                    <w:snapToGrid w:val="0"/>
                    <w:jc w:val="center"/>
                    <w:rPr>
                      <w:color w:val="auto"/>
                      <w:szCs w:val="21"/>
                    </w:rPr>
                  </w:pPr>
                  <w:r>
                    <w:rPr>
                      <w:color w:val="auto"/>
                      <w:szCs w:val="21"/>
                    </w:rPr>
                    <w:t>/</w:t>
                  </w:r>
                </w:p>
              </w:tc>
              <w:tc>
                <w:tcPr>
                  <w:tcW w:w="573" w:type="pct"/>
                  <w:tcBorders>
                    <w:right w:val="single" w:color="auto" w:sz="4" w:space="0"/>
                  </w:tcBorders>
                  <w:vAlign w:val="center"/>
                </w:tcPr>
                <w:p>
                  <w:pPr>
                    <w:adjustRightInd w:val="0"/>
                    <w:snapToGrid w:val="0"/>
                    <w:jc w:val="center"/>
                    <w:rPr>
                      <w:color w:val="auto"/>
                      <w:szCs w:val="21"/>
                    </w:rPr>
                  </w:pPr>
                  <w:r>
                    <w:rPr>
                      <w:color w:val="auto"/>
                      <w:szCs w:val="21"/>
                    </w:rPr>
                    <w:t>1</w:t>
                  </w:r>
                </w:p>
              </w:tc>
              <w:tc>
                <w:tcPr>
                  <w:tcW w:w="540" w:type="pct"/>
                  <w:tcBorders>
                    <w:left w:val="single" w:color="auto" w:sz="4" w:space="0"/>
                  </w:tcBorders>
                  <w:vAlign w:val="center"/>
                </w:tcPr>
                <w:p>
                  <w:pPr>
                    <w:adjustRightInd w:val="0"/>
                    <w:snapToGrid w:val="0"/>
                    <w:jc w:val="center"/>
                    <w:rPr>
                      <w:color w:val="auto"/>
                      <w:szCs w:val="21"/>
                    </w:rPr>
                  </w:pPr>
                  <w:r>
                    <w:rPr>
                      <w:color w:val="auto"/>
                      <w:szCs w:val="21"/>
                    </w:rPr>
                    <w:t>1</w:t>
                  </w:r>
                </w:p>
              </w:tc>
              <w:tc>
                <w:tcPr>
                  <w:tcW w:w="611" w:type="pct"/>
                  <w:tcBorders>
                    <w:left w:val="single" w:color="auto" w:sz="4" w:space="0"/>
                  </w:tcBorders>
                  <w:vAlign w:val="center"/>
                </w:tcPr>
                <w:p>
                  <w:pPr>
                    <w:tabs>
                      <w:tab w:val="left" w:pos="311"/>
                    </w:tabs>
                    <w:jc w:val="left"/>
                    <w:textAlignment w:val="center"/>
                    <w:rPr>
                      <w:color w:val="auto"/>
                      <w:szCs w:val="21"/>
                    </w:rPr>
                  </w:pPr>
                  <w:r>
                    <w:rPr>
                      <w:color w:val="auto"/>
                      <w:szCs w:val="21"/>
                    </w:rPr>
                    <w:tab/>
                  </w:r>
                  <w:r>
                    <w:rPr>
                      <w:color w:val="auto"/>
                      <w:szCs w:val="21"/>
                    </w:rPr>
                    <w:t>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883" w:type="pct"/>
                  <w:gridSpan w:val="2"/>
                  <w:vMerge w:val="restart"/>
                  <w:tcBorders>
                    <w:top w:val="single" w:color="auto" w:sz="4" w:space="0"/>
                  </w:tcBorders>
                  <w:vAlign w:val="center"/>
                </w:tcPr>
                <w:p>
                  <w:pPr>
                    <w:widowControl/>
                    <w:jc w:val="center"/>
                    <w:textAlignment w:val="center"/>
                    <w:rPr>
                      <w:color w:val="auto"/>
                      <w:kern w:val="0"/>
                      <w:szCs w:val="21"/>
                    </w:rPr>
                  </w:pPr>
                  <w:r>
                    <w:rPr>
                      <w:color w:val="auto"/>
                      <w:szCs w:val="21"/>
                    </w:rPr>
                    <w:t>公辅设备</w:t>
                  </w:r>
                </w:p>
              </w:tc>
              <w:tc>
                <w:tcPr>
                  <w:tcW w:w="1252" w:type="pct"/>
                  <w:vAlign w:val="center"/>
                </w:tcPr>
                <w:p>
                  <w:pPr>
                    <w:widowControl/>
                    <w:jc w:val="center"/>
                    <w:rPr>
                      <w:color w:val="auto"/>
                      <w:szCs w:val="21"/>
                    </w:rPr>
                  </w:pPr>
                  <w:r>
                    <w:rPr>
                      <w:color w:val="auto"/>
                      <w:szCs w:val="21"/>
                    </w:rPr>
                    <w:t>天燃气锅炉</w:t>
                  </w:r>
                </w:p>
              </w:tc>
              <w:tc>
                <w:tcPr>
                  <w:tcW w:w="1138" w:type="pct"/>
                  <w:vAlign w:val="center"/>
                </w:tcPr>
                <w:p>
                  <w:pPr>
                    <w:widowControl/>
                    <w:jc w:val="center"/>
                    <w:rPr>
                      <w:color w:val="auto"/>
                      <w:szCs w:val="21"/>
                    </w:rPr>
                  </w:pPr>
                  <w:r>
                    <w:rPr>
                      <w:color w:val="auto"/>
                      <w:szCs w:val="21"/>
                    </w:rPr>
                    <w:t>/</w:t>
                  </w:r>
                </w:p>
              </w:tc>
              <w:tc>
                <w:tcPr>
                  <w:tcW w:w="573" w:type="pct"/>
                  <w:tcBorders>
                    <w:right w:val="single" w:color="auto" w:sz="4" w:space="0"/>
                  </w:tcBorders>
                  <w:vAlign w:val="center"/>
                </w:tcPr>
                <w:p>
                  <w:pPr>
                    <w:adjustRightInd w:val="0"/>
                    <w:snapToGrid w:val="0"/>
                    <w:jc w:val="center"/>
                    <w:rPr>
                      <w:color w:val="auto"/>
                      <w:szCs w:val="21"/>
                    </w:rPr>
                  </w:pPr>
                  <w:r>
                    <w:rPr>
                      <w:color w:val="auto"/>
                      <w:szCs w:val="21"/>
                    </w:rPr>
                    <w:t>0</w:t>
                  </w:r>
                </w:p>
              </w:tc>
              <w:tc>
                <w:tcPr>
                  <w:tcW w:w="540" w:type="pct"/>
                  <w:tcBorders>
                    <w:left w:val="single" w:color="auto" w:sz="4" w:space="0"/>
                  </w:tcBorders>
                  <w:vAlign w:val="center"/>
                </w:tcPr>
                <w:p>
                  <w:pPr>
                    <w:widowControl/>
                    <w:jc w:val="center"/>
                    <w:textAlignment w:val="center"/>
                    <w:rPr>
                      <w:color w:val="auto"/>
                      <w:kern w:val="0"/>
                      <w:szCs w:val="21"/>
                    </w:rPr>
                  </w:pPr>
                  <w:r>
                    <w:rPr>
                      <w:color w:val="auto"/>
                      <w:kern w:val="0"/>
                      <w:szCs w:val="21"/>
                    </w:rPr>
                    <w:t>1</w:t>
                  </w:r>
                </w:p>
              </w:tc>
              <w:tc>
                <w:tcPr>
                  <w:tcW w:w="611" w:type="pct"/>
                  <w:tcBorders>
                    <w:left w:val="single" w:color="auto" w:sz="4" w:space="0"/>
                  </w:tcBorders>
                  <w:vAlign w:val="center"/>
                </w:tcPr>
                <w:p>
                  <w:pPr>
                    <w:jc w:val="center"/>
                    <w:textAlignment w:val="center"/>
                    <w:rPr>
                      <w:color w:val="auto"/>
                      <w:szCs w:val="21"/>
                    </w:rPr>
                  </w:pPr>
                  <w:r>
                    <w:rPr>
                      <w:color w:val="auto"/>
                      <w:szCs w:val="21"/>
                    </w:rPr>
                    <w:t>+1</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883" w:type="pct"/>
                  <w:gridSpan w:val="2"/>
                  <w:vMerge w:val="continue"/>
                  <w:vAlign w:val="center"/>
                </w:tcPr>
                <w:p>
                  <w:pPr>
                    <w:widowControl/>
                    <w:jc w:val="center"/>
                    <w:textAlignment w:val="center"/>
                    <w:rPr>
                      <w:color w:val="auto"/>
                      <w:kern w:val="0"/>
                      <w:szCs w:val="21"/>
                    </w:rPr>
                  </w:pPr>
                </w:p>
              </w:tc>
              <w:tc>
                <w:tcPr>
                  <w:tcW w:w="1252" w:type="pct"/>
                  <w:vAlign w:val="center"/>
                </w:tcPr>
                <w:p>
                  <w:pPr>
                    <w:widowControl/>
                    <w:jc w:val="center"/>
                    <w:rPr>
                      <w:color w:val="auto"/>
                      <w:szCs w:val="21"/>
                    </w:rPr>
                  </w:pPr>
                  <w:r>
                    <w:rPr>
                      <w:color w:val="auto"/>
                      <w:szCs w:val="21"/>
                    </w:rPr>
                    <w:t>空压机</w:t>
                  </w:r>
                </w:p>
              </w:tc>
              <w:tc>
                <w:tcPr>
                  <w:tcW w:w="1138" w:type="pct"/>
                  <w:vAlign w:val="center"/>
                </w:tcPr>
                <w:p>
                  <w:pPr>
                    <w:widowControl/>
                    <w:jc w:val="center"/>
                    <w:rPr>
                      <w:color w:val="auto"/>
                      <w:szCs w:val="21"/>
                    </w:rPr>
                  </w:pPr>
                  <w:r>
                    <w:rPr>
                      <w:color w:val="auto"/>
                      <w:szCs w:val="21"/>
                    </w:rPr>
                    <w:t>/</w:t>
                  </w:r>
                </w:p>
              </w:tc>
              <w:tc>
                <w:tcPr>
                  <w:tcW w:w="573" w:type="pct"/>
                  <w:tcBorders>
                    <w:right w:val="single" w:color="auto" w:sz="4" w:space="0"/>
                  </w:tcBorders>
                  <w:vAlign w:val="center"/>
                </w:tcPr>
                <w:p>
                  <w:pPr>
                    <w:adjustRightInd w:val="0"/>
                    <w:snapToGrid w:val="0"/>
                    <w:jc w:val="center"/>
                    <w:rPr>
                      <w:color w:val="auto"/>
                      <w:szCs w:val="21"/>
                    </w:rPr>
                  </w:pPr>
                  <w:r>
                    <w:rPr>
                      <w:color w:val="auto"/>
                      <w:szCs w:val="21"/>
                    </w:rPr>
                    <w:t>0</w:t>
                  </w:r>
                </w:p>
              </w:tc>
              <w:tc>
                <w:tcPr>
                  <w:tcW w:w="540" w:type="pct"/>
                  <w:tcBorders>
                    <w:left w:val="single" w:color="auto" w:sz="4" w:space="0"/>
                  </w:tcBorders>
                  <w:vAlign w:val="center"/>
                </w:tcPr>
                <w:p>
                  <w:pPr>
                    <w:widowControl/>
                    <w:jc w:val="center"/>
                    <w:textAlignment w:val="center"/>
                    <w:rPr>
                      <w:color w:val="auto"/>
                      <w:kern w:val="0"/>
                      <w:szCs w:val="21"/>
                    </w:rPr>
                  </w:pPr>
                  <w:r>
                    <w:rPr>
                      <w:color w:val="auto"/>
                      <w:kern w:val="0"/>
                      <w:szCs w:val="21"/>
                    </w:rPr>
                    <w:t>1</w:t>
                  </w:r>
                </w:p>
              </w:tc>
              <w:tc>
                <w:tcPr>
                  <w:tcW w:w="611" w:type="pct"/>
                  <w:tcBorders>
                    <w:left w:val="single" w:color="auto" w:sz="4" w:space="0"/>
                  </w:tcBorders>
                  <w:vAlign w:val="center"/>
                </w:tcPr>
                <w:p>
                  <w:pPr>
                    <w:jc w:val="center"/>
                    <w:textAlignment w:val="center"/>
                    <w:rPr>
                      <w:color w:val="auto"/>
                      <w:szCs w:val="21"/>
                    </w:rPr>
                  </w:pPr>
                  <w:r>
                    <w:rPr>
                      <w:color w:val="auto"/>
                      <w:szCs w:val="21"/>
                    </w:rPr>
                    <w:t>+1</w:t>
                  </w:r>
                </w:p>
              </w:tc>
            </w:tr>
          </w:tbl>
          <w:p>
            <w:pPr>
              <w:spacing w:line="360" w:lineRule="auto"/>
              <w:ind w:firstLine="480" w:firstLineChars="200"/>
              <w:rPr>
                <w:rFonts w:hint="default" w:ascii="Times New Roman" w:hAnsi="Times New Roman" w:eastAsia="宋体" w:cs="Times New Roman"/>
                <w:b/>
                <w:bCs/>
                <w:color w:val="auto"/>
                <w:sz w:val="24"/>
              </w:rPr>
            </w:pPr>
            <w:r>
              <w:rPr>
                <w:rFonts w:hint="eastAsia" w:ascii="Times New Roman" w:hAnsi="Times New Roman" w:eastAsia="宋体" w:cs="Times New Roman"/>
                <w:color w:val="auto"/>
                <w:sz w:val="24"/>
                <w:lang w:val="en-US" w:eastAsia="zh-CN"/>
              </w:rPr>
              <w:t>本项目电泳</w:t>
            </w:r>
            <w:r>
              <w:rPr>
                <w:rFonts w:hint="eastAsia" w:cs="Times New Roman"/>
                <w:color w:val="auto"/>
                <w:sz w:val="24"/>
                <w:lang w:val="en-US" w:eastAsia="zh-CN"/>
              </w:rPr>
              <w:t>涂装</w:t>
            </w:r>
            <w:r>
              <w:rPr>
                <w:rFonts w:hint="eastAsia" w:ascii="Times New Roman" w:hAnsi="Times New Roman" w:eastAsia="宋体" w:cs="Times New Roman"/>
                <w:color w:val="auto"/>
                <w:sz w:val="24"/>
                <w:lang w:val="en-US" w:eastAsia="zh-CN"/>
              </w:rPr>
              <w:t>线使用水槽种类及尺寸见下表</w:t>
            </w:r>
            <w:r>
              <w:rPr>
                <w:rFonts w:hint="default" w:ascii="Times New Roman" w:hAnsi="Times New Roman" w:eastAsia="宋体" w:cs="Times New Roman"/>
                <w:color w:val="auto"/>
                <w:sz w:val="24"/>
              </w:rPr>
              <w:t>。</w:t>
            </w:r>
          </w:p>
          <w:p>
            <w:pPr>
              <w:adjustRightInd w:val="0"/>
              <w:snapToGrid w:val="0"/>
              <w:jc w:val="center"/>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表2-</w:t>
            </w:r>
            <w:r>
              <w:rPr>
                <w:rFonts w:hint="eastAsia" w:cs="Times New Roman"/>
                <w:b/>
                <w:bCs/>
                <w:color w:val="auto"/>
                <w:sz w:val="24"/>
                <w:lang w:val="en-US" w:eastAsia="zh-CN"/>
              </w:rPr>
              <w:t>5电泳涂装线水槽及尺寸参数表</w:t>
            </w:r>
          </w:p>
          <w:tbl>
            <w:tblPr>
              <w:tblStyle w:val="22"/>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99"/>
              <w:gridCol w:w="2025"/>
              <w:gridCol w:w="3039"/>
              <w:gridCol w:w="175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9" w:type="pct"/>
                  <w:vAlign w:val="center"/>
                </w:tcPr>
                <w:p>
                  <w:pPr>
                    <w:adjustRightInd w:val="0"/>
                    <w:snapToGrid w:val="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val="en-US" w:eastAsia="zh-CN"/>
                    </w:rPr>
                    <w:t>工序</w:t>
                  </w:r>
                </w:p>
              </w:tc>
              <w:tc>
                <w:tcPr>
                  <w:tcW w:w="1202" w:type="pct"/>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default" w:ascii="Times New Roman" w:hAnsi="Times New Roman" w:eastAsia="宋体" w:cs="Times New Roman"/>
                      <w:b/>
                      <w:bCs/>
                      <w:color w:val="auto"/>
                      <w:szCs w:val="21"/>
                      <w:lang w:val="en-US" w:eastAsia="zh-CN"/>
                    </w:rPr>
                    <w:t>水槽</w:t>
                  </w:r>
                </w:p>
              </w:tc>
              <w:tc>
                <w:tcPr>
                  <w:tcW w:w="1804" w:type="pct"/>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default" w:ascii="Times New Roman" w:hAnsi="Times New Roman" w:eastAsia="宋体" w:cs="Times New Roman"/>
                      <w:b/>
                      <w:bCs/>
                      <w:color w:val="auto"/>
                      <w:szCs w:val="21"/>
                      <w:lang w:val="en-US" w:eastAsia="zh-CN"/>
                    </w:rPr>
                    <w:t>槽体尺寸（m）</w:t>
                  </w:r>
                </w:p>
              </w:tc>
              <w:tc>
                <w:tcPr>
                  <w:tcW w:w="1043" w:type="pct"/>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最大</w:t>
                  </w:r>
                  <w:r>
                    <w:rPr>
                      <w:rFonts w:hint="default" w:ascii="Times New Roman" w:hAnsi="Times New Roman" w:eastAsia="宋体" w:cs="Times New Roman"/>
                      <w:b/>
                      <w:bCs/>
                      <w:color w:val="auto"/>
                      <w:szCs w:val="21"/>
                      <w:lang w:val="en-US" w:eastAsia="zh-CN"/>
                    </w:rPr>
                    <w:t>容积（</w:t>
                  </w:r>
                  <w:r>
                    <w:rPr>
                      <w:rFonts w:hint="eastAsia" w:ascii="Times New Roman" w:hAnsi="Times New Roman" w:eastAsia="宋体" w:cs="Times New Roman"/>
                      <w:b/>
                      <w:bCs/>
                      <w:color w:val="auto"/>
                      <w:szCs w:val="21"/>
                      <w:lang w:val="en-US" w:eastAsia="zh-CN"/>
                    </w:rPr>
                    <w:t>吨</w:t>
                  </w:r>
                  <w:r>
                    <w:rPr>
                      <w:rFonts w:hint="default" w:ascii="Times New Roman" w:hAnsi="Times New Roman" w:eastAsia="宋体" w:cs="Times New Roman"/>
                      <w:b/>
                      <w:bCs/>
                      <w:color w:val="auto"/>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9" w:type="pct"/>
                  <w:vAlign w:val="center"/>
                </w:tcPr>
                <w:p>
                  <w:pPr>
                    <w:adjustRightInd w:val="0"/>
                    <w:snapToGrid w:val="0"/>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预</w:t>
                  </w:r>
                  <w:r>
                    <w:rPr>
                      <w:rFonts w:hint="default" w:ascii="Times New Roman" w:hAnsi="Times New Roman" w:eastAsia="宋体" w:cs="Times New Roman"/>
                      <w:color w:val="auto"/>
                      <w:szCs w:val="21"/>
                      <w:lang w:val="en-US" w:eastAsia="zh-CN"/>
                    </w:rPr>
                    <w:t>清</w:t>
                  </w:r>
                  <w:r>
                    <w:rPr>
                      <w:rFonts w:hint="default" w:ascii="Times New Roman" w:hAnsi="Times New Roman" w:eastAsia="宋体" w:cs="Times New Roman"/>
                      <w:color w:val="auto"/>
                      <w:szCs w:val="21"/>
                    </w:rPr>
                    <w:t>洗</w:t>
                  </w:r>
                </w:p>
              </w:tc>
              <w:tc>
                <w:tcPr>
                  <w:tcW w:w="1202"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预清</w:t>
                  </w:r>
                  <w:r>
                    <w:rPr>
                      <w:rFonts w:hint="default" w:ascii="Times New Roman" w:hAnsi="Times New Roman" w:eastAsia="宋体" w:cs="Times New Roman"/>
                      <w:color w:val="auto"/>
                      <w:szCs w:val="21"/>
                    </w:rPr>
                    <w:t>洗</w:t>
                  </w:r>
                  <w:r>
                    <w:rPr>
                      <w:rFonts w:hint="default" w:ascii="Times New Roman" w:hAnsi="Times New Roman" w:eastAsia="宋体" w:cs="Times New Roman"/>
                      <w:color w:val="auto"/>
                      <w:szCs w:val="21"/>
                      <w:lang w:val="en-US" w:eastAsia="zh-CN"/>
                    </w:rPr>
                    <w:t>槽</w:t>
                  </w:r>
                </w:p>
              </w:tc>
              <w:tc>
                <w:tcPr>
                  <w:tcW w:w="1804"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1.6*1*1.2</w:t>
                  </w:r>
                </w:p>
              </w:tc>
              <w:tc>
                <w:tcPr>
                  <w:tcW w:w="1043"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1.92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9" w:type="pct"/>
                  <w:vMerge w:val="restar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脱脂</w:t>
                  </w:r>
                </w:p>
              </w:tc>
              <w:tc>
                <w:tcPr>
                  <w:tcW w:w="1202"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预脱脂</w:t>
                  </w:r>
                  <w:r>
                    <w:rPr>
                      <w:rFonts w:hint="default" w:ascii="Times New Roman" w:hAnsi="Times New Roman" w:eastAsia="宋体" w:cs="Times New Roman"/>
                      <w:color w:val="auto"/>
                      <w:szCs w:val="21"/>
                      <w:lang w:val="en-US" w:eastAsia="zh-CN"/>
                    </w:rPr>
                    <w:t>槽</w:t>
                  </w:r>
                </w:p>
              </w:tc>
              <w:tc>
                <w:tcPr>
                  <w:tcW w:w="1804"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1.6*1*1.2</w:t>
                  </w:r>
                </w:p>
              </w:tc>
              <w:tc>
                <w:tcPr>
                  <w:tcW w:w="1043"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1.92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9"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1202"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超声波主脱脂</w:t>
                  </w:r>
                  <w:r>
                    <w:rPr>
                      <w:rFonts w:hint="default" w:ascii="Times New Roman" w:hAnsi="Times New Roman" w:eastAsia="宋体" w:cs="Times New Roman"/>
                      <w:color w:val="auto"/>
                      <w:szCs w:val="21"/>
                      <w:lang w:val="en-US" w:eastAsia="zh-CN"/>
                    </w:rPr>
                    <w:t>槽</w:t>
                  </w:r>
                </w:p>
              </w:tc>
              <w:tc>
                <w:tcPr>
                  <w:tcW w:w="1804"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上长11</w:t>
                  </w:r>
                  <w:r>
                    <w:rPr>
                      <w:rFonts w:hint="eastAsia" w:ascii="Times New Roman" w:hAnsi="Times New Roman" w:eastAsia="宋体" w:cs="Times New Roman"/>
                      <w:color w:val="auto"/>
                      <w:szCs w:val="21"/>
                      <w:lang w:val="en-US" w:eastAsia="zh-CN"/>
                    </w:rPr>
                    <w:t>，</w:t>
                  </w:r>
                  <w:r>
                    <w:rPr>
                      <w:rFonts w:hint="default" w:ascii="Times New Roman" w:hAnsi="Times New Roman" w:eastAsia="宋体" w:cs="Times New Roman"/>
                      <w:color w:val="auto"/>
                      <w:szCs w:val="21"/>
                      <w:lang w:val="en-US" w:eastAsia="zh-CN"/>
                    </w:rPr>
                    <w:t>下长5</w:t>
                  </w:r>
                  <w:r>
                    <w:rPr>
                      <w:rFonts w:hint="eastAsia" w:ascii="Times New Roman" w:hAnsi="Times New Roman" w:eastAsia="宋体" w:cs="Times New Roman"/>
                      <w:color w:val="auto"/>
                      <w:szCs w:val="21"/>
                      <w:lang w:val="en-US" w:eastAsia="zh-CN"/>
                    </w:rPr>
                    <w:t>，</w:t>
                  </w:r>
                </w:p>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宽1.2</w:t>
                  </w:r>
                  <w:r>
                    <w:rPr>
                      <w:rFonts w:hint="eastAsia" w:ascii="Times New Roman" w:hAnsi="Times New Roman" w:eastAsia="宋体" w:cs="Times New Roman"/>
                      <w:color w:val="auto"/>
                      <w:szCs w:val="21"/>
                      <w:lang w:val="en-US" w:eastAsia="zh-CN"/>
                    </w:rPr>
                    <w:t>，</w:t>
                  </w:r>
                  <w:r>
                    <w:rPr>
                      <w:rFonts w:hint="default" w:ascii="Times New Roman" w:hAnsi="Times New Roman" w:eastAsia="宋体" w:cs="Times New Roman"/>
                      <w:color w:val="auto"/>
                      <w:szCs w:val="21"/>
                      <w:lang w:val="en-US" w:eastAsia="zh-CN"/>
                    </w:rPr>
                    <w:t>高1.9</w:t>
                  </w:r>
                </w:p>
              </w:tc>
              <w:tc>
                <w:tcPr>
                  <w:tcW w:w="1043"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18.3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9" w:type="pct"/>
                  <w:vMerge w:val="restart"/>
                  <w:vAlign w:val="center"/>
                </w:tcPr>
                <w:p>
                  <w:pPr>
                    <w:adjustRightInd w:val="0"/>
                    <w:snapToGrid w:val="0"/>
                    <w:jc w:val="center"/>
                    <w:rPr>
                      <w:rFonts w:hint="default" w:ascii="Times New Roman" w:hAnsi="Times New Roman" w:eastAsia="宋体" w:cs="Times New Roman"/>
                      <w:color w:val="auto"/>
                      <w:szCs w:val="21"/>
                      <w:lang w:val="en-US"/>
                    </w:rPr>
                  </w:pPr>
                  <w:r>
                    <w:rPr>
                      <w:rFonts w:hint="eastAsia" w:cs="Times New Roman"/>
                      <w:color w:val="auto"/>
                      <w:szCs w:val="21"/>
                      <w:lang w:val="en-US" w:eastAsia="zh-CN"/>
                    </w:rPr>
                    <w:t>水洗</w:t>
                  </w:r>
                </w:p>
              </w:tc>
              <w:tc>
                <w:tcPr>
                  <w:tcW w:w="1202"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水洗</w:t>
                  </w:r>
                  <w:r>
                    <w:rPr>
                      <w:rFonts w:hint="default" w:ascii="Times New Roman" w:hAnsi="Times New Roman" w:eastAsia="宋体" w:cs="Times New Roman"/>
                      <w:color w:val="auto"/>
                      <w:szCs w:val="21"/>
                    </w:rPr>
                    <w:t>1</w:t>
                  </w:r>
                  <w:r>
                    <w:rPr>
                      <w:rFonts w:hint="default" w:ascii="Times New Roman" w:hAnsi="Times New Roman" w:eastAsia="宋体" w:cs="Times New Roman"/>
                      <w:color w:val="auto"/>
                      <w:szCs w:val="21"/>
                      <w:lang w:val="en-US" w:eastAsia="zh-CN"/>
                    </w:rPr>
                    <w:t>槽</w:t>
                  </w:r>
                </w:p>
              </w:tc>
              <w:tc>
                <w:tcPr>
                  <w:tcW w:w="1804"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1.6*1*1.2</w:t>
                  </w:r>
                </w:p>
              </w:tc>
              <w:tc>
                <w:tcPr>
                  <w:tcW w:w="1043"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1.92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9"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1202"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水洗2槽</w:t>
                  </w:r>
                </w:p>
              </w:tc>
              <w:tc>
                <w:tcPr>
                  <w:tcW w:w="1804"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上长8.5</w:t>
                  </w:r>
                  <w:r>
                    <w:rPr>
                      <w:rFonts w:hint="eastAsia" w:ascii="Times New Roman" w:hAnsi="Times New Roman" w:eastAsia="宋体" w:cs="Times New Roman"/>
                      <w:color w:val="auto"/>
                      <w:szCs w:val="21"/>
                      <w:lang w:val="en-US" w:eastAsia="zh-CN"/>
                    </w:rPr>
                    <w:t>，</w:t>
                  </w:r>
                  <w:r>
                    <w:rPr>
                      <w:rFonts w:hint="default" w:ascii="Times New Roman" w:hAnsi="Times New Roman" w:eastAsia="宋体" w:cs="Times New Roman"/>
                      <w:color w:val="auto"/>
                      <w:szCs w:val="21"/>
                      <w:lang w:val="en-US" w:eastAsia="zh-CN"/>
                    </w:rPr>
                    <w:t>下长2.5</w:t>
                  </w:r>
                  <w:r>
                    <w:rPr>
                      <w:rFonts w:hint="eastAsia" w:ascii="Times New Roman" w:hAnsi="Times New Roman" w:eastAsia="宋体" w:cs="Times New Roman"/>
                      <w:color w:val="auto"/>
                      <w:szCs w:val="21"/>
                      <w:lang w:val="en-US" w:eastAsia="zh-CN"/>
                    </w:rPr>
                    <w:t>，</w:t>
                  </w:r>
                </w:p>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宽1</w:t>
                  </w:r>
                  <w:r>
                    <w:rPr>
                      <w:rFonts w:hint="eastAsia" w:ascii="Times New Roman" w:hAnsi="Times New Roman" w:eastAsia="宋体" w:cs="Times New Roman"/>
                      <w:color w:val="auto"/>
                      <w:szCs w:val="21"/>
                      <w:lang w:val="en-US" w:eastAsia="zh-CN"/>
                    </w:rPr>
                    <w:t>，</w:t>
                  </w:r>
                  <w:r>
                    <w:rPr>
                      <w:rFonts w:hint="default" w:ascii="Times New Roman" w:hAnsi="Times New Roman" w:eastAsia="宋体" w:cs="Times New Roman"/>
                      <w:color w:val="auto"/>
                      <w:szCs w:val="21"/>
                      <w:lang w:val="en-US" w:eastAsia="zh-CN"/>
                    </w:rPr>
                    <w:t>高1.9</w:t>
                  </w:r>
                </w:p>
              </w:tc>
              <w:tc>
                <w:tcPr>
                  <w:tcW w:w="1043"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10.45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9"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陶化</w:t>
                  </w:r>
                </w:p>
              </w:tc>
              <w:tc>
                <w:tcPr>
                  <w:tcW w:w="1202"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陶化槽</w:t>
                  </w:r>
                </w:p>
              </w:tc>
              <w:tc>
                <w:tcPr>
                  <w:tcW w:w="1804"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上长11</w:t>
                  </w:r>
                  <w:r>
                    <w:rPr>
                      <w:rFonts w:hint="eastAsia" w:ascii="Times New Roman" w:hAnsi="Times New Roman" w:eastAsia="宋体" w:cs="Times New Roman"/>
                      <w:color w:val="auto"/>
                      <w:szCs w:val="21"/>
                      <w:lang w:val="en-US" w:eastAsia="zh-CN"/>
                    </w:rPr>
                    <w:t>，</w:t>
                  </w:r>
                  <w:r>
                    <w:rPr>
                      <w:rFonts w:hint="default" w:ascii="Times New Roman" w:hAnsi="Times New Roman" w:eastAsia="宋体" w:cs="Times New Roman"/>
                      <w:color w:val="auto"/>
                      <w:szCs w:val="21"/>
                      <w:lang w:val="en-US" w:eastAsia="zh-CN"/>
                    </w:rPr>
                    <w:t>下长5</w:t>
                  </w:r>
                  <w:r>
                    <w:rPr>
                      <w:rFonts w:hint="eastAsia" w:ascii="Times New Roman" w:hAnsi="Times New Roman" w:eastAsia="宋体" w:cs="Times New Roman"/>
                      <w:color w:val="auto"/>
                      <w:szCs w:val="21"/>
                      <w:lang w:val="en-US" w:eastAsia="zh-CN"/>
                    </w:rPr>
                    <w:t>，</w:t>
                  </w:r>
                </w:p>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宽1</w:t>
                  </w:r>
                  <w:r>
                    <w:rPr>
                      <w:rFonts w:hint="eastAsia" w:ascii="Times New Roman" w:hAnsi="Times New Roman" w:eastAsia="宋体" w:cs="Times New Roman"/>
                      <w:color w:val="auto"/>
                      <w:szCs w:val="21"/>
                      <w:lang w:val="en-US" w:eastAsia="zh-CN"/>
                    </w:rPr>
                    <w:t>，</w:t>
                  </w:r>
                  <w:r>
                    <w:rPr>
                      <w:rFonts w:hint="default" w:ascii="Times New Roman" w:hAnsi="Times New Roman" w:eastAsia="宋体" w:cs="Times New Roman"/>
                      <w:color w:val="auto"/>
                      <w:szCs w:val="21"/>
                      <w:lang w:val="en-US" w:eastAsia="zh-CN"/>
                    </w:rPr>
                    <w:t>高1.9</w:t>
                  </w:r>
                </w:p>
              </w:tc>
              <w:tc>
                <w:tcPr>
                  <w:tcW w:w="1043"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15.2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9" w:type="pct"/>
                  <w:vMerge w:val="restar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水洗</w:t>
                  </w:r>
                </w:p>
              </w:tc>
              <w:tc>
                <w:tcPr>
                  <w:tcW w:w="1202"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水洗3槽</w:t>
                  </w:r>
                </w:p>
              </w:tc>
              <w:tc>
                <w:tcPr>
                  <w:tcW w:w="1804"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1.6*1*1.2</w:t>
                  </w:r>
                </w:p>
              </w:tc>
              <w:tc>
                <w:tcPr>
                  <w:tcW w:w="1043"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1.92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9" w:type="pct"/>
                  <w:vMerge w:val="continue"/>
                  <w:vAlign w:val="center"/>
                </w:tcPr>
                <w:p>
                  <w:pPr>
                    <w:adjustRightInd w:val="0"/>
                    <w:snapToGrid w:val="0"/>
                    <w:jc w:val="center"/>
                    <w:rPr>
                      <w:rFonts w:hint="default" w:ascii="Times New Roman" w:hAnsi="Times New Roman" w:eastAsia="宋体" w:cs="Times New Roman"/>
                      <w:color w:val="auto"/>
                      <w:szCs w:val="21"/>
                      <w:lang w:val="en-US" w:eastAsia="zh-CN"/>
                    </w:rPr>
                  </w:pPr>
                </w:p>
              </w:tc>
              <w:tc>
                <w:tcPr>
                  <w:tcW w:w="1202"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水洗4槽</w:t>
                  </w:r>
                </w:p>
              </w:tc>
              <w:tc>
                <w:tcPr>
                  <w:tcW w:w="1804"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上长8.5</w:t>
                  </w:r>
                  <w:r>
                    <w:rPr>
                      <w:rFonts w:hint="eastAsia" w:ascii="Times New Roman" w:hAnsi="Times New Roman" w:eastAsia="宋体" w:cs="Times New Roman"/>
                      <w:color w:val="auto"/>
                      <w:szCs w:val="21"/>
                      <w:lang w:val="en-US" w:eastAsia="zh-CN"/>
                    </w:rPr>
                    <w:t>，</w:t>
                  </w:r>
                  <w:r>
                    <w:rPr>
                      <w:rFonts w:hint="default" w:ascii="Times New Roman" w:hAnsi="Times New Roman" w:eastAsia="宋体" w:cs="Times New Roman"/>
                      <w:color w:val="auto"/>
                      <w:szCs w:val="21"/>
                      <w:lang w:val="en-US" w:eastAsia="zh-CN"/>
                    </w:rPr>
                    <w:t>下长2.5</w:t>
                  </w:r>
                  <w:r>
                    <w:rPr>
                      <w:rFonts w:hint="eastAsia" w:ascii="Times New Roman" w:hAnsi="Times New Roman" w:eastAsia="宋体" w:cs="Times New Roman"/>
                      <w:color w:val="auto"/>
                      <w:szCs w:val="21"/>
                      <w:lang w:val="en-US" w:eastAsia="zh-CN"/>
                    </w:rPr>
                    <w:t>，</w:t>
                  </w:r>
                </w:p>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宽1</w:t>
                  </w:r>
                  <w:r>
                    <w:rPr>
                      <w:rFonts w:hint="eastAsia" w:ascii="Times New Roman" w:hAnsi="Times New Roman" w:eastAsia="宋体" w:cs="Times New Roman"/>
                      <w:color w:val="auto"/>
                      <w:szCs w:val="21"/>
                      <w:lang w:val="en-US" w:eastAsia="zh-CN"/>
                    </w:rPr>
                    <w:t>，</w:t>
                  </w:r>
                  <w:r>
                    <w:rPr>
                      <w:rFonts w:hint="default" w:ascii="Times New Roman" w:hAnsi="Times New Roman" w:eastAsia="宋体" w:cs="Times New Roman"/>
                      <w:color w:val="auto"/>
                      <w:szCs w:val="21"/>
                      <w:lang w:val="en-US" w:eastAsia="zh-CN"/>
                    </w:rPr>
                    <w:t>高1.9</w:t>
                  </w:r>
                </w:p>
              </w:tc>
              <w:tc>
                <w:tcPr>
                  <w:tcW w:w="1043"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10.45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9"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纯水洗</w:t>
                  </w:r>
                </w:p>
              </w:tc>
              <w:tc>
                <w:tcPr>
                  <w:tcW w:w="1202"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纯水洗1槽</w:t>
                  </w:r>
                </w:p>
              </w:tc>
              <w:tc>
                <w:tcPr>
                  <w:tcW w:w="1804"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1.6*1*1.2</w:t>
                  </w:r>
                </w:p>
              </w:tc>
              <w:tc>
                <w:tcPr>
                  <w:tcW w:w="1043"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1.92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9"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电泳</w:t>
                  </w:r>
                </w:p>
              </w:tc>
              <w:tc>
                <w:tcPr>
                  <w:tcW w:w="1202"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电泳槽</w:t>
                  </w:r>
                </w:p>
              </w:tc>
              <w:tc>
                <w:tcPr>
                  <w:tcW w:w="1804"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上长14.5</w:t>
                  </w:r>
                  <w:r>
                    <w:rPr>
                      <w:rFonts w:hint="eastAsia" w:ascii="Times New Roman" w:hAnsi="Times New Roman" w:eastAsia="宋体" w:cs="Times New Roman"/>
                      <w:color w:val="auto"/>
                      <w:szCs w:val="21"/>
                      <w:lang w:val="en-US" w:eastAsia="zh-CN"/>
                    </w:rPr>
                    <w:t>，</w:t>
                  </w:r>
                  <w:r>
                    <w:rPr>
                      <w:rFonts w:hint="default" w:ascii="Times New Roman" w:hAnsi="Times New Roman" w:eastAsia="宋体" w:cs="Times New Roman"/>
                      <w:color w:val="auto"/>
                      <w:szCs w:val="21"/>
                      <w:lang w:val="en-US" w:eastAsia="zh-CN"/>
                    </w:rPr>
                    <w:t>下长7.5</w:t>
                  </w:r>
                  <w:r>
                    <w:rPr>
                      <w:rFonts w:hint="eastAsia" w:ascii="Times New Roman" w:hAnsi="Times New Roman" w:eastAsia="宋体" w:cs="Times New Roman"/>
                      <w:color w:val="auto"/>
                      <w:szCs w:val="21"/>
                      <w:lang w:val="en-US" w:eastAsia="zh-CN"/>
                    </w:rPr>
                    <w:t>，</w:t>
                  </w:r>
                </w:p>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宽1.2</w:t>
                  </w:r>
                  <w:r>
                    <w:rPr>
                      <w:rFonts w:hint="eastAsia" w:ascii="Times New Roman" w:hAnsi="Times New Roman" w:eastAsia="宋体" w:cs="Times New Roman"/>
                      <w:color w:val="auto"/>
                      <w:szCs w:val="21"/>
                      <w:lang w:val="en-US" w:eastAsia="zh-CN"/>
                    </w:rPr>
                    <w:t>，</w:t>
                  </w:r>
                  <w:r>
                    <w:rPr>
                      <w:rFonts w:hint="default" w:ascii="Times New Roman" w:hAnsi="Times New Roman" w:eastAsia="宋体" w:cs="Times New Roman"/>
                      <w:color w:val="auto"/>
                      <w:szCs w:val="21"/>
                      <w:lang w:val="en-US" w:eastAsia="zh-CN"/>
                    </w:rPr>
                    <w:t>高1.9</w:t>
                  </w:r>
                </w:p>
              </w:tc>
              <w:tc>
                <w:tcPr>
                  <w:tcW w:w="1043"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24.94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9" w:type="pct"/>
                  <w:vMerge w:val="restar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超滤清洗</w:t>
                  </w:r>
                </w:p>
              </w:tc>
              <w:tc>
                <w:tcPr>
                  <w:tcW w:w="1202"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UF1槽</w:t>
                  </w:r>
                </w:p>
              </w:tc>
              <w:tc>
                <w:tcPr>
                  <w:tcW w:w="1804"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1.6*1*1.2</w:t>
                  </w:r>
                </w:p>
              </w:tc>
              <w:tc>
                <w:tcPr>
                  <w:tcW w:w="1043"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1.92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9" w:type="pct"/>
                  <w:vMerge w:val="continue"/>
                  <w:vAlign w:val="center"/>
                </w:tcPr>
                <w:p>
                  <w:pPr>
                    <w:adjustRightInd w:val="0"/>
                    <w:snapToGrid w:val="0"/>
                    <w:jc w:val="center"/>
                    <w:rPr>
                      <w:rFonts w:hint="default" w:ascii="Times New Roman" w:hAnsi="Times New Roman" w:eastAsia="宋体" w:cs="Times New Roman"/>
                      <w:color w:val="auto"/>
                      <w:szCs w:val="21"/>
                      <w:lang w:val="en-US" w:eastAsia="zh-CN"/>
                    </w:rPr>
                  </w:pPr>
                </w:p>
              </w:tc>
              <w:tc>
                <w:tcPr>
                  <w:tcW w:w="1202"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UF2槽</w:t>
                  </w:r>
                </w:p>
              </w:tc>
              <w:tc>
                <w:tcPr>
                  <w:tcW w:w="1804"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上长8.5</w:t>
                  </w:r>
                  <w:r>
                    <w:rPr>
                      <w:rFonts w:hint="eastAsia" w:ascii="Times New Roman" w:hAnsi="Times New Roman" w:eastAsia="宋体" w:cs="Times New Roman"/>
                      <w:color w:val="auto"/>
                      <w:szCs w:val="21"/>
                      <w:lang w:val="en-US" w:eastAsia="zh-CN"/>
                    </w:rPr>
                    <w:t>，</w:t>
                  </w:r>
                  <w:r>
                    <w:rPr>
                      <w:rFonts w:hint="default" w:ascii="Times New Roman" w:hAnsi="Times New Roman" w:eastAsia="宋体" w:cs="Times New Roman"/>
                      <w:color w:val="auto"/>
                      <w:szCs w:val="21"/>
                      <w:lang w:val="en-US" w:eastAsia="zh-CN"/>
                    </w:rPr>
                    <w:t>下长2.5</w:t>
                  </w:r>
                  <w:r>
                    <w:rPr>
                      <w:rFonts w:hint="eastAsia" w:ascii="Times New Roman" w:hAnsi="Times New Roman" w:eastAsia="宋体" w:cs="Times New Roman"/>
                      <w:color w:val="auto"/>
                      <w:szCs w:val="21"/>
                      <w:lang w:val="en-US" w:eastAsia="zh-CN"/>
                    </w:rPr>
                    <w:t>，</w:t>
                  </w:r>
                </w:p>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宽1</w:t>
                  </w:r>
                  <w:r>
                    <w:rPr>
                      <w:rFonts w:hint="eastAsia" w:ascii="Times New Roman" w:hAnsi="Times New Roman" w:eastAsia="宋体" w:cs="Times New Roman"/>
                      <w:color w:val="auto"/>
                      <w:szCs w:val="21"/>
                      <w:lang w:val="en-US" w:eastAsia="zh-CN"/>
                    </w:rPr>
                    <w:t>，</w:t>
                  </w:r>
                  <w:r>
                    <w:rPr>
                      <w:rFonts w:hint="default" w:ascii="Times New Roman" w:hAnsi="Times New Roman" w:eastAsia="宋体" w:cs="Times New Roman"/>
                      <w:color w:val="auto"/>
                      <w:szCs w:val="21"/>
                      <w:lang w:val="en-US" w:eastAsia="zh-CN"/>
                    </w:rPr>
                    <w:t>高1.9</w:t>
                  </w:r>
                </w:p>
              </w:tc>
              <w:tc>
                <w:tcPr>
                  <w:tcW w:w="1043"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10.45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9" w:type="pct"/>
                  <w:vMerge w:val="restar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纯水洗</w:t>
                  </w:r>
                </w:p>
              </w:tc>
              <w:tc>
                <w:tcPr>
                  <w:tcW w:w="1202"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纯水洗2槽</w:t>
                  </w:r>
                </w:p>
              </w:tc>
              <w:tc>
                <w:tcPr>
                  <w:tcW w:w="1804"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1.6*1*1.2</w:t>
                  </w:r>
                </w:p>
              </w:tc>
              <w:tc>
                <w:tcPr>
                  <w:tcW w:w="1043"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1.92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9" w:type="pct"/>
                  <w:vMerge w:val="continue"/>
                  <w:vAlign w:val="center"/>
                </w:tcPr>
                <w:p>
                  <w:pPr>
                    <w:adjustRightInd w:val="0"/>
                    <w:snapToGrid w:val="0"/>
                    <w:jc w:val="center"/>
                    <w:rPr>
                      <w:rFonts w:hint="default" w:ascii="Times New Roman" w:hAnsi="Times New Roman" w:eastAsia="宋体" w:cs="Times New Roman"/>
                      <w:color w:val="auto"/>
                      <w:szCs w:val="21"/>
                      <w:lang w:val="en-US" w:eastAsia="zh-CN"/>
                    </w:rPr>
                  </w:pPr>
                </w:p>
              </w:tc>
              <w:tc>
                <w:tcPr>
                  <w:tcW w:w="1202"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纯水洗3槽</w:t>
                  </w:r>
                </w:p>
              </w:tc>
              <w:tc>
                <w:tcPr>
                  <w:tcW w:w="1804"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1.6*1*1.2</w:t>
                  </w:r>
                </w:p>
              </w:tc>
              <w:tc>
                <w:tcPr>
                  <w:tcW w:w="1043"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1.92</w:t>
                  </w:r>
                </w:p>
              </w:tc>
            </w:tr>
          </w:tbl>
          <w:p>
            <w:pPr>
              <w:adjustRightInd w:val="0"/>
              <w:snapToGrid w:val="0"/>
              <w:spacing w:line="360" w:lineRule="auto"/>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7、主要原辅材料</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主要原辅材料及年用量见下表。</w:t>
            </w:r>
          </w:p>
          <w:p>
            <w:pPr>
              <w:tabs>
                <w:tab w:val="center" w:pos="4393"/>
                <w:tab w:val="left" w:pos="7140"/>
              </w:tabs>
              <w:jc w:val="center"/>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表2-</w:t>
            </w:r>
            <w:r>
              <w:rPr>
                <w:rFonts w:hint="eastAsia" w:cs="Times New Roman"/>
                <w:b/>
                <w:bCs/>
                <w:color w:val="auto"/>
                <w:sz w:val="24"/>
                <w:lang w:val="en-US" w:eastAsia="zh-CN"/>
              </w:rPr>
              <w:t>6</w:t>
            </w:r>
            <w:r>
              <w:rPr>
                <w:rFonts w:hint="default" w:ascii="Times New Roman" w:hAnsi="Times New Roman" w:eastAsia="宋体" w:cs="Times New Roman"/>
                <w:b/>
                <w:bCs/>
                <w:color w:val="auto"/>
                <w:sz w:val="24"/>
              </w:rPr>
              <w:t>主要原辅材料消耗状况</w:t>
            </w:r>
          </w:p>
          <w:tbl>
            <w:tblPr>
              <w:tblStyle w:val="22"/>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426"/>
              <w:gridCol w:w="426"/>
              <w:gridCol w:w="491"/>
              <w:gridCol w:w="2500"/>
              <w:gridCol w:w="427"/>
              <w:gridCol w:w="569"/>
              <w:gridCol w:w="668"/>
              <w:gridCol w:w="657"/>
              <w:gridCol w:w="708"/>
              <w:gridCol w:w="428"/>
              <w:gridCol w:w="69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37" w:type="pct"/>
                  <w:gridSpan w:val="4"/>
                  <w:vMerge w:val="restart"/>
                  <w:vAlign w:val="center"/>
                </w:tcPr>
                <w:p>
                  <w:pPr>
                    <w:adjustRightInd w:val="0"/>
                    <w:snapToGrid w:val="0"/>
                    <w:jc w:val="center"/>
                    <w:rPr>
                      <w:b/>
                      <w:bCs/>
                      <w:color w:val="auto"/>
                      <w:szCs w:val="21"/>
                    </w:rPr>
                  </w:pPr>
                  <w:r>
                    <w:rPr>
                      <w:b/>
                      <w:bCs/>
                      <w:color w:val="auto"/>
                      <w:szCs w:val="21"/>
                    </w:rPr>
                    <w:t>名称</w:t>
                  </w:r>
                </w:p>
              </w:tc>
              <w:tc>
                <w:tcPr>
                  <w:tcW w:w="1489" w:type="pct"/>
                  <w:vMerge w:val="restart"/>
                  <w:vAlign w:val="center"/>
                </w:tcPr>
                <w:p>
                  <w:pPr>
                    <w:adjustRightInd w:val="0"/>
                    <w:snapToGrid w:val="0"/>
                    <w:jc w:val="center"/>
                    <w:rPr>
                      <w:b/>
                      <w:bCs/>
                      <w:color w:val="auto"/>
                      <w:szCs w:val="21"/>
                    </w:rPr>
                  </w:pPr>
                  <w:r>
                    <w:rPr>
                      <w:b/>
                      <w:bCs/>
                      <w:color w:val="auto"/>
                      <w:szCs w:val="21"/>
                    </w:rPr>
                    <w:t>规格、成分</w:t>
                  </w:r>
                </w:p>
              </w:tc>
              <w:tc>
                <w:tcPr>
                  <w:tcW w:w="236" w:type="pct"/>
                  <w:vMerge w:val="restart"/>
                  <w:vAlign w:val="center"/>
                </w:tcPr>
                <w:p>
                  <w:pPr>
                    <w:adjustRightInd w:val="0"/>
                    <w:snapToGrid w:val="0"/>
                    <w:jc w:val="center"/>
                    <w:rPr>
                      <w:b/>
                      <w:bCs/>
                      <w:color w:val="auto"/>
                      <w:szCs w:val="21"/>
                    </w:rPr>
                  </w:pPr>
                  <w:r>
                    <w:rPr>
                      <w:b/>
                      <w:bCs/>
                      <w:color w:val="auto"/>
                      <w:szCs w:val="21"/>
                    </w:rPr>
                    <w:t>形态</w:t>
                  </w:r>
                </w:p>
              </w:tc>
              <w:tc>
                <w:tcPr>
                  <w:tcW w:w="1140" w:type="pct"/>
                  <w:gridSpan w:val="3"/>
                  <w:vAlign w:val="center"/>
                </w:tcPr>
                <w:p>
                  <w:pPr>
                    <w:adjustRightInd w:val="0"/>
                    <w:snapToGrid w:val="0"/>
                    <w:jc w:val="center"/>
                    <w:rPr>
                      <w:b/>
                      <w:bCs/>
                      <w:color w:val="auto"/>
                      <w:szCs w:val="21"/>
                    </w:rPr>
                  </w:pPr>
                  <w:r>
                    <w:rPr>
                      <w:b/>
                      <w:bCs/>
                      <w:color w:val="auto"/>
                      <w:szCs w:val="21"/>
                    </w:rPr>
                    <w:t>消耗量（t/a）</w:t>
                  </w:r>
                </w:p>
              </w:tc>
              <w:tc>
                <w:tcPr>
                  <w:tcW w:w="420" w:type="pct"/>
                  <w:vMerge w:val="restart"/>
                  <w:vAlign w:val="center"/>
                </w:tcPr>
                <w:p>
                  <w:pPr>
                    <w:adjustRightInd w:val="0"/>
                    <w:snapToGrid w:val="0"/>
                    <w:jc w:val="center"/>
                    <w:rPr>
                      <w:b/>
                      <w:bCs/>
                      <w:color w:val="auto"/>
                      <w:szCs w:val="21"/>
                    </w:rPr>
                  </w:pPr>
                  <w:r>
                    <w:rPr>
                      <w:b/>
                      <w:bCs/>
                      <w:color w:val="auto"/>
                      <w:szCs w:val="21"/>
                    </w:rPr>
                    <w:t>最大存量（t）</w:t>
                  </w:r>
                </w:p>
              </w:tc>
              <w:tc>
                <w:tcPr>
                  <w:tcW w:w="255" w:type="pct"/>
                  <w:vMerge w:val="restart"/>
                  <w:vAlign w:val="center"/>
                </w:tcPr>
                <w:p>
                  <w:pPr>
                    <w:adjustRightInd w:val="0"/>
                    <w:snapToGrid w:val="0"/>
                    <w:jc w:val="center"/>
                    <w:rPr>
                      <w:b/>
                      <w:bCs/>
                      <w:color w:val="auto"/>
                      <w:szCs w:val="21"/>
                    </w:rPr>
                  </w:pPr>
                  <w:r>
                    <w:rPr>
                      <w:b/>
                      <w:bCs/>
                      <w:color w:val="auto"/>
                      <w:szCs w:val="21"/>
                    </w:rPr>
                    <w:t>包装</w:t>
                  </w:r>
                </w:p>
              </w:tc>
              <w:tc>
                <w:tcPr>
                  <w:tcW w:w="420" w:type="pct"/>
                  <w:vMerge w:val="restart"/>
                  <w:vAlign w:val="center"/>
                </w:tcPr>
                <w:p>
                  <w:pPr>
                    <w:adjustRightInd w:val="0"/>
                    <w:snapToGrid w:val="0"/>
                    <w:jc w:val="center"/>
                    <w:rPr>
                      <w:b/>
                      <w:bCs/>
                      <w:color w:val="auto"/>
                      <w:szCs w:val="21"/>
                    </w:rPr>
                  </w:pPr>
                  <w:r>
                    <w:rPr>
                      <w:b/>
                      <w:bCs/>
                      <w:color w:val="auto"/>
                      <w:szCs w:val="21"/>
                    </w:rPr>
                    <w:t>来源及运输方式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5" w:hRule="atLeast"/>
                <w:jc w:val="center"/>
              </w:trPr>
              <w:tc>
                <w:tcPr>
                  <w:tcW w:w="1037" w:type="pct"/>
                  <w:gridSpan w:val="4"/>
                  <w:vMerge w:val="continue"/>
                  <w:vAlign w:val="center"/>
                </w:tcPr>
                <w:p>
                  <w:pPr>
                    <w:adjustRightInd w:val="0"/>
                    <w:snapToGrid w:val="0"/>
                    <w:jc w:val="center"/>
                    <w:rPr>
                      <w:color w:val="auto"/>
                      <w:szCs w:val="21"/>
                    </w:rPr>
                  </w:pPr>
                </w:p>
              </w:tc>
              <w:tc>
                <w:tcPr>
                  <w:tcW w:w="1489" w:type="pct"/>
                  <w:vMerge w:val="continue"/>
                  <w:vAlign w:val="center"/>
                </w:tcPr>
                <w:p>
                  <w:pPr>
                    <w:adjustRightInd w:val="0"/>
                    <w:snapToGrid w:val="0"/>
                    <w:jc w:val="center"/>
                    <w:rPr>
                      <w:color w:val="auto"/>
                      <w:szCs w:val="21"/>
                    </w:rPr>
                  </w:pPr>
                </w:p>
              </w:tc>
              <w:tc>
                <w:tcPr>
                  <w:tcW w:w="236" w:type="pct"/>
                  <w:vMerge w:val="continue"/>
                  <w:vAlign w:val="center"/>
                </w:tcPr>
                <w:p>
                  <w:pPr>
                    <w:adjustRightInd w:val="0"/>
                    <w:snapToGrid w:val="0"/>
                    <w:jc w:val="center"/>
                    <w:rPr>
                      <w:b/>
                      <w:bCs/>
                      <w:color w:val="auto"/>
                      <w:szCs w:val="21"/>
                    </w:rPr>
                  </w:pPr>
                </w:p>
              </w:tc>
              <w:tc>
                <w:tcPr>
                  <w:tcW w:w="343" w:type="pct"/>
                  <w:vAlign w:val="center"/>
                </w:tcPr>
                <w:p>
                  <w:pPr>
                    <w:adjustRightInd w:val="0"/>
                    <w:snapToGrid w:val="0"/>
                    <w:jc w:val="center"/>
                    <w:rPr>
                      <w:b/>
                      <w:bCs/>
                      <w:color w:val="auto"/>
                      <w:szCs w:val="21"/>
                    </w:rPr>
                  </w:pPr>
                  <w:r>
                    <w:rPr>
                      <w:b/>
                      <w:bCs/>
                      <w:color w:val="auto"/>
                      <w:szCs w:val="21"/>
                    </w:rPr>
                    <w:t>扩建前</w:t>
                  </w:r>
                </w:p>
              </w:tc>
              <w:tc>
                <w:tcPr>
                  <w:tcW w:w="402" w:type="pct"/>
                  <w:vAlign w:val="center"/>
                </w:tcPr>
                <w:p>
                  <w:pPr>
                    <w:adjustRightInd w:val="0"/>
                    <w:snapToGrid w:val="0"/>
                    <w:jc w:val="center"/>
                    <w:rPr>
                      <w:b/>
                      <w:bCs/>
                      <w:color w:val="auto"/>
                      <w:szCs w:val="21"/>
                    </w:rPr>
                  </w:pPr>
                  <w:r>
                    <w:rPr>
                      <w:b/>
                      <w:bCs/>
                      <w:color w:val="auto"/>
                      <w:szCs w:val="21"/>
                    </w:rPr>
                    <w:t>扩建后</w:t>
                  </w:r>
                </w:p>
              </w:tc>
              <w:tc>
                <w:tcPr>
                  <w:tcW w:w="394" w:type="pct"/>
                  <w:vAlign w:val="center"/>
                </w:tcPr>
                <w:p>
                  <w:pPr>
                    <w:adjustRightInd w:val="0"/>
                    <w:snapToGrid w:val="0"/>
                    <w:jc w:val="center"/>
                    <w:rPr>
                      <w:b/>
                      <w:bCs/>
                      <w:color w:val="auto"/>
                      <w:szCs w:val="21"/>
                    </w:rPr>
                  </w:pPr>
                  <w:r>
                    <w:rPr>
                      <w:b/>
                      <w:bCs/>
                      <w:color w:val="auto"/>
                      <w:szCs w:val="21"/>
                    </w:rPr>
                    <w:t>变化量</w:t>
                  </w:r>
                </w:p>
              </w:tc>
              <w:tc>
                <w:tcPr>
                  <w:tcW w:w="420" w:type="pct"/>
                  <w:vMerge w:val="continue"/>
                  <w:vAlign w:val="center"/>
                </w:tcPr>
                <w:p>
                  <w:pPr>
                    <w:adjustRightInd w:val="0"/>
                    <w:snapToGrid w:val="0"/>
                    <w:jc w:val="center"/>
                    <w:rPr>
                      <w:color w:val="auto"/>
                      <w:szCs w:val="21"/>
                    </w:rPr>
                  </w:pPr>
                </w:p>
              </w:tc>
              <w:tc>
                <w:tcPr>
                  <w:tcW w:w="255" w:type="pct"/>
                  <w:vMerge w:val="continue"/>
                  <w:vAlign w:val="center"/>
                </w:tcPr>
                <w:p>
                  <w:pPr>
                    <w:adjustRightInd w:val="0"/>
                    <w:snapToGrid w:val="0"/>
                    <w:jc w:val="center"/>
                    <w:rPr>
                      <w:color w:val="auto"/>
                      <w:szCs w:val="21"/>
                    </w:rPr>
                  </w:pPr>
                </w:p>
              </w:tc>
              <w:tc>
                <w:tcPr>
                  <w:tcW w:w="420" w:type="pct"/>
                  <w:vMerge w:val="continue"/>
                  <w:vAlign w:val="center"/>
                </w:tcPr>
                <w:p>
                  <w:pPr>
                    <w:adjustRightInd w:val="0"/>
                    <w:snapToGrid w:val="0"/>
                    <w:jc w:val="center"/>
                    <w:rPr>
                      <w:color w:val="auto"/>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2" w:type="pct"/>
                  <w:vMerge w:val="restart"/>
                  <w:vAlign w:val="center"/>
                </w:tcPr>
                <w:p>
                  <w:pPr>
                    <w:adjustRightInd w:val="0"/>
                    <w:snapToGrid w:val="0"/>
                    <w:jc w:val="center"/>
                    <w:rPr>
                      <w:color w:val="auto"/>
                      <w:szCs w:val="21"/>
                    </w:rPr>
                  </w:pPr>
                  <w:r>
                    <w:rPr>
                      <w:color w:val="auto"/>
                      <w:szCs w:val="21"/>
                    </w:rPr>
                    <w:t>原辅料</w:t>
                  </w:r>
                </w:p>
              </w:tc>
              <w:tc>
                <w:tcPr>
                  <w:tcW w:w="244" w:type="pct"/>
                  <w:vMerge w:val="restart"/>
                  <w:vAlign w:val="center"/>
                </w:tcPr>
                <w:p>
                  <w:pPr>
                    <w:adjustRightInd w:val="0"/>
                    <w:snapToGrid w:val="0"/>
                    <w:jc w:val="center"/>
                    <w:rPr>
                      <w:color w:val="auto"/>
                      <w:szCs w:val="21"/>
                    </w:rPr>
                  </w:pPr>
                  <w:r>
                    <w:rPr>
                      <w:color w:val="auto"/>
                      <w:szCs w:val="21"/>
                    </w:rPr>
                    <w:t>本项目</w:t>
                  </w:r>
                </w:p>
              </w:tc>
              <w:tc>
                <w:tcPr>
                  <w:tcW w:w="540" w:type="pct"/>
                  <w:gridSpan w:val="2"/>
                  <w:vAlign w:val="center"/>
                </w:tcPr>
                <w:p>
                  <w:pPr>
                    <w:adjustRightInd w:val="0"/>
                    <w:snapToGrid w:val="0"/>
                    <w:jc w:val="center"/>
                    <w:rPr>
                      <w:color w:val="auto"/>
                      <w:szCs w:val="21"/>
                    </w:rPr>
                  </w:pPr>
                  <w:r>
                    <w:rPr>
                      <w:color w:val="auto"/>
                      <w:szCs w:val="21"/>
                    </w:rPr>
                    <w:t>清洗剂</w:t>
                  </w:r>
                </w:p>
              </w:tc>
              <w:tc>
                <w:tcPr>
                  <w:tcW w:w="1489" w:type="pct"/>
                  <w:vAlign w:val="center"/>
                </w:tcPr>
                <w:p>
                  <w:pPr>
                    <w:adjustRightInd w:val="0"/>
                    <w:snapToGrid w:val="0"/>
                    <w:jc w:val="center"/>
                    <w:rPr>
                      <w:color w:val="auto"/>
                      <w:szCs w:val="21"/>
                    </w:rPr>
                  </w:pPr>
                  <w:r>
                    <w:rPr>
                      <w:color w:val="auto"/>
                      <w:szCs w:val="21"/>
                    </w:rPr>
                    <w:t>氢氧化钾（10~25%）、氢氧化钠（1~5%）、表面活性剂（1~5%）、纯水（65~88%）</w:t>
                  </w:r>
                </w:p>
              </w:tc>
              <w:tc>
                <w:tcPr>
                  <w:tcW w:w="236" w:type="pct"/>
                  <w:vAlign w:val="center"/>
                </w:tcPr>
                <w:p>
                  <w:pPr>
                    <w:adjustRightInd w:val="0"/>
                    <w:snapToGrid w:val="0"/>
                    <w:jc w:val="center"/>
                    <w:rPr>
                      <w:color w:val="auto"/>
                      <w:szCs w:val="21"/>
                    </w:rPr>
                  </w:pPr>
                  <w:r>
                    <w:rPr>
                      <w:color w:val="auto"/>
                      <w:szCs w:val="21"/>
                    </w:rPr>
                    <w:t>液态</w:t>
                  </w:r>
                </w:p>
              </w:tc>
              <w:tc>
                <w:tcPr>
                  <w:tcW w:w="343" w:type="pct"/>
                  <w:vAlign w:val="center"/>
                </w:tcPr>
                <w:p>
                  <w:pPr>
                    <w:adjustRightInd w:val="0"/>
                    <w:snapToGrid w:val="0"/>
                    <w:jc w:val="center"/>
                    <w:rPr>
                      <w:color w:val="auto"/>
                      <w:szCs w:val="21"/>
                    </w:rPr>
                  </w:pPr>
                  <w:r>
                    <w:rPr>
                      <w:color w:val="auto"/>
                      <w:szCs w:val="21"/>
                    </w:rPr>
                    <w:t>0</w:t>
                  </w:r>
                </w:p>
              </w:tc>
              <w:tc>
                <w:tcPr>
                  <w:tcW w:w="402" w:type="pct"/>
                  <w:vAlign w:val="center"/>
                </w:tcPr>
                <w:p>
                  <w:pPr>
                    <w:adjustRightInd w:val="0"/>
                    <w:snapToGrid w:val="0"/>
                    <w:jc w:val="center"/>
                    <w:rPr>
                      <w:color w:val="auto"/>
                      <w:szCs w:val="21"/>
                    </w:rPr>
                  </w:pPr>
                  <w:r>
                    <w:rPr>
                      <w:color w:val="auto"/>
                      <w:szCs w:val="21"/>
                    </w:rPr>
                    <w:t>9</w:t>
                  </w:r>
                </w:p>
              </w:tc>
              <w:tc>
                <w:tcPr>
                  <w:tcW w:w="394" w:type="pct"/>
                  <w:vAlign w:val="center"/>
                </w:tcPr>
                <w:p>
                  <w:pPr>
                    <w:adjustRightInd w:val="0"/>
                    <w:snapToGrid w:val="0"/>
                    <w:jc w:val="center"/>
                    <w:rPr>
                      <w:color w:val="auto"/>
                      <w:szCs w:val="21"/>
                    </w:rPr>
                  </w:pPr>
                  <w:r>
                    <w:rPr>
                      <w:color w:val="auto"/>
                      <w:szCs w:val="21"/>
                    </w:rPr>
                    <w:t>+9</w:t>
                  </w:r>
                </w:p>
              </w:tc>
              <w:tc>
                <w:tcPr>
                  <w:tcW w:w="420" w:type="pct"/>
                  <w:vAlign w:val="center"/>
                </w:tcPr>
                <w:p>
                  <w:pPr>
                    <w:adjustRightInd w:val="0"/>
                    <w:snapToGrid w:val="0"/>
                    <w:jc w:val="center"/>
                    <w:rPr>
                      <w:color w:val="auto"/>
                      <w:szCs w:val="21"/>
                    </w:rPr>
                  </w:pPr>
                  <w:r>
                    <w:rPr>
                      <w:color w:val="auto"/>
                      <w:szCs w:val="21"/>
                    </w:rPr>
                    <w:t>2</w:t>
                  </w:r>
                </w:p>
              </w:tc>
              <w:tc>
                <w:tcPr>
                  <w:tcW w:w="255" w:type="pct"/>
                  <w:vAlign w:val="center"/>
                </w:tcPr>
                <w:p>
                  <w:pPr>
                    <w:adjustRightInd w:val="0"/>
                    <w:snapToGrid w:val="0"/>
                    <w:jc w:val="center"/>
                    <w:rPr>
                      <w:color w:val="auto"/>
                      <w:szCs w:val="21"/>
                    </w:rPr>
                  </w:pPr>
                  <w:r>
                    <w:rPr>
                      <w:color w:val="auto"/>
                      <w:szCs w:val="21"/>
                    </w:rPr>
                    <w:t>桶装</w:t>
                  </w:r>
                </w:p>
              </w:tc>
              <w:tc>
                <w:tcPr>
                  <w:tcW w:w="420" w:type="pct"/>
                  <w:vMerge w:val="restart"/>
                  <w:vAlign w:val="center"/>
                </w:tcPr>
                <w:p>
                  <w:pPr>
                    <w:adjustRightInd w:val="0"/>
                    <w:snapToGrid w:val="0"/>
                    <w:jc w:val="center"/>
                    <w:rPr>
                      <w:color w:val="auto"/>
                      <w:szCs w:val="21"/>
                    </w:rPr>
                  </w:pPr>
                  <w:r>
                    <w:rPr>
                      <w:color w:val="auto"/>
                      <w:szCs w:val="21"/>
                    </w:rPr>
                    <w:t>国内，汽运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91" w:hRule="atLeast"/>
                <w:jc w:val="center"/>
              </w:trPr>
              <w:tc>
                <w:tcPr>
                  <w:tcW w:w="252" w:type="pct"/>
                  <w:vMerge w:val="continue"/>
                  <w:vAlign w:val="center"/>
                </w:tcPr>
                <w:p>
                  <w:pPr>
                    <w:adjustRightInd w:val="0"/>
                    <w:snapToGrid w:val="0"/>
                    <w:jc w:val="center"/>
                    <w:rPr>
                      <w:color w:val="auto"/>
                      <w:szCs w:val="21"/>
                    </w:rPr>
                  </w:pPr>
                </w:p>
              </w:tc>
              <w:tc>
                <w:tcPr>
                  <w:tcW w:w="244" w:type="pct"/>
                  <w:vMerge w:val="continue"/>
                  <w:vAlign w:val="center"/>
                </w:tcPr>
                <w:p>
                  <w:pPr>
                    <w:adjustRightInd w:val="0"/>
                    <w:snapToGrid w:val="0"/>
                    <w:jc w:val="center"/>
                    <w:rPr>
                      <w:color w:val="auto"/>
                      <w:szCs w:val="21"/>
                    </w:rPr>
                  </w:pPr>
                </w:p>
              </w:tc>
              <w:tc>
                <w:tcPr>
                  <w:tcW w:w="540" w:type="pct"/>
                  <w:gridSpan w:val="2"/>
                  <w:vAlign w:val="center"/>
                </w:tcPr>
                <w:p>
                  <w:pPr>
                    <w:adjustRightInd w:val="0"/>
                    <w:snapToGrid w:val="0"/>
                    <w:jc w:val="center"/>
                    <w:rPr>
                      <w:color w:val="auto"/>
                      <w:szCs w:val="21"/>
                    </w:rPr>
                  </w:pPr>
                  <w:r>
                    <w:rPr>
                      <w:color w:val="auto"/>
                      <w:szCs w:val="21"/>
                    </w:rPr>
                    <w:t>无磷皮膜剂</w:t>
                  </w:r>
                </w:p>
              </w:tc>
              <w:tc>
                <w:tcPr>
                  <w:tcW w:w="1489" w:type="pct"/>
                  <w:vAlign w:val="center"/>
                </w:tcPr>
                <w:p>
                  <w:pPr>
                    <w:adjustRightInd w:val="0"/>
                    <w:snapToGrid w:val="0"/>
                    <w:jc w:val="center"/>
                    <w:rPr>
                      <w:color w:val="auto"/>
                      <w:szCs w:val="21"/>
                    </w:rPr>
                  </w:pPr>
                  <w:r>
                    <w:rPr>
                      <w:color w:val="auto"/>
                      <w:szCs w:val="21"/>
                    </w:rPr>
                    <w:t>氟锆酸（5~10%）、碳酸钠（10~20%）、硅酸钠（5~10%）、水（60~80%）</w:t>
                  </w:r>
                </w:p>
              </w:tc>
              <w:tc>
                <w:tcPr>
                  <w:tcW w:w="236" w:type="pct"/>
                  <w:vAlign w:val="center"/>
                </w:tcPr>
                <w:p>
                  <w:pPr>
                    <w:adjustRightInd w:val="0"/>
                    <w:snapToGrid w:val="0"/>
                    <w:jc w:val="center"/>
                    <w:rPr>
                      <w:color w:val="auto"/>
                      <w:szCs w:val="21"/>
                    </w:rPr>
                  </w:pPr>
                  <w:r>
                    <w:rPr>
                      <w:color w:val="auto"/>
                      <w:szCs w:val="21"/>
                    </w:rPr>
                    <w:t>液态</w:t>
                  </w:r>
                </w:p>
              </w:tc>
              <w:tc>
                <w:tcPr>
                  <w:tcW w:w="343" w:type="pct"/>
                  <w:vAlign w:val="center"/>
                </w:tcPr>
                <w:p>
                  <w:pPr>
                    <w:adjustRightInd w:val="0"/>
                    <w:snapToGrid w:val="0"/>
                    <w:jc w:val="center"/>
                    <w:rPr>
                      <w:color w:val="auto"/>
                      <w:szCs w:val="21"/>
                    </w:rPr>
                  </w:pPr>
                  <w:r>
                    <w:rPr>
                      <w:color w:val="auto"/>
                      <w:szCs w:val="21"/>
                    </w:rPr>
                    <w:t>0</w:t>
                  </w:r>
                </w:p>
              </w:tc>
              <w:tc>
                <w:tcPr>
                  <w:tcW w:w="402" w:type="pct"/>
                  <w:vAlign w:val="center"/>
                </w:tcPr>
                <w:p>
                  <w:pPr>
                    <w:adjustRightInd w:val="0"/>
                    <w:snapToGrid w:val="0"/>
                    <w:jc w:val="center"/>
                    <w:rPr>
                      <w:color w:val="auto"/>
                      <w:szCs w:val="21"/>
                    </w:rPr>
                  </w:pPr>
                  <w:r>
                    <w:rPr>
                      <w:color w:val="auto"/>
                      <w:szCs w:val="21"/>
                    </w:rPr>
                    <w:t>9</w:t>
                  </w:r>
                </w:p>
              </w:tc>
              <w:tc>
                <w:tcPr>
                  <w:tcW w:w="394" w:type="pct"/>
                  <w:vAlign w:val="center"/>
                </w:tcPr>
                <w:p>
                  <w:pPr>
                    <w:adjustRightInd w:val="0"/>
                    <w:snapToGrid w:val="0"/>
                    <w:jc w:val="center"/>
                    <w:rPr>
                      <w:color w:val="auto"/>
                      <w:szCs w:val="21"/>
                    </w:rPr>
                  </w:pPr>
                  <w:r>
                    <w:rPr>
                      <w:color w:val="auto"/>
                      <w:szCs w:val="21"/>
                    </w:rPr>
                    <w:t>+9</w:t>
                  </w:r>
                </w:p>
              </w:tc>
              <w:tc>
                <w:tcPr>
                  <w:tcW w:w="420" w:type="pct"/>
                  <w:vAlign w:val="center"/>
                </w:tcPr>
                <w:p>
                  <w:pPr>
                    <w:adjustRightInd w:val="0"/>
                    <w:snapToGrid w:val="0"/>
                    <w:jc w:val="center"/>
                    <w:rPr>
                      <w:color w:val="auto"/>
                      <w:szCs w:val="21"/>
                    </w:rPr>
                  </w:pPr>
                  <w:r>
                    <w:rPr>
                      <w:color w:val="auto"/>
                      <w:szCs w:val="21"/>
                    </w:rPr>
                    <w:t>2</w:t>
                  </w:r>
                </w:p>
              </w:tc>
              <w:tc>
                <w:tcPr>
                  <w:tcW w:w="255" w:type="pct"/>
                  <w:vAlign w:val="center"/>
                </w:tcPr>
                <w:p>
                  <w:pPr>
                    <w:adjustRightInd w:val="0"/>
                    <w:snapToGrid w:val="0"/>
                    <w:jc w:val="center"/>
                    <w:rPr>
                      <w:color w:val="auto"/>
                      <w:szCs w:val="21"/>
                    </w:rPr>
                  </w:pPr>
                  <w:r>
                    <w:rPr>
                      <w:color w:val="auto"/>
                      <w:szCs w:val="21"/>
                    </w:rPr>
                    <w:t>桶装</w:t>
                  </w:r>
                </w:p>
              </w:tc>
              <w:tc>
                <w:tcPr>
                  <w:tcW w:w="420" w:type="pct"/>
                  <w:vMerge w:val="continue"/>
                  <w:vAlign w:val="center"/>
                </w:tcPr>
                <w:p>
                  <w:pPr>
                    <w:adjustRightInd w:val="0"/>
                    <w:snapToGrid w:val="0"/>
                    <w:jc w:val="center"/>
                    <w:rPr>
                      <w:color w:val="auto"/>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2" w:type="pct"/>
                  <w:vMerge w:val="continue"/>
                  <w:vAlign w:val="center"/>
                </w:tcPr>
                <w:p>
                  <w:pPr>
                    <w:adjustRightInd w:val="0"/>
                    <w:snapToGrid w:val="0"/>
                    <w:jc w:val="center"/>
                    <w:rPr>
                      <w:color w:val="auto"/>
                      <w:szCs w:val="21"/>
                    </w:rPr>
                  </w:pPr>
                </w:p>
              </w:tc>
              <w:tc>
                <w:tcPr>
                  <w:tcW w:w="244" w:type="pct"/>
                  <w:vMerge w:val="continue"/>
                  <w:vAlign w:val="center"/>
                </w:tcPr>
                <w:p>
                  <w:pPr>
                    <w:adjustRightInd w:val="0"/>
                    <w:snapToGrid w:val="0"/>
                    <w:jc w:val="center"/>
                    <w:rPr>
                      <w:color w:val="auto"/>
                      <w:szCs w:val="21"/>
                    </w:rPr>
                  </w:pPr>
                </w:p>
              </w:tc>
              <w:tc>
                <w:tcPr>
                  <w:tcW w:w="244" w:type="pct"/>
                  <w:vMerge w:val="restart"/>
                  <w:vAlign w:val="center"/>
                </w:tcPr>
                <w:p>
                  <w:pPr>
                    <w:adjustRightInd w:val="0"/>
                    <w:snapToGrid w:val="0"/>
                    <w:jc w:val="center"/>
                    <w:rPr>
                      <w:rFonts w:hint="default" w:eastAsia="宋体"/>
                      <w:color w:val="auto"/>
                      <w:szCs w:val="21"/>
                      <w:lang w:val="en-US" w:eastAsia="zh-CN"/>
                    </w:rPr>
                  </w:pPr>
                  <w:r>
                    <w:rPr>
                      <w:rFonts w:hint="eastAsia"/>
                      <w:color w:val="auto"/>
                      <w:szCs w:val="21"/>
                      <w:lang w:val="en-US" w:eastAsia="zh-CN"/>
                    </w:rPr>
                    <w:t>电泳漆</w:t>
                  </w:r>
                </w:p>
              </w:tc>
              <w:tc>
                <w:tcPr>
                  <w:tcW w:w="295" w:type="pct"/>
                  <w:vAlign w:val="center"/>
                </w:tcPr>
                <w:p>
                  <w:pPr>
                    <w:adjustRightInd w:val="0"/>
                    <w:snapToGrid w:val="0"/>
                    <w:jc w:val="center"/>
                    <w:rPr>
                      <w:rFonts w:ascii="Times New Roman" w:hAnsi="Times New Roman" w:eastAsia="宋体" w:cs="Times New Roman"/>
                      <w:color w:val="auto"/>
                      <w:kern w:val="2"/>
                      <w:sz w:val="21"/>
                      <w:szCs w:val="21"/>
                      <w:lang w:val="en-US" w:eastAsia="zh-CN" w:bidi="ar-SA"/>
                    </w:rPr>
                  </w:pPr>
                  <w:r>
                    <w:rPr>
                      <w:color w:val="auto"/>
                      <w:szCs w:val="21"/>
                    </w:rPr>
                    <w:t>色浆</w:t>
                  </w:r>
                </w:p>
              </w:tc>
              <w:tc>
                <w:tcPr>
                  <w:tcW w:w="1489" w:type="pct"/>
                  <w:vAlign w:val="center"/>
                </w:tcPr>
                <w:p>
                  <w:pPr>
                    <w:adjustRightInd w:val="0"/>
                    <w:snapToGrid w:val="0"/>
                    <w:jc w:val="center"/>
                    <w:rPr>
                      <w:color w:val="auto"/>
                      <w:szCs w:val="21"/>
                    </w:rPr>
                  </w:pPr>
                  <w:r>
                    <w:rPr>
                      <w:color w:val="auto"/>
                      <w:szCs w:val="21"/>
                    </w:rPr>
                    <w:t>环氧树脂（5~25%）、聚酰胺树脂（1~10%）、高岭土（10~25%）、乙二醇丁醚（</w:t>
                  </w:r>
                  <w:r>
                    <w:rPr>
                      <w:rFonts w:hint="eastAsia"/>
                      <w:color w:val="auto"/>
                      <w:szCs w:val="21"/>
                      <w:lang w:val="en-US" w:eastAsia="zh-CN"/>
                    </w:rPr>
                    <w:t>8</w:t>
                  </w:r>
                  <w:r>
                    <w:rPr>
                      <w:color w:val="auto"/>
                      <w:szCs w:val="21"/>
                    </w:rPr>
                    <w:t>~</w:t>
                  </w:r>
                  <w:r>
                    <w:rPr>
                      <w:rFonts w:hint="eastAsia"/>
                      <w:color w:val="auto"/>
                      <w:szCs w:val="21"/>
                      <w:lang w:val="en-US" w:eastAsia="zh-CN"/>
                    </w:rPr>
                    <w:t>9</w:t>
                  </w:r>
                  <w:r>
                    <w:rPr>
                      <w:color w:val="auto"/>
                      <w:szCs w:val="21"/>
                    </w:rPr>
                    <w:t>%）、碳黑（1~10%）、乳酸（1~5%）、水（40~60%）</w:t>
                  </w:r>
                </w:p>
              </w:tc>
              <w:tc>
                <w:tcPr>
                  <w:tcW w:w="236" w:type="pct"/>
                  <w:vAlign w:val="center"/>
                </w:tcPr>
                <w:p>
                  <w:pPr>
                    <w:adjustRightInd w:val="0"/>
                    <w:snapToGrid w:val="0"/>
                    <w:jc w:val="center"/>
                    <w:rPr>
                      <w:color w:val="auto"/>
                      <w:szCs w:val="21"/>
                    </w:rPr>
                  </w:pPr>
                  <w:r>
                    <w:rPr>
                      <w:color w:val="auto"/>
                      <w:szCs w:val="21"/>
                    </w:rPr>
                    <w:t>液态</w:t>
                  </w:r>
                </w:p>
              </w:tc>
              <w:tc>
                <w:tcPr>
                  <w:tcW w:w="343" w:type="pct"/>
                  <w:vAlign w:val="center"/>
                </w:tcPr>
                <w:p>
                  <w:pPr>
                    <w:adjustRightInd w:val="0"/>
                    <w:snapToGrid w:val="0"/>
                    <w:jc w:val="center"/>
                    <w:rPr>
                      <w:color w:val="auto"/>
                      <w:szCs w:val="21"/>
                    </w:rPr>
                  </w:pPr>
                  <w:r>
                    <w:rPr>
                      <w:color w:val="auto"/>
                      <w:szCs w:val="21"/>
                    </w:rPr>
                    <w:t>0</w:t>
                  </w:r>
                </w:p>
              </w:tc>
              <w:tc>
                <w:tcPr>
                  <w:tcW w:w="402" w:type="pct"/>
                  <w:vAlign w:val="center"/>
                </w:tcPr>
                <w:p>
                  <w:pPr>
                    <w:adjustRightInd w:val="0"/>
                    <w:snapToGrid w:val="0"/>
                    <w:jc w:val="center"/>
                    <w:rPr>
                      <w:color w:val="auto"/>
                      <w:szCs w:val="21"/>
                    </w:rPr>
                  </w:pPr>
                  <w:r>
                    <w:rPr>
                      <w:color w:val="auto"/>
                      <w:szCs w:val="21"/>
                    </w:rPr>
                    <w:t>7.5</w:t>
                  </w:r>
                </w:p>
              </w:tc>
              <w:tc>
                <w:tcPr>
                  <w:tcW w:w="394" w:type="pct"/>
                  <w:vAlign w:val="center"/>
                </w:tcPr>
                <w:p>
                  <w:pPr>
                    <w:adjustRightInd w:val="0"/>
                    <w:snapToGrid w:val="0"/>
                    <w:jc w:val="center"/>
                    <w:rPr>
                      <w:color w:val="auto"/>
                      <w:szCs w:val="21"/>
                    </w:rPr>
                  </w:pPr>
                  <w:r>
                    <w:rPr>
                      <w:color w:val="auto"/>
                      <w:szCs w:val="21"/>
                    </w:rPr>
                    <w:t>+7.5</w:t>
                  </w:r>
                </w:p>
              </w:tc>
              <w:tc>
                <w:tcPr>
                  <w:tcW w:w="420" w:type="pct"/>
                  <w:vAlign w:val="center"/>
                </w:tcPr>
                <w:p>
                  <w:pPr>
                    <w:adjustRightInd w:val="0"/>
                    <w:snapToGrid w:val="0"/>
                    <w:jc w:val="center"/>
                    <w:rPr>
                      <w:color w:val="auto"/>
                      <w:szCs w:val="21"/>
                    </w:rPr>
                  </w:pPr>
                  <w:r>
                    <w:rPr>
                      <w:color w:val="auto"/>
                      <w:szCs w:val="21"/>
                    </w:rPr>
                    <w:t>0.5</w:t>
                  </w:r>
                </w:p>
              </w:tc>
              <w:tc>
                <w:tcPr>
                  <w:tcW w:w="255" w:type="pct"/>
                  <w:vAlign w:val="center"/>
                </w:tcPr>
                <w:p>
                  <w:pPr>
                    <w:adjustRightInd w:val="0"/>
                    <w:snapToGrid w:val="0"/>
                    <w:jc w:val="center"/>
                    <w:rPr>
                      <w:color w:val="auto"/>
                      <w:szCs w:val="21"/>
                    </w:rPr>
                  </w:pPr>
                  <w:r>
                    <w:rPr>
                      <w:color w:val="auto"/>
                      <w:szCs w:val="21"/>
                    </w:rPr>
                    <w:t>桶装</w:t>
                  </w:r>
                </w:p>
              </w:tc>
              <w:tc>
                <w:tcPr>
                  <w:tcW w:w="420" w:type="pct"/>
                  <w:vMerge w:val="continue"/>
                  <w:vAlign w:val="center"/>
                </w:tcPr>
                <w:p>
                  <w:pPr>
                    <w:adjustRightInd w:val="0"/>
                    <w:snapToGrid w:val="0"/>
                    <w:jc w:val="center"/>
                    <w:rPr>
                      <w:color w:val="auto"/>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2" w:type="pct"/>
                  <w:vMerge w:val="continue"/>
                  <w:vAlign w:val="center"/>
                </w:tcPr>
                <w:p>
                  <w:pPr>
                    <w:adjustRightInd w:val="0"/>
                    <w:snapToGrid w:val="0"/>
                    <w:jc w:val="center"/>
                    <w:rPr>
                      <w:color w:val="auto"/>
                      <w:szCs w:val="21"/>
                    </w:rPr>
                  </w:pPr>
                </w:p>
              </w:tc>
              <w:tc>
                <w:tcPr>
                  <w:tcW w:w="244" w:type="pct"/>
                  <w:vMerge w:val="continue"/>
                  <w:vAlign w:val="center"/>
                </w:tcPr>
                <w:p>
                  <w:pPr>
                    <w:adjustRightInd w:val="0"/>
                    <w:snapToGrid w:val="0"/>
                    <w:jc w:val="center"/>
                    <w:rPr>
                      <w:color w:val="auto"/>
                      <w:szCs w:val="21"/>
                    </w:rPr>
                  </w:pPr>
                </w:p>
              </w:tc>
              <w:tc>
                <w:tcPr>
                  <w:tcW w:w="244" w:type="pct"/>
                  <w:vMerge w:val="continue"/>
                  <w:vAlign w:val="center"/>
                </w:tcPr>
                <w:p>
                  <w:pPr>
                    <w:adjustRightInd w:val="0"/>
                    <w:snapToGrid w:val="0"/>
                    <w:jc w:val="center"/>
                    <w:rPr>
                      <w:color w:val="auto"/>
                      <w:szCs w:val="21"/>
                    </w:rPr>
                  </w:pPr>
                </w:p>
              </w:tc>
              <w:tc>
                <w:tcPr>
                  <w:tcW w:w="295" w:type="pct"/>
                  <w:vAlign w:val="center"/>
                </w:tcPr>
                <w:p>
                  <w:pPr>
                    <w:adjustRightInd w:val="0"/>
                    <w:snapToGrid w:val="0"/>
                    <w:jc w:val="center"/>
                    <w:rPr>
                      <w:rFonts w:ascii="Times New Roman" w:hAnsi="Times New Roman" w:eastAsia="宋体" w:cs="Times New Roman"/>
                      <w:color w:val="auto"/>
                      <w:kern w:val="2"/>
                      <w:sz w:val="21"/>
                      <w:szCs w:val="21"/>
                      <w:lang w:val="en-US" w:eastAsia="zh-CN" w:bidi="ar-SA"/>
                    </w:rPr>
                  </w:pPr>
                  <w:r>
                    <w:rPr>
                      <w:color w:val="auto"/>
                      <w:szCs w:val="21"/>
                    </w:rPr>
                    <w:t>乳液</w:t>
                  </w:r>
                </w:p>
              </w:tc>
              <w:tc>
                <w:tcPr>
                  <w:tcW w:w="1489" w:type="pct"/>
                  <w:vAlign w:val="center"/>
                </w:tcPr>
                <w:p>
                  <w:pPr>
                    <w:adjustRightInd w:val="0"/>
                    <w:snapToGrid w:val="0"/>
                    <w:jc w:val="center"/>
                    <w:rPr>
                      <w:color w:val="auto"/>
                      <w:szCs w:val="21"/>
                    </w:rPr>
                  </w:pPr>
                  <w:r>
                    <w:rPr>
                      <w:color w:val="auto"/>
                      <w:szCs w:val="21"/>
                    </w:rPr>
                    <w:t>环氧树脂（10~30%）、</w:t>
                  </w:r>
                </w:p>
                <w:p>
                  <w:pPr>
                    <w:adjustRightInd w:val="0"/>
                    <w:snapToGrid w:val="0"/>
                    <w:jc w:val="center"/>
                    <w:rPr>
                      <w:color w:val="auto"/>
                      <w:szCs w:val="21"/>
                    </w:rPr>
                  </w:pPr>
                  <w:r>
                    <w:rPr>
                      <w:color w:val="auto"/>
                      <w:szCs w:val="21"/>
                    </w:rPr>
                    <w:t>聚酰胺树脂（1~10%）、</w:t>
                  </w:r>
                  <w:r>
                    <w:rPr>
                      <w:rFonts w:hint="eastAsia"/>
                      <w:color w:val="auto"/>
                      <w:szCs w:val="21"/>
                      <w:lang w:val="en-US" w:eastAsia="zh-CN"/>
                    </w:rPr>
                    <w:t>丙</w:t>
                  </w:r>
                  <w:r>
                    <w:rPr>
                      <w:color w:val="auto"/>
                      <w:szCs w:val="21"/>
                    </w:rPr>
                    <w:t>二醇</w:t>
                  </w:r>
                  <w:r>
                    <w:rPr>
                      <w:rFonts w:hint="eastAsia"/>
                      <w:color w:val="auto"/>
                      <w:szCs w:val="21"/>
                      <w:lang w:val="en-US" w:eastAsia="zh-CN"/>
                    </w:rPr>
                    <w:t>甲</w:t>
                  </w:r>
                  <w:r>
                    <w:rPr>
                      <w:color w:val="auto"/>
                      <w:szCs w:val="21"/>
                    </w:rPr>
                    <w:t>醚（</w:t>
                  </w:r>
                  <w:r>
                    <w:rPr>
                      <w:rFonts w:hint="eastAsia"/>
                      <w:color w:val="auto"/>
                      <w:szCs w:val="21"/>
                      <w:lang w:val="en-US" w:eastAsia="zh-CN"/>
                    </w:rPr>
                    <w:t>6.5</w:t>
                  </w:r>
                  <w:r>
                    <w:rPr>
                      <w:color w:val="auto"/>
                      <w:szCs w:val="21"/>
                    </w:rPr>
                    <w:t>~</w:t>
                  </w:r>
                  <w:r>
                    <w:rPr>
                      <w:rFonts w:hint="eastAsia"/>
                      <w:color w:val="auto"/>
                      <w:szCs w:val="21"/>
                      <w:lang w:val="en-US" w:eastAsia="zh-CN"/>
                    </w:rPr>
                    <w:t>7</w:t>
                  </w:r>
                  <w:r>
                    <w:rPr>
                      <w:color w:val="auto"/>
                      <w:szCs w:val="21"/>
                    </w:rPr>
                    <w:t>%）、</w:t>
                  </w:r>
                  <w:r>
                    <w:rPr>
                      <w:rFonts w:hint="eastAsia"/>
                      <w:color w:val="auto"/>
                      <w:szCs w:val="21"/>
                      <w:lang w:val="en-US" w:eastAsia="zh-CN"/>
                    </w:rPr>
                    <w:t>丙二醇苯醚</w:t>
                  </w:r>
                  <w:r>
                    <w:rPr>
                      <w:color w:val="auto"/>
                      <w:szCs w:val="21"/>
                    </w:rPr>
                    <w:t>（1.5~</w:t>
                  </w:r>
                  <w:r>
                    <w:rPr>
                      <w:rFonts w:hint="eastAsia"/>
                      <w:color w:val="auto"/>
                      <w:szCs w:val="21"/>
                      <w:lang w:val="en-US" w:eastAsia="zh-CN"/>
                    </w:rPr>
                    <w:t>2</w:t>
                  </w:r>
                  <w:r>
                    <w:rPr>
                      <w:color w:val="auto"/>
                      <w:szCs w:val="21"/>
                    </w:rPr>
                    <w:t>%）、乳酸（1~5%）、水（&gt;60%）</w:t>
                  </w:r>
                </w:p>
              </w:tc>
              <w:tc>
                <w:tcPr>
                  <w:tcW w:w="236" w:type="pct"/>
                  <w:vAlign w:val="center"/>
                </w:tcPr>
                <w:p>
                  <w:pPr>
                    <w:adjustRightInd w:val="0"/>
                    <w:snapToGrid w:val="0"/>
                    <w:jc w:val="center"/>
                    <w:rPr>
                      <w:color w:val="auto"/>
                      <w:szCs w:val="21"/>
                    </w:rPr>
                  </w:pPr>
                  <w:r>
                    <w:rPr>
                      <w:color w:val="auto"/>
                      <w:szCs w:val="21"/>
                    </w:rPr>
                    <w:t>液态</w:t>
                  </w:r>
                </w:p>
              </w:tc>
              <w:tc>
                <w:tcPr>
                  <w:tcW w:w="343" w:type="pct"/>
                  <w:vAlign w:val="center"/>
                </w:tcPr>
                <w:p>
                  <w:pPr>
                    <w:adjustRightInd w:val="0"/>
                    <w:snapToGrid w:val="0"/>
                    <w:jc w:val="center"/>
                    <w:rPr>
                      <w:color w:val="auto"/>
                      <w:szCs w:val="21"/>
                    </w:rPr>
                  </w:pPr>
                  <w:r>
                    <w:rPr>
                      <w:color w:val="auto"/>
                      <w:szCs w:val="21"/>
                    </w:rPr>
                    <w:t>0</w:t>
                  </w:r>
                </w:p>
              </w:tc>
              <w:tc>
                <w:tcPr>
                  <w:tcW w:w="402" w:type="pct"/>
                  <w:vAlign w:val="center"/>
                </w:tcPr>
                <w:p>
                  <w:pPr>
                    <w:adjustRightInd w:val="0"/>
                    <w:snapToGrid w:val="0"/>
                    <w:jc w:val="center"/>
                    <w:rPr>
                      <w:color w:val="auto"/>
                      <w:szCs w:val="21"/>
                    </w:rPr>
                  </w:pPr>
                  <w:r>
                    <w:rPr>
                      <w:color w:val="auto"/>
                      <w:szCs w:val="21"/>
                    </w:rPr>
                    <w:t>30</w:t>
                  </w:r>
                </w:p>
              </w:tc>
              <w:tc>
                <w:tcPr>
                  <w:tcW w:w="394" w:type="pct"/>
                  <w:vAlign w:val="center"/>
                </w:tcPr>
                <w:p>
                  <w:pPr>
                    <w:adjustRightInd w:val="0"/>
                    <w:snapToGrid w:val="0"/>
                    <w:jc w:val="center"/>
                    <w:rPr>
                      <w:color w:val="auto"/>
                      <w:szCs w:val="21"/>
                    </w:rPr>
                  </w:pPr>
                  <w:r>
                    <w:rPr>
                      <w:color w:val="auto"/>
                      <w:szCs w:val="21"/>
                    </w:rPr>
                    <w:t>+30</w:t>
                  </w:r>
                </w:p>
              </w:tc>
              <w:tc>
                <w:tcPr>
                  <w:tcW w:w="420" w:type="pct"/>
                  <w:vAlign w:val="center"/>
                </w:tcPr>
                <w:p>
                  <w:pPr>
                    <w:adjustRightInd w:val="0"/>
                    <w:snapToGrid w:val="0"/>
                    <w:jc w:val="center"/>
                    <w:rPr>
                      <w:color w:val="auto"/>
                      <w:szCs w:val="21"/>
                    </w:rPr>
                  </w:pPr>
                  <w:r>
                    <w:rPr>
                      <w:color w:val="auto"/>
                      <w:szCs w:val="21"/>
                    </w:rPr>
                    <w:t>2</w:t>
                  </w:r>
                </w:p>
              </w:tc>
              <w:tc>
                <w:tcPr>
                  <w:tcW w:w="255" w:type="pct"/>
                  <w:vAlign w:val="center"/>
                </w:tcPr>
                <w:p>
                  <w:pPr>
                    <w:adjustRightInd w:val="0"/>
                    <w:snapToGrid w:val="0"/>
                    <w:jc w:val="center"/>
                    <w:rPr>
                      <w:color w:val="auto"/>
                      <w:szCs w:val="21"/>
                    </w:rPr>
                  </w:pPr>
                  <w:r>
                    <w:rPr>
                      <w:color w:val="auto"/>
                      <w:szCs w:val="21"/>
                    </w:rPr>
                    <w:t>桶装</w:t>
                  </w:r>
                </w:p>
              </w:tc>
              <w:tc>
                <w:tcPr>
                  <w:tcW w:w="420" w:type="pct"/>
                  <w:vMerge w:val="continue"/>
                  <w:vAlign w:val="center"/>
                </w:tcPr>
                <w:p>
                  <w:pPr>
                    <w:adjustRightInd w:val="0"/>
                    <w:snapToGrid w:val="0"/>
                    <w:jc w:val="center"/>
                    <w:rPr>
                      <w:color w:val="auto"/>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52" w:type="pct"/>
                  <w:vMerge w:val="continue"/>
                  <w:vAlign w:val="center"/>
                </w:tcPr>
                <w:p>
                  <w:pPr>
                    <w:adjustRightInd w:val="0"/>
                    <w:snapToGrid w:val="0"/>
                    <w:jc w:val="center"/>
                    <w:rPr>
                      <w:color w:val="auto"/>
                      <w:szCs w:val="21"/>
                    </w:rPr>
                  </w:pPr>
                </w:p>
              </w:tc>
              <w:tc>
                <w:tcPr>
                  <w:tcW w:w="244" w:type="pct"/>
                  <w:vMerge w:val="continue"/>
                  <w:vAlign w:val="center"/>
                </w:tcPr>
                <w:p>
                  <w:pPr>
                    <w:adjustRightInd w:val="0"/>
                    <w:snapToGrid w:val="0"/>
                    <w:jc w:val="center"/>
                    <w:rPr>
                      <w:color w:val="auto"/>
                      <w:szCs w:val="21"/>
                    </w:rPr>
                  </w:pPr>
                </w:p>
              </w:tc>
              <w:tc>
                <w:tcPr>
                  <w:tcW w:w="244" w:type="pct"/>
                  <w:vMerge w:val="continue"/>
                  <w:vAlign w:val="center"/>
                </w:tcPr>
                <w:p>
                  <w:pPr>
                    <w:adjustRightInd w:val="0"/>
                    <w:snapToGrid w:val="0"/>
                    <w:jc w:val="center"/>
                    <w:rPr>
                      <w:color w:val="auto"/>
                      <w:szCs w:val="21"/>
                    </w:rPr>
                  </w:pPr>
                </w:p>
              </w:tc>
              <w:tc>
                <w:tcPr>
                  <w:tcW w:w="295" w:type="pct"/>
                  <w:vAlign w:val="center"/>
                </w:tcPr>
                <w:p>
                  <w:pPr>
                    <w:adjustRightInd w:val="0"/>
                    <w:snapToGrid w:val="0"/>
                    <w:jc w:val="center"/>
                    <w:rPr>
                      <w:rFonts w:ascii="Times New Roman" w:hAnsi="Times New Roman" w:eastAsia="宋体" w:cs="Times New Roman"/>
                      <w:color w:val="auto"/>
                      <w:kern w:val="2"/>
                      <w:sz w:val="21"/>
                      <w:szCs w:val="21"/>
                      <w:lang w:val="en-US" w:eastAsia="zh-CN" w:bidi="ar-SA"/>
                    </w:rPr>
                  </w:pPr>
                  <w:r>
                    <w:rPr>
                      <w:color w:val="auto"/>
                      <w:szCs w:val="21"/>
                    </w:rPr>
                    <w:t>调整剂</w:t>
                  </w:r>
                </w:p>
              </w:tc>
              <w:tc>
                <w:tcPr>
                  <w:tcW w:w="1489" w:type="pct"/>
                  <w:vAlign w:val="center"/>
                </w:tcPr>
                <w:p>
                  <w:pPr>
                    <w:adjustRightInd w:val="0"/>
                    <w:snapToGrid w:val="0"/>
                    <w:jc w:val="center"/>
                    <w:rPr>
                      <w:color w:val="auto"/>
                      <w:szCs w:val="21"/>
                    </w:rPr>
                  </w:pPr>
                  <w:r>
                    <w:rPr>
                      <w:color w:val="auto"/>
                      <w:szCs w:val="21"/>
                    </w:rPr>
                    <w:t>乙二醇丁醚（&gt;99%）</w:t>
                  </w:r>
                </w:p>
              </w:tc>
              <w:tc>
                <w:tcPr>
                  <w:tcW w:w="236" w:type="pct"/>
                  <w:vAlign w:val="center"/>
                </w:tcPr>
                <w:p>
                  <w:pPr>
                    <w:adjustRightInd w:val="0"/>
                    <w:snapToGrid w:val="0"/>
                    <w:jc w:val="center"/>
                    <w:rPr>
                      <w:color w:val="auto"/>
                      <w:szCs w:val="21"/>
                    </w:rPr>
                  </w:pPr>
                  <w:r>
                    <w:rPr>
                      <w:color w:val="auto"/>
                      <w:szCs w:val="21"/>
                    </w:rPr>
                    <w:t>液态</w:t>
                  </w:r>
                </w:p>
              </w:tc>
              <w:tc>
                <w:tcPr>
                  <w:tcW w:w="343" w:type="pct"/>
                  <w:vAlign w:val="center"/>
                </w:tcPr>
                <w:p>
                  <w:pPr>
                    <w:adjustRightInd w:val="0"/>
                    <w:snapToGrid w:val="0"/>
                    <w:jc w:val="center"/>
                    <w:rPr>
                      <w:color w:val="auto"/>
                      <w:szCs w:val="21"/>
                    </w:rPr>
                  </w:pPr>
                  <w:r>
                    <w:rPr>
                      <w:color w:val="auto"/>
                      <w:szCs w:val="21"/>
                    </w:rPr>
                    <w:t>0</w:t>
                  </w:r>
                </w:p>
              </w:tc>
              <w:tc>
                <w:tcPr>
                  <w:tcW w:w="402" w:type="pct"/>
                  <w:vAlign w:val="center"/>
                </w:tcPr>
                <w:p>
                  <w:pPr>
                    <w:adjustRightInd w:val="0"/>
                    <w:snapToGrid w:val="0"/>
                    <w:jc w:val="center"/>
                    <w:rPr>
                      <w:color w:val="auto"/>
                      <w:szCs w:val="21"/>
                    </w:rPr>
                  </w:pPr>
                  <w:r>
                    <w:rPr>
                      <w:rFonts w:hint="eastAsia"/>
                      <w:color w:val="auto"/>
                      <w:szCs w:val="21"/>
                    </w:rPr>
                    <w:t>2</w:t>
                  </w:r>
                </w:p>
              </w:tc>
              <w:tc>
                <w:tcPr>
                  <w:tcW w:w="394" w:type="pct"/>
                  <w:vAlign w:val="center"/>
                </w:tcPr>
                <w:p>
                  <w:pPr>
                    <w:adjustRightInd w:val="0"/>
                    <w:snapToGrid w:val="0"/>
                    <w:jc w:val="center"/>
                    <w:rPr>
                      <w:color w:val="auto"/>
                      <w:szCs w:val="21"/>
                    </w:rPr>
                  </w:pPr>
                  <w:r>
                    <w:rPr>
                      <w:color w:val="auto"/>
                      <w:szCs w:val="21"/>
                    </w:rPr>
                    <w:t>+</w:t>
                  </w:r>
                  <w:r>
                    <w:rPr>
                      <w:rFonts w:hint="eastAsia"/>
                      <w:color w:val="auto"/>
                      <w:szCs w:val="21"/>
                    </w:rPr>
                    <w:t>2</w:t>
                  </w:r>
                </w:p>
              </w:tc>
              <w:tc>
                <w:tcPr>
                  <w:tcW w:w="420" w:type="pct"/>
                  <w:vAlign w:val="center"/>
                </w:tcPr>
                <w:p>
                  <w:pPr>
                    <w:adjustRightInd w:val="0"/>
                    <w:snapToGrid w:val="0"/>
                    <w:jc w:val="center"/>
                    <w:rPr>
                      <w:color w:val="auto"/>
                      <w:szCs w:val="21"/>
                    </w:rPr>
                  </w:pPr>
                  <w:r>
                    <w:rPr>
                      <w:color w:val="auto"/>
                      <w:szCs w:val="21"/>
                    </w:rPr>
                    <w:t>0.1</w:t>
                  </w:r>
                </w:p>
              </w:tc>
              <w:tc>
                <w:tcPr>
                  <w:tcW w:w="255" w:type="pct"/>
                  <w:vAlign w:val="center"/>
                </w:tcPr>
                <w:p>
                  <w:pPr>
                    <w:adjustRightInd w:val="0"/>
                    <w:snapToGrid w:val="0"/>
                    <w:jc w:val="center"/>
                    <w:rPr>
                      <w:color w:val="auto"/>
                      <w:szCs w:val="21"/>
                    </w:rPr>
                  </w:pPr>
                  <w:r>
                    <w:rPr>
                      <w:color w:val="auto"/>
                      <w:szCs w:val="21"/>
                    </w:rPr>
                    <w:t>桶装</w:t>
                  </w:r>
                </w:p>
              </w:tc>
              <w:tc>
                <w:tcPr>
                  <w:tcW w:w="420" w:type="pct"/>
                  <w:vMerge w:val="continue"/>
                  <w:vAlign w:val="center"/>
                </w:tcPr>
                <w:p>
                  <w:pPr>
                    <w:adjustRightInd w:val="0"/>
                    <w:snapToGrid w:val="0"/>
                    <w:jc w:val="center"/>
                    <w:rPr>
                      <w:color w:val="auto"/>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2" w:type="pct"/>
                  <w:vMerge w:val="continue"/>
                  <w:vAlign w:val="center"/>
                </w:tcPr>
                <w:p>
                  <w:pPr>
                    <w:adjustRightInd w:val="0"/>
                    <w:snapToGrid w:val="0"/>
                    <w:jc w:val="center"/>
                    <w:rPr>
                      <w:color w:val="auto"/>
                      <w:szCs w:val="21"/>
                    </w:rPr>
                  </w:pPr>
                </w:p>
              </w:tc>
              <w:tc>
                <w:tcPr>
                  <w:tcW w:w="244" w:type="pct"/>
                  <w:vMerge w:val="continue"/>
                  <w:vAlign w:val="center"/>
                </w:tcPr>
                <w:p>
                  <w:pPr>
                    <w:adjustRightInd w:val="0"/>
                    <w:snapToGrid w:val="0"/>
                    <w:jc w:val="center"/>
                    <w:rPr>
                      <w:color w:val="auto"/>
                      <w:szCs w:val="21"/>
                    </w:rPr>
                  </w:pPr>
                </w:p>
              </w:tc>
              <w:tc>
                <w:tcPr>
                  <w:tcW w:w="540" w:type="pct"/>
                  <w:gridSpan w:val="2"/>
                  <w:vAlign w:val="center"/>
                </w:tcPr>
                <w:p>
                  <w:pPr>
                    <w:adjustRightInd w:val="0"/>
                    <w:snapToGrid w:val="0"/>
                    <w:jc w:val="center"/>
                    <w:rPr>
                      <w:color w:val="auto"/>
                      <w:szCs w:val="21"/>
                    </w:rPr>
                  </w:pPr>
                  <w:r>
                    <w:rPr>
                      <w:color w:val="auto"/>
                      <w:szCs w:val="21"/>
                    </w:rPr>
                    <w:t>机械零部件</w:t>
                  </w:r>
                </w:p>
              </w:tc>
              <w:tc>
                <w:tcPr>
                  <w:tcW w:w="1489" w:type="pct"/>
                  <w:vAlign w:val="center"/>
                </w:tcPr>
                <w:p>
                  <w:pPr>
                    <w:adjustRightInd w:val="0"/>
                    <w:snapToGrid w:val="0"/>
                    <w:jc w:val="center"/>
                    <w:rPr>
                      <w:color w:val="auto"/>
                      <w:szCs w:val="21"/>
                    </w:rPr>
                  </w:pPr>
                  <w:r>
                    <w:rPr>
                      <w:color w:val="auto"/>
                      <w:szCs w:val="21"/>
                    </w:rPr>
                    <w:t>铁、铝、铝合金等</w:t>
                  </w:r>
                </w:p>
              </w:tc>
              <w:tc>
                <w:tcPr>
                  <w:tcW w:w="236" w:type="pct"/>
                  <w:vAlign w:val="center"/>
                </w:tcPr>
                <w:p>
                  <w:pPr>
                    <w:adjustRightInd w:val="0"/>
                    <w:snapToGrid w:val="0"/>
                    <w:jc w:val="center"/>
                    <w:rPr>
                      <w:color w:val="auto"/>
                      <w:szCs w:val="21"/>
                    </w:rPr>
                  </w:pPr>
                  <w:r>
                    <w:rPr>
                      <w:color w:val="auto"/>
                      <w:szCs w:val="21"/>
                    </w:rPr>
                    <w:t>固态</w:t>
                  </w:r>
                </w:p>
              </w:tc>
              <w:tc>
                <w:tcPr>
                  <w:tcW w:w="343" w:type="pct"/>
                  <w:vAlign w:val="center"/>
                </w:tcPr>
                <w:p>
                  <w:pPr>
                    <w:adjustRightInd w:val="0"/>
                    <w:snapToGrid w:val="0"/>
                    <w:jc w:val="center"/>
                    <w:rPr>
                      <w:color w:val="auto"/>
                      <w:szCs w:val="21"/>
                    </w:rPr>
                  </w:pPr>
                  <w:r>
                    <w:rPr>
                      <w:color w:val="auto"/>
                      <w:szCs w:val="21"/>
                    </w:rPr>
                    <w:t>0</w:t>
                  </w:r>
                </w:p>
              </w:tc>
              <w:tc>
                <w:tcPr>
                  <w:tcW w:w="402" w:type="pct"/>
                  <w:vAlign w:val="center"/>
                </w:tcPr>
                <w:p>
                  <w:pPr>
                    <w:adjustRightInd w:val="0"/>
                    <w:snapToGrid w:val="0"/>
                    <w:jc w:val="center"/>
                    <w:rPr>
                      <w:color w:val="auto"/>
                      <w:szCs w:val="21"/>
                    </w:rPr>
                  </w:pPr>
                  <w:r>
                    <w:rPr>
                      <w:color w:val="auto"/>
                      <w:szCs w:val="21"/>
                    </w:rPr>
                    <w:t>550万件</w:t>
                  </w:r>
                </w:p>
              </w:tc>
              <w:tc>
                <w:tcPr>
                  <w:tcW w:w="394" w:type="pct"/>
                  <w:vAlign w:val="center"/>
                </w:tcPr>
                <w:p>
                  <w:pPr>
                    <w:adjustRightInd w:val="0"/>
                    <w:snapToGrid w:val="0"/>
                    <w:jc w:val="center"/>
                    <w:rPr>
                      <w:color w:val="auto"/>
                      <w:szCs w:val="21"/>
                    </w:rPr>
                  </w:pPr>
                  <w:r>
                    <w:rPr>
                      <w:color w:val="auto"/>
                      <w:szCs w:val="21"/>
                    </w:rPr>
                    <w:t>+550万件</w:t>
                  </w:r>
                </w:p>
              </w:tc>
              <w:tc>
                <w:tcPr>
                  <w:tcW w:w="420" w:type="pct"/>
                  <w:vAlign w:val="center"/>
                </w:tcPr>
                <w:p>
                  <w:pPr>
                    <w:adjustRightInd w:val="0"/>
                    <w:snapToGrid w:val="0"/>
                    <w:jc w:val="center"/>
                    <w:rPr>
                      <w:color w:val="auto"/>
                      <w:szCs w:val="21"/>
                    </w:rPr>
                  </w:pPr>
                  <w:r>
                    <w:rPr>
                      <w:color w:val="auto"/>
                      <w:szCs w:val="21"/>
                    </w:rPr>
                    <w:t>50万件</w:t>
                  </w:r>
                </w:p>
              </w:tc>
              <w:tc>
                <w:tcPr>
                  <w:tcW w:w="255" w:type="pct"/>
                  <w:vAlign w:val="center"/>
                </w:tcPr>
                <w:p>
                  <w:pPr>
                    <w:adjustRightInd w:val="0"/>
                    <w:snapToGrid w:val="0"/>
                    <w:jc w:val="center"/>
                    <w:rPr>
                      <w:color w:val="auto"/>
                      <w:szCs w:val="21"/>
                    </w:rPr>
                  </w:pPr>
                  <w:r>
                    <w:rPr>
                      <w:color w:val="auto"/>
                      <w:szCs w:val="21"/>
                    </w:rPr>
                    <w:t>散装</w:t>
                  </w:r>
                </w:p>
              </w:tc>
              <w:tc>
                <w:tcPr>
                  <w:tcW w:w="420" w:type="pct"/>
                  <w:vMerge w:val="continue"/>
                  <w:vAlign w:val="center"/>
                </w:tcPr>
                <w:p>
                  <w:pPr>
                    <w:adjustRightInd w:val="0"/>
                    <w:snapToGrid w:val="0"/>
                    <w:jc w:val="center"/>
                    <w:rPr>
                      <w:color w:val="auto"/>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2" w:type="pct"/>
                  <w:vMerge w:val="continue"/>
                  <w:vAlign w:val="center"/>
                </w:tcPr>
                <w:p>
                  <w:pPr>
                    <w:adjustRightInd w:val="0"/>
                    <w:snapToGrid w:val="0"/>
                    <w:jc w:val="center"/>
                    <w:rPr>
                      <w:color w:val="auto"/>
                      <w:szCs w:val="21"/>
                    </w:rPr>
                  </w:pPr>
                </w:p>
              </w:tc>
              <w:tc>
                <w:tcPr>
                  <w:tcW w:w="244" w:type="pct"/>
                  <w:vMerge w:val="restart"/>
                  <w:vAlign w:val="center"/>
                </w:tcPr>
                <w:p>
                  <w:pPr>
                    <w:adjustRightInd w:val="0"/>
                    <w:snapToGrid w:val="0"/>
                    <w:jc w:val="center"/>
                    <w:rPr>
                      <w:color w:val="auto"/>
                      <w:szCs w:val="21"/>
                    </w:rPr>
                  </w:pPr>
                  <w:r>
                    <w:rPr>
                      <w:rFonts w:hint="eastAsia"/>
                      <w:color w:val="auto"/>
                      <w:szCs w:val="21"/>
                    </w:rPr>
                    <w:t>原有项目</w:t>
                  </w:r>
                </w:p>
              </w:tc>
              <w:tc>
                <w:tcPr>
                  <w:tcW w:w="540" w:type="pct"/>
                  <w:gridSpan w:val="2"/>
                  <w:vAlign w:val="center"/>
                </w:tcPr>
                <w:p>
                  <w:pPr>
                    <w:tabs>
                      <w:tab w:val="left" w:pos="378"/>
                    </w:tabs>
                    <w:adjustRightInd w:val="0"/>
                    <w:snapToGrid w:val="0"/>
                    <w:jc w:val="center"/>
                    <w:rPr>
                      <w:color w:val="auto"/>
                      <w:szCs w:val="21"/>
                    </w:rPr>
                  </w:pPr>
                  <w:r>
                    <w:rPr>
                      <w:color w:val="auto"/>
                      <w:szCs w:val="21"/>
                    </w:rPr>
                    <w:t>冷轧板</w:t>
                  </w:r>
                </w:p>
              </w:tc>
              <w:tc>
                <w:tcPr>
                  <w:tcW w:w="1489" w:type="pct"/>
                  <w:vAlign w:val="center"/>
                </w:tcPr>
                <w:p>
                  <w:pPr>
                    <w:adjustRightInd w:val="0"/>
                    <w:snapToGrid w:val="0"/>
                    <w:jc w:val="center"/>
                    <w:rPr>
                      <w:color w:val="auto"/>
                      <w:szCs w:val="21"/>
                    </w:rPr>
                  </w:pPr>
                  <w:r>
                    <w:rPr>
                      <w:color w:val="auto"/>
                      <w:szCs w:val="21"/>
                    </w:rPr>
                    <w:t>/</w:t>
                  </w:r>
                </w:p>
              </w:tc>
              <w:tc>
                <w:tcPr>
                  <w:tcW w:w="236" w:type="pct"/>
                  <w:vAlign w:val="center"/>
                </w:tcPr>
                <w:p>
                  <w:pPr>
                    <w:adjustRightInd w:val="0"/>
                    <w:snapToGrid w:val="0"/>
                    <w:jc w:val="center"/>
                    <w:rPr>
                      <w:color w:val="auto"/>
                      <w:szCs w:val="21"/>
                    </w:rPr>
                  </w:pPr>
                  <w:r>
                    <w:rPr>
                      <w:color w:val="auto"/>
                      <w:szCs w:val="21"/>
                    </w:rPr>
                    <w:t>固态</w:t>
                  </w:r>
                </w:p>
              </w:tc>
              <w:tc>
                <w:tcPr>
                  <w:tcW w:w="343" w:type="pct"/>
                  <w:vAlign w:val="center"/>
                </w:tcPr>
                <w:p>
                  <w:pPr>
                    <w:adjustRightInd w:val="0"/>
                    <w:snapToGrid w:val="0"/>
                    <w:jc w:val="center"/>
                    <w:rPr>
                      <w:color w:val="auto"/>
                      <w:szCs w:val="21"/>
                    </w:rPr>
                  </w:pPr>
                  <w:r>
                    <w:rPr>
                      <w:color w:val="auto"/>
                      <w:szCs w:val="21"/>
                    </w:rPr>
                    <w:t>600</w:t>
                  </w:r>
                </w:p>
              </w:tc>
              <w:tc>
                <w:tcPr>
                  <w:tcW w:w="402" w:type="pct"/>
                  <w:vAlign w:val="center"/>
                </w:tcPr>
                <w:p>
                  <w:pPr>
                    <w:adjustRightInd w:val="0"/>
                    <w:snapToGrid w:val="0"/>
                    <w:jc w:val="center"/>
                    <w:rPr>
                      <w:color w:val="auto"/>
                      <w:szCs w:val="21"/>
                    </w:rPr>
                  </w:pPr>
                  <w:r>
                    <w:rPr>
                      <w:color w:val="auto"/>
                      <w:szCs w:val="21"/>
                    </w:rPr>
                    <w:t>600</w:t>
                  </w:r>
                </w:p>
              </w:tc>
              <w:tc>
                <w:tcPr>
                  <w:tcW w:w="394" w:type="pct"/>
                  <w:vAlign w:val="center"/>
                </w:tcPr>
                <w:p>
                  <w:pPr>
                    <w:adjustRightInd w:val="0"/>
                    <w:snapToGrid w:val="0"/>
                    <w:jc w:val="center"/>
                    <w:rPr>
                      <w:color w:val="auto"/>
                      <w:szCs w:val="21"/>
                    </w:rPr>
                  </w:pPr>
                  <w:r>
                    <w:rPr>
                      <w:color w:val="auto"/>
                      <w:szCs w:val="21"/>
                    </w:rPr>
                    <w:t>0</w:t>
                  </w:r>
                </w:p>
              </w:tc>
              <w:tc>
                <w:tcPr>
                  <w:tcW w:w="420" w:type="pct"/>
                  <w:vAlign w:val="center"/>
                </w:tcPr>
                <w:p>
                  <w:pPr>
                    <w:adjustRightInd w:val="0"/>
                    <w:snapToGrid w:val="0"/>
                    <w:jc w:val="center"/>
                    <w:rPr>
                      <w:color w:val="auto"/>
                      <w:szCs w:val="21"/>
                    </w:rPr>
                  </w:pPr>
                  <w:r>
                    <w:rPr>
                      <w:color w:val="auto"/>
                      <w:szCs w:val="21"/>
                    </w:rPr>
                    <w:t>10</w:t>
                  </w:r>
                </w:p>
              </w:tc>
              <w:tc>
                <w:tcPr>
                  <w:tcW w:w="255" w:type="pct"/>
                  <w:vAlign w:val="center"/>
                </w:tcPr>
                <w:p>
                  <w:pPr>
                    <w:adjustRightInd w:val="0"/>
                    <w:snapToGrid w:val="0"/>
                    <w:jc w:val="center"/>
                    <w:rPr>
                      <w:color w:val="auto"/>
                      <w:szCs w:val="21"/>
                    </w:rPr>
                  </w:pPr>
                  <w:r>
                    <w:rPr>
                      <w:color w:val="auto"/>
                      <w:szCs w:val="21"/>
                    </w:rPr>
                    <w:t>散装</w:t>
                  </w:r>
                </w:p>
              </w:tc>
              <w:tc>
                <w:tcPr>
                  <w:tcW w:w="420" w:type="pct"/>
                  <w:vMerge w:val="continue"/>
                  <w:vAlign w:val="center"/>
                </w:tcPr>
                <w:p>
                  <w:pPr>
                    <w:adjustRightInd w:val="0"/>
                    <w:snapToGrid w:val="0"/>
                    <w:jc w:val="center"/>
                    <w:rPr>
                      <w:color w:val="auto"/>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2" w:type="pct"/>
                  <w:vMerge w:val="continue"/>
                  <w:vAlign w:val="center"/>
                </w:tcPr>
                <w:p>
                  <w:pPr>
                    <w:adjustRightInd w:val="0"/>
                    <w:snapToGrid w:val="0"/>
                    <w:jc w:val="center"/>
                    <w:rPr>
                      <w:color w:val="auto"/>
                      <w:szCs w:val="21"/>
                    </w:rPr>
                  </w:pPr>
                </w:p>
              </w:tc>
              <w:tc>
                <w:tcPr>
                  <w:tcW w:w="244" w:type="pct"/>
                  <w:vMerge w:val="continue"/>
                  <w:vAlign w:val="center"/>
                </w:tcPr>
                <w:p>
                  <w:pPr>
                    <w:adjustRightInd w:val="0"/>
                    <w:snapToGrid w:val="0"/>
                    <w:jc w:val="center"/>
                    <w:rPr>
                      <w:color w:val="auto"/>
                      <w:szCs w:val="21"/>
                    </w:rPr>
                  </w:pPr>
                </w:p>
              </w:tc>
              <w:tc>
                <w:tcPr>
                  <w:tcW w:w="540" w:type="pct"/>
                  <w:gridSpan w:val="2"/>
                  <w:vAlign w:val="center"/>
                </w:tcPr>
                <w:p>
                  <w:pPr>
                    <w:tabs>
                      <w:tab w:val="left" w:pos="378"/>
                    </w:tabs>
                    <w:adjustRightInd w:val="0"/>
                    <w:snapToGrid w:val="0"/>
                    <w:jc w:val="center"/>
                    <w:rPr>
                      <w:color w:val="auto"/>
                      <w:szCs w:val="21"/>
                    </w:rPr>
                  </w:pPr>
                  <w:r>
                    <w:rPr>
                      <w:color w:val="auto"/>
                      <w:szCs w:val="21"/>
                    </w:rPr>
                    <w:t>钢材</w:t>
                  </w:r>
                </w:p>
              </w:tc>
              <w:tc>
                <w:tcPr>
                  <w:tcW w:w="1489" w:type="pct"/>
                  <w:vAlign w:val="center"/>
                </w:tcPr>
                <w:p>
                  <w:pPr>
                    <w:adjustRightInd w:val="0"/>
                    <w:snapToGrid w:val="0"/>
                    <w:jc w:val="center"/>
                    <w:rPr>
                      <w:color w:val="auto"/>
                      <w:szCs w:val="21"/>
                    </w:rPr>
                  </w:pPr>
                  <w:r>
                    <w:rPr>
                      <w:color w:val="auto"/>
                      <w:szCs w:val="21"/>
                    </w:rPr>
                    <w:t>/</w:t>
                  </w:r>
                </w:p>
              </w:tc>
              <w:tc>
                <w:tcPr>
                  <w:tcW w:w="236" w:type="pct"/>
                  <w:vAlign w:val="center"/>
                </w:tcPr>
                <w:p>
                  <w:pPr>
                    <w:adjustRightInd w:val="0"/>
                    <w:snapToGrid w:val="0"/>
                    <w:jc w:val="center"/>
                    <w:rPr>
                      <w:color w:val="auto"/>
                      <w:szCs w:val="21"/>
                    </w:rPr>
                  </w:pPr>
                  <w:r>
                    <w:rPr>
                      <w:color w:val="auto"/>
                      <w:szCs w:val="21"/>
                    </w:rPr>
                    <w:t>固态</w:t>
                  </w:r>
                </w:p>
              </w:tc>
              <w:tc>
                <w:tcPr>
                  <w:tcW w:w="343" w:type="pct"/>
                  <w:vAlign w:val="center"/>
                </w:tcPr>
                <w:p>
                  <w:pPr>
                    <w:adjustRightInd w:val="0"/>
                    <w:snapToGrid w:val="0"/>
                    <w:jc w:val="center"/>
                    <w:rPr>
                      <w:color w:val="auto"/>
                      <w:szCs w:val="21"/>
                    </w:rPr>
                  </w:pPr>
                  <w:r>
                    <w:rPr>
                      <w:color w:val="auto"/>
                      <w:szCs w:val="21"/>
                    </w:rPr>
                    <w:t>200</w:t>
                  </w:r>
                </w:p>
              </w:tc>
              <w:tc>
                <w:tcPr>
                  <w:tcW w:w="402" w:type="pct"/>
                  <w:vAlign w:val="center"/>
                </w:tcPr>
                <w:p>
                  <w:pPr>
                    <w:adjustRightInd w:val="0"/>
                    <w:snapToGrid w:val="0"/>
                    <w:jc w:val="center"/>
                    <w:rPr>
                      <w:color w:val="auto"/>
                      <w:szCs w:val="21"/>
                    </w:rPr>
                  </w:pPr>
                  <w:r>
                    <w:rPr>
                      <w:color w:val="auto"/>
                      <w:szCs w:val="21"/>
                    </w:rPr>
                    <w:t>200</w:t>
                  </w:r>
                </w:p>
              </w:tc>
              <w:tc>
                <w:tcPr>
                  <w:tcW w:w="394" w:type="pct"/>
                  <w:vAlign w:val="center"/>
                </w:tcPr>
                <w:p>
                  <w:pPr>
                    <w:adjustRightInd w:val="0"/>
                    <w:snapToGrid w:val="0"/>
                    <w:jc w:val="center"/>
                    <w:rPr>
                      <w:color w:val="auto"/>
                      <w:szCs w:val="21"/>
                    </w:rPr>
                  </w:pPr>
                  <w:r>
                    <w:rPr>
                      <w:color w:val="auto"/>
                      <w:szCs w:val="21"/>
                    </w:rPr>
                    <w:t>0</w:t>
                  </w:r>
                </w:p>
              </w:tc>
              <w:tc>
                <w:tcPr>
                  <w:tcW w:w="420" w:type="pct"/>
                  <w:vAlign w:val="center"/>
                </w:tcPr>
                <w:p>
                  <w:pPr>
                    <w:adjustRightInd w:val="0"/>
                    <w:snapToGrid w:val="0"/>
                    <w:jc w:val="center"/>
                    <w:rPr>
                      <w:color w:val="auto"/>
                      <w:szCs w:val="21"/>
                    </w:rPr>
                  </w:pPr>
                  <w:r>
                    <w:rPr>
                      <w:color w:val="auto"/>
                      <w:szCs w:val="21"/>
                    </w:rPr>
                    <w:t>10</w:t>
                  </w:r>
                </w:p>
              </w:tc>
              <w:tc>
                <w:tcPr>
                  <w:tcW w:w="255" w:type="pct"/>
                  <w:vAlign w:val="center"/>
                </w:tcPr>
                <w:p>
                  <w:pPr>
                    <w:adjustRightInd w:val="0"/>
                    <w:snapToGrid w:val="0"/>
                    <w:jc w:val="center"/>
                    <w:rPr>
                      <w:color w:val="auto"/>
                      <w:szCs w:val="21"/>
                    </w:rPr>
                  </w:pPr>
                  <w:r>
                    <w:rPr>
                      <w:color w:val="auto"/>
                      <w:szCs w:val="21"/>
                    </w:rPr>
                    <w:t>散装</w:t>
                  </w:r>
                </w:p>
              </w:tc>
              <w:tc>
                <w:tcPr>
                  <w:tcW w:w="420" w:type="pct"/>
                  <w:vMerge w:val="continue"/>
                  <w:vAlign w:val="center"/>
                </w:tcPr>
                <w:p>
                  <w:pPr>
                    <w:adjustRightInd w:val="0"/>
                    <w:snapToGrid w:val="0"/>
                    <w:jc w:val="center"/>
                    <w:rPr>
                      <w:color w:val="auto"/>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2" w:type="pct"/>
                  <w:vMerge w:val="continue"/>
                  <w:vAlign w:val="center"/>
                </w:tcPr>
                <w:p>
                  <w:pPr>
                    <w:adjustRightInd w:val="0"/>
                    <w:snapToGrid w:val="0"/>
                    <w:jc w:val="center"/>
                    <w:rPr>
                      <w:color w:val="auto"/>
                      <w:szCs w:val="21"/>
                    </w:rPr>
                  </w:pPr>
                </w:p>
              </w:tc>
              <w:tc>
                <w:tcPr>
                  <w:tcW w:w="244" w:type="pct"/>
                  <w:vMerge w:val="continue"/>
                  <w:vAlign w:val="center"/>
                </w:tcPr>
                <w:p>
                  <w:pPr>
                    <w:adjustRightInd w:val="0"/>
                    <w:snapToGrid w:val="0"/>
                    <w:jc w:val="center"/>
                    <w:rPr>
                      <w:color w:val="auto"/>
                      <w:szCs w:val="21"/>
                    </w:rPr>
                  </w:pPr>
                </w:p>
              </w:tc>
              <w:tc>
                <w:tcPr>
                  <w:tcW w:w="540" w:type="pct"/>
                  <w:gridSpan w:val="2"/>
                  <w:vAlign w:val="center"/>
                </w:tcPr>
                <w:p>
                  <w:pPr>
                    <w:tabs>
                      <w:tab w:val="left" w:pos="378"/>
                    </w:tabs>
                    <w:adjustRightInd w:val="0"/>
                    <w:snapToGrid w:val="0"/>
                    <w:jc w:val="center"/>
                    <w:rPr>
                      <w:color w:val="auto"/>
                      <w:szCs w:val="21"/>
                    </w:rPr>
                  </w:pPr>
                  <w:r>
                    <w:rPr>
                      <w:color w:val="auto"/>
                      <w:szCs w:val="21"/>
                    </w:rPr>
                    <w:t>焊丝</w:t>
                  </w:r>
                </w:p>
              </w:tc>
              <w:tc>
                <w:tcPr>
                  <w:tcW w:w="1489" w:type="pct"/>
                  <w:vAlign w:val="center"/>
                </w:tcPr>
                <w:p>
                  <w:pPr>
                    <w:adjustRightInd w:val="0"/>
                    <w:snapToGrid w:val="0"/>
                    <w:jc w:val="center"/>
                    <w:rPr>
                      <w:color w:val="auto"/>
                      <w:szCs w:val="21"/>
                    </w:rPr>
                  </w:pPr>
                  <w:r>
                    <w:rPr>
                      <w:color w:val="auto"/>
                      <w:szCs w:val="21"/>
                    </w:rPr>
                    <w:t>/</w:t>
                  </w:r>
                </w:p>
              </w:tc>
              <w:tc>
                <w:tcPr>
                  <w:tcW w:w="236" w:type="pct"/>
                  <w:vAlign w:val="center"/>
                </w:tcPr>
                <w:p>
                  <w:pPr>
                    <w:adjustRightInd w:val="0"/>
                    <w:snapToGrid w:val="0"/>
                    <w:jc w:val="center"/>
                    <w:rPr>
                      <w:color w:val="auto"/>
                      <w:szCs w:val="21"/>
                    </w:rPr>
                  </w:pPr>
                  <w:r>
                    <w:rPr>
                      <w:color w:val="auto"/>
                      <w:szCs w:val="21"/>
                    </w:rPr>
                    <w:t>固态</w:t>
                  </w:r>
                </w:p>
              </w:tc>
              <w:tc>
                <w:tcPr>
                  <w:tcW w:w="343" w:type="pct"/>
                  <w:vAlign w:val="center"/>
                </w:tcPr>
                <w:p>
                  <w:pPr>
                    <w:adjustRightInd w:val="0"/>
                    <w:snapToGrid w:val="0"/>
                    <w:jc w:val="center"/>
                    <w:rPr>
                      <w:color w:val="auto"/>
                      <w:szCs w:val="21"/>
                    </w:rPr>
                  </w:pPr>
                  <w:r>
                    <w:rPr>
                      <w:color w:val="auto"/>
                      <w:szCs w:val="21"/>
                    </w:rPr>
                    <w:t>0.8</w:t>
                  </w:r>
                </w:p>
              </w:tc>
              <w:tc>
                <w:tcPr>
                  <w:tcW w:w="402" w:type="pct"/>
                  <w:vAlign w:val="center"/>
                </w:tcPr>
                <w:p>
                  <w:pPr>
                    <w:adjustRightInd w:val="0"/>
                    <w:snapToGrid w:val="0"/>
                    <w:jc w:val="center"/>
                    <w:rPr>
                      <w:color w:val="auto"/>
                      <w:szCs w:val="21"/>
                    </w:rPr>
                  </w:pPr>
                  <w:r>
                    <w:rPr>
                      <w:color w:val="auto"/>
                      <w:szCs w:val="21"/>
                    </w:rPr>
                    <w:t>0.8</w:t>
                  </w:r>
                </w:p>
              </w:tc>
              <w:tc>
                <w:tcPr>
                  <w:tcW w:w="394" w:type="pct"/>
                  <w:vAlign w:val="center"/>
                </w:tcPr>
                <w:p>
                  <w:pPr>
                    <w:adjustRightInd w:val="0"/>
                    <w:snapToGrid w:val="0"/>
                    <w:jc w:val="center"/>
                    <w:rPr>
                      <w:color w:val="auto"/>
                      <w:szCs w:val="21"/>
                    </w:rPr>
                  </w:pPr>
                  <w:r>
                    <w:rPr>
                      <w:color w:val="auto"/>
                      <w:szCs w:val="21"/>
                    </w:rPr>
                    <w:t>0</w:t>
                  </w:r>
                </w:p>
              </w:tc>
              <w:tc>
                <w:tcPr>
                  <w:tcW w:w="420" w:type="pct"/>
                  <w:vAlign w:val="center"/>
                </w:tcPr>
                <w:p>
                  <w:pPr>
                    <w:adjustRightInd w:val="0"/>
                    <w:snapToGrid w:val="0"/>
                    <w:jc w:val="center"/>
                    <w:rPr>
                      <w:color w:val="auto"/>
                      <w:szCs w:val="21"/>
                    </w:rPr>
                  </w:pPr>
                  <w:r>
                    <w:rPr>
                      <w:color w:val="auto"/>
                      <w:szCs w:val="21"/>
                    </w:rPr>
                    <w:t>0.8</w:t>
                  </w:r>
                </w:p>
              </w:tc>
              <w:tc>
                <w:tcPr>
                  <w:tcW w:w="255" w:type="pct"/>
                  <w:vAlign w:val="center"/>
                </w:tcPr>
                <w:p>
                  <w:pPr>
                    <w:adjustRightInd w:val="0"/>
                    <w:snapToGrid w:val="0"/>
                    <w:jc w:val="center"/>
                    <w:rPr>
                      <w:color w:val="auto"/>
                      <w:szCs w:val="21"/>
                    </w:rPr>
                  </w:pPr>
                  <w:r>
                    <w:rPr>
                      <w:color w:val="auto"/>
                      <w:szCs w:val="21"/>
                    </w:rPr>
                    <w:t>箱装</w:t>
                  </w:r>
                </w:p>
              </w:tc>
              <w:tc>
                <w:tcPr>
                  <w:tcW w:w="420" w:type="pct"/>
                  <w:vMerge w:val="continue"/>
                  <w:vAlign w:val="center"/>
                </w:tcPr>
                <w:p>
                  <w:pPr>
                    <w:adjustRightInd w:val="0"/>
                    <w:snapToGrid w:val="0"/>
                    <w:jc w:val="center"/>
                    <w:rPr>
                      <w:color w:val="auto"/>
                      <w:szCs w:val="21"/>
                    </w:rPr>
                  </w:pPr>
                </w:p>
              </w:tc>
            </w:tr>
          </w:tbl>
          <w:p>
            <w:pPr>
              <w:jc w:val="center"/>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表2-</w:t>
            </w:r>
            <w:r>
              <w:rPr>
                <w:rFonts w:hint="eastAsia" w:cs="Times New Roman"/>
                <w:b/>
                <w:color w:val="auto"/>
                <w:sz w:val="24"/>
                <w:lang w:val="en-US" w:eastAsia="zh-CN"/>
              </w:rPr>
              <w:t>7</w:t>
            </w:r>
            <w:r>
              <w:rPr>
                <w:rFonts w:hint="default" w:ascii="Times New Roman" w:hAnsi="Times New Roman" w:eastAsia="宋体" w:cs="Times New Roman"/>
                <w:b/>
                <w:color w:val="auto"/>
                <w:sz w:val="24"/>
              </w:rPr>
              <w:t xml:space="preserve"> 本项目原辅材料理化性质</w:t>
            </w:r>
          </w:p>
          <w:tbl>
            <w:tblPr>
              <w:tblStyle w:val="22"/>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75"/>
              <w:gridCol w:w="1238"/>
              <w:gridCol w:w="1333"/>
              <w:gridCol w:w="3238"/>
              <w:gridCol w:w="213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2" w:type="pc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序号</w:t>
                  </w:r>
                </w:p>
              </w:tc>
              <w:tc>
                <w:tcPr>
                  <w:tcW w:w="735" w:type="pc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名称</w:t>
                  </w:r>
                </w:p>
              </w:tc>
              <w:tc>
                <w:tcPr>
                  <w:tcW w:w="791" w:type="pct"/>
                  <w:vAlign w:val="center"/>
                </w:tcPr>
                <w:p>
                  <w:pPr>
                    <w:pStyle w:val="51"/>
                    <w:adjustRightInd w:val="0"/>
                    <w:snapToGrid w:val="0"/>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CAS号</w:t>
                  </w:r>
                </w:p>
              </w:tc>
              <w:tc>
                <w:tcPr>
                  <w:tcW w:w="1922" w:type="pc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理化性质</w:t>
                  </w:r>
                </w:p>
              </w:tc>
              <w:tc>
                <w:tcPr>
                  <w:tcW w:w="1268" w:type="pc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毒性毒理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97" w:hRule="atLeast"/>
                <w:jc w:val="center"/>
              </w:trPr>
              <w:tc>
                <w:tcPr>
                  <w:tcW w:w="282"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735" w:type="pct"/>
                  <w:vAlign w:val="center"/>
                </w:tcPr>
                <w:p>
                  <w:pPr>
                    <w:adjustRightInd w:val="0"/>
                    <w:snapToGrid w:val="0"/>
                    <w:jc w:val="center"/>
                    <w:rPr>
                      <w:rFonts w:hint="default" w:ascii="Times New Roman" w:hAnsi="Times New Roman" w:eastAsia="宋体" w:cs="Times New Roman"/>
                      <w:color w:val="auto"/>
                      <w:szCs w:val="21"/>
                      <w:lang w:val="en-US" w:eastAsia="zh-Hans"/>
                    </w:rPr>
                  </w:pPr>
                  <w:r>
                    <w:rPr>
                      <w:rFonts w:hint="default" w:ascii="Times New Roman" w:hAnsi="Times New Roman" w:eastAsia="宋体" w:cs="Times New Roman"/>
                      <w:color w:val="auto"/>
                      <w:szCs w:val="21"/>
                      <w:lang w:val="en-US" w:eastAsia="zh-Hans"/>
                    </w:rPr>
                    <w:t>乙二醇丁醚</w:t>
                  </w:r>
                </w:p>
              </w:tc>
              <w:tc>
                <w:tcPr>
                  <w:tcW w:w="791"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111-76-2</w:t>
                  </w:r>
                </w:p>
              </w:tc>
              <w:tc>
                <w:tcPr>
                  <w:tcW w:w="1922"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无色液体，具有中等程度醚味，熔点：-70℃，沸点：171℃，闪点：61℃。</w:t>
                  </w:r>
                </w:p>
              </w:tc>
              <w:tc>
                <w:tcPr>
                  <w:tcW w:w="1268"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LD50：2500mg/kg</w:t>
                  </w:r>
                </w:p>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(大鼠经口)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69" w:hRule="atLeast"/>
                <w:jc w:val="center"/>
              </w:trPr>
              <w:tc>
                <w:tcPr>
                  <w:tcW w:w="282"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2</w:t>
                  </w:r>
                </w:p>
              </w:tc>
              <w:tc>
                <w:tcPr>
                  <w:tcW w:w="735" w:type="pct"/>
                  <w:vAlign w:val="center"/>
                </w:tcPr>
                <w:p>
                  <w:pPr>
                    <w:adjustRightInd w:val="0"/>
                    <w:snapToGrid w:val="0"/>
                    <w:jc w:val="center"/>
                    <w:rPr>
                      <w:rFonts w:hint="default" w:ascii="Times New Roman" w:hAnsi="Times New Roman" w:eastAsia="宋体" w:cs="Times New Roman"/>
                      <w:color w:val="auto"/>
                      <w:szCs w:val="21"/>
                      <w:lang w:val="en-US" w:eastAsia="zh-Hans"/>
                    </w:rPr>
                  </w:pPr>
                  <w:r>
                    <w:rPr>
                      <w:rFonts w:hint="default" w:ascii="Times New Roman" w:hAnsi="Times New Roman" w:eastAsia="宋体" w:cs="Times New Roman"/>
                      <w:color w:val="auto"/>
                      <w:szCs w:val="21"/>
                      <w:lang w:val="en-US" w:eastAsia="zh-Hans"/>
                    </w:rPr>
                    <w:t>氢氧化钾</w:t>
                  </w:r>
                </w:p>
              </w:tc>
              <w:tc>
                <w:tcPr>
                  <w:tcW w:w="791"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1310-58-3</w:t>
                  </w:r>
                </w:p>
              </w:tc>
              <w:tc>
                <w:tcPr>
                  <w:tcW w:w="1922" w:type="pct"/>
                  <w:vAlign w:val="center"/>
                </w:tcPr>
                <w:p>
                  <w:pPr>
                    <w:adjustRightInd w:val="0"/>
                    <w:snapToGrid w:val="0"/>
                    <w:jc w:val="center"/>
                    <w:rPr>
                      <w:rFonts w:hint="default" w:ascii="Times New Roman" w:hAnsi="Times New Roman" w:eastAsia="宋体" w:cs="Times New Roman"/>
                      <w:color w:val="auto"/>
                      <w:szCs w:val="21"/>
                      <w:lang w:val="en-US" w:eastAsia="zh-Hans"/>
                    </w:rPr>
                  </w:pPr>
                  <w:r>
                    <w:rPr>
                      <w:rFonts w:hint="default" w:ascii="Times New Roman" w:hAnsi="Times New Roman" w:eastAsia="宋体" w:cs="Times New Roman"/>
                      <w:color w:val="auto"/>
                      <w:szCs w:val="21"/>
                      <w:lang w:val="en-US" w:eastAsia="zh-CN"/>
                    </w:rPr>
                    <w:t>化学式：Na2O·nSiO2，无色、淡黄色或青灰色透明的粘稠液体，粘结力强、强度较高，耐酸性、耐热性好，耐碱性和耐水性差。</w:t>
                  </w:r>
                </w:p>
              </w:tc>
              <w:tc>
                <w:tcPr>
                  <w:tcW w:w="1268"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LD50：273mg/kg（大鼠经口）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74" w:hRule="atLeast"/>
                <w:jc w:val="center"/>
              </w:trPr>
              <w:tc>
                <w:tcPr>
                  <w:tcW w:w="282"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3</w:t>
                  </w:r>
                </w:p>
              </w:tc>
              <w:tc>
                <w:tcPr>
                  <w:tcW w:w="735" w:type="pct"/>
                  <w:vAlign w:val="center"/>
                </w:tcPr>
                <w:p>
                  <w:pPr>
                    <w:adjustRightInd w:val="0"/>
                    <w:snapToGrid w:val="0"/>
                    <w:jc w:val="center"/>
                    <w:rPr>
                      <w:rFonts w:hint="default" w:ascii="Times New Roman" w:hAnsi="Times New Roman" w:eastAsia="宋体" w:cs="Times New Roman"/>
                      <w:color w:val="auto"/>
                      <w:szCs w:val="21"/>
                      <w:lang w:val="en-US" w:eastAsia="zh-Hans"/>
                    </w:rPr>
                  </w:pPr>
                  <w:r>
                    <w:rPr>
                      <w:rFonts w:hint="default" w:ascii="Times New Roman" w:hAnsi="Times New Roman" w:eastAsia="宋体" w:cs="Times New Roman"/>
                      <w:color w:val="auto"/>
                      <w:szCs w:val="21"/>
                      <w:lang w:val="en-US" w:eastAsia="zh-Hans"/>
                    </w:rPr>
                    <w:t>氢氧化钠</w:t>
                  </w:r>
                </w:p>
              </w:tc>
              <w:tc>
                <w:tcPr>
                  <w:tcW w:w="791"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1310-73-2</w:t>
                  </w:r>
                </w:p>
              </w:tc>
              <w:tc>
                <w:tcPr>
                  <w:tcW w:w="1922" w:type="pct"/>
                  <w:vAlign w:val="center"/>
                </w:tcPr>
                <w:p>
                  <w:pPr>
                    <w:adjustRightInd w:val="0"/>
                    <w:snapToGrid w:val="0"/>
                    <w:jc w:val="center"/>
                    <w:rPr>
                      <w:rFonts w:hint="default" w:ascii="Times New Roman" w:hAnsi="Times New Roman" w:eastAsia="宋体" w:cs="Times New Roman"/>
                      <w:color w:val="auto"/>
                      <w:szCs w:val="21"/>
                      <w:lang w:val="en-US" w:eastAsia="zh-Hans"/>
                    </w:rPr>
                  </w:pPr>
                  <w:r>
                    <w:rPr>
                      <w:rFonts w:hint="default" w:ascii="Times New Roman" w:hAnsi="Times New Roman" w:eastAsia="宋体" w:cs="Times New Roman"/>
                      <w:color w:val="auto"/>
                      <w:szCs w:val="21"/>
                      <w:lang w:val="en-US" w:eastAsia="zh-CN"/>
                    </w:rPr>
                    <w:t>化学式：NaOH，纯品是无色透明的晶体密度2.130g/cm³。熔点318.4℃。沸点 1390℃。极易溶于水，溶解时放出大量的热。易溶于乙醇、甘油。</w:t>
                  </w:r>
                </w:p>
              </w:tc>
              <w:tc>
                <w:tcPr>
                  <w:tcW w:w="1268"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53" w:hRule="atLeast"/>
                <w:jc w:val="center"/>
              </w:trPr>
              <w:tc>
                <w:tcPr>
                  <w:tcW w:w="282"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4</w:t>
                  </w:r>
                </w:p>
              </w:tc>
              <w:tc>
                <w:tcPr>
                  <w:tcW w:w="735" w:type="pct"/>
                  <w:vAlign w:val="center"/>
                </w:tcPr>
                <w:p>
                  <w:pPr>
                    <w:adjustRightInd w:val="0"/>
                    <w:snapToGrid w:val="0"/>
                    <w:jc w:val="center"/>
                    <w:rPr>
                      <w:rFonts w:hint="default" w:ascii="Times New Roman" w:hAnsi="Times New Roman" w:eastAsia="宋体" w:cs="Times New Roman"/>
                      <w:color w:val="auto"/>
                      <w:szCs w:val="21"/>
                      <w:lang w:val="en-US" w:eastAsia="zh-Hans"/>
                    </w:rPr>
                  </w:pPr>
                  <w:r>
                    <w:rPr>
                      <w:rFonts w:hint="default" w:ascii="Times New Roman" w:hAnsi="Times New Roman" w:eastAsia="宋体" w:cs="Times New Roman"/>
                      <w:color w:val="auto"/>
                      <w:szCs w:val="21"/>
                      <w:lang w:val="en-US" w:eastAsia="zh-Hans"/>
                    </w:rPr>
                    <w:t>氟锆酸</w:t>
                  </w:r>
                </w:p>
              </w:tc>
              <w:tc>
                <w:tcPr>
                  <w:tcW w:w="791"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12021-95-3</w:t>
                  </w:r>
                </w:p>
              </w:tc>
              <w:tc>
                <w:tcPr>
                  <w:tcW w:w="1922" w:type="pct"/>
                  <w:vAlign w:val="center"/>
                </w:tcPr>
                <w:p>
                  <w:pPr>
                    <w:adjustRightInd w:val="0"/>
                    <w:snapToGrid w:val="0"/>
                    <w:jc w:val="center"/>
                    <w:rPr>
                      <w:rFonts w:hint="default" w:ascii="Times New Roman" w:hAnsi="Times New Roman" w:eastAsia="宋体" w:cs="Times New Roman"/>
                      <w:color w:val="auto"/>
                      <w:szCs w:val="21"/>
                      <w:lang w:val="en-US" w:eastAsia="zh-Hans"/>
                    </w:rPr>
                  </w:pPr>
                  <w:r>
                    <w:rPr>
                      <w:rFonts w:hint="default" w:ascii="Times New Roman" w:hAnsi="Times New Roman" w:eastAsia="宋体" w:cs="Times New Roman"/>
                      <w:color w:val="auto"/>
                      <w:szCs w:val="21"/>
                      <w:lang w:val="en-US" w:eastAsia="zh-CN"/>
                    </w:rPr>
                    <w:t>化学式：H2F6Zr；无色透明液体，呈酸性，比重约为1.48。常温下，当浓度超过42%时，有氟锆酸析出。</w:t>
                  </w:r>
                </w:p>
              </w:tc>
              <w:tc>
                <w:tcPr>
                  <w:tcW w:w="1268"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有毒</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73" w:hRule="atLeast"/>
                <w:jc w:val="center"/>
              </w:trPr>
              <w:tc>
                <w:tcPr>
                  <w:tcW w:w="282"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5</w:t>
                  </w:r>
                </w:p>
              </w:tc>
              <w:tc>
                <w:tcPr>
                  <w:tcW w:w="735"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Hans"/>
                    </w:rPr>
                    <w:t>乳酸</w:t>
                  </w:r>
                </w:p>
              </w:tc>
              <w:tc>
                <w:tcPr>
                  <w:tcW w:w="791"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79-33-4</w:t>
                  </w:r>
                </w:p>
              </w:tc>
              <w:tc>
                <w:tcPr>
                  <w:tcW w:w="1922"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纯品为无色易燃液体，具有中等程度醚味，熔点：-70℃，沸点：171℃，闪点：61摄氏度。</w:t>
                  </w:r>
                </w:p>
              </w:tc>
              <w:tc>
                <w:tcPr>
                  <w:tcW w:w="1268"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Hans" w:bidi="ar-SA"/>
                    </w:rPr>
                  </w:pPr>
                  <w:r>
                    <w:rPr>
                      <w:rFonts w:hint="default" w:ascii="Times New Roman" w:hAnsi="Times New Roman" w:eastAsia="宋体" w:cs="Times New Roman"/>
                      <w:color w:val="auto"/>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73" w:hRule="atLeast"/>
                <w:jc w:val="center"/>
              </w:trPr>
              <w:tc>
                <w:tcPr>
                  <w:tcW w:w="282"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6</w:t>
                  </w:r>
                </w:p>
              </w:tc>
              <w:tc>
                <w:tcPr>
                  <w:tcW w:w="735" w:type="pct"/>
                  <w:vAlign w:val="center"/>
                </w:tcPr>
                <w:p>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丙二醇甲醚</w:t>
                  </w:r>
                </w:p>
              </w:tc>
              <w:tc>
                <w:tcPr>
                  <w:tcW w:w="791" w:type="pct"/>
                  <w:vAlign w:val="center"/>
                </w:tcPr>
                <w:p>
                  <w:pPr>
                    <w:adjustRightInd w:val="0"/>
                    <w:snapToGrid w:val="0"/>
                    <w:jc w:val="center"/>
                    <w:rPr>
                      <w:rFonts w:hint="default" w:cs="Times New Roman"/>
                      <w:color w:val="auto"/>
                      <w:szCs w:val="21"/>
                      <w:lang w:val="en-US" w:eastAsia="zh-CN"/>
                    </w:rPr>
                  </w:pPr>
                  <w:r>
                    <w:rPr>
                      <w:rFonts w:hint="eastAsia" w:cs="Times New Roman"/>
                      <w:color w:val="auto"/>
                      <w:szCs w:val="21"/>
                      <w:lang w:val="en-US" w:eastAsia="zh-CN"/>
                    </w:rPr>
                    <w:t>107-98-2</w:t>
                  </w:r>
                </w:p>
              </w:tc>
              <w:tc>
                <w:tcPr>
                  <w:tcW w:w="1922" w:type="pct"/>
                  <w:vAlign w:val="center"/>
                </w:tcPr>
                <w:p>
                  <w:pPr>
                    <w:adjustRightInd w:val="0"/>
                    <w:snapToGrid w:val="0"/>
                    <w:jc w:val="center"/>
                    <w:rPr>
                      <w:rFonts w:hint="default" w:cs="Times New Roman"/>
                      <w:color w:val="auto"/>
                      <w:szCs w:val="21"/>
                      <w:lang w:val="en-US" w:eastAsia="zh-Hans"/>
                    </w:rPr>
                  </w:pPr>
                  <w:r>
                    <w:rPr>
                      <w:rFonts w:hint="eastAsia" w:cs="Times New Roman"/>
                      <w:color w:val="auto"/>
                      <w:szCs w:val="21"/>
                      <w:lang w:val="en-US" w:eastAsia="zh-CN"/>
                    </w:rPr>
                    <w:t>无色透明液体</w:t>
                  </w:r>
                  <w:r>
                    <w:rPr>
                      <w:rFonts w:hint="default" w:cs="Times New Roman"/>
                      <w:color w:val="auto"/>
                      <w:szCs w:val="21"/>
                      <w:lang w:val="en-US" w:eastAsia="zh-Hans"/>
                    </w:rPr>
                    <w:t>,</w:t>
                  </w:r>
                  <w:r>
                    <w:rPr>
                      <w:rFonts w:hint="eastAsia" w:cs="Times New Roman"/>
                      <w:color w:val="auto"/>
                      <w:szCs w:val="21"/>
                      <w:lang w:val="en-US" w:eastAsia="zh-CN"/>
                    </w:rPr>
                    <w:t>主要用作溶剂、分散剂和稀释剂</w:t>
                  </w:r>
                  <w:r>
                    <w:rPr>
                      <w:rFonts w:hint="default" w:cs="Times New Roman"/>
                      <w:color w:val="auto"/>
                      <w:szCs w:val="21"/>
                      <w:lang w:val="en-US" w:eastAsia="zh-CN"/>
                    </w:rPr>
                    <w:t>，沸点</w:t>
                  </w:r>
                  <w:r>
                    <w:rPr>
                      <w:rFonts w:hint="eastAsia" w:cs="Times New Roman"/>
                      <w:color w:val="auto"/>
                      <w:szCs w:val="21"/>
                      <w:lang w:val="en-US" w:eastAsia="zh-CN"/>
                    </w:rPr>
                    <w:t>120</w:t>
                  </w:r>
                  <w:r>
                    <w:rPr>
                      <w:rFonts w:hint="default" w:cs="Times New Roman"/>
                      <w:color w:val="auto"/>
                      <w:szCs w:val="21"/>
                      <w:lang w:val="en-US" w:eastAsia="zh-CN"/>
                    </w:rPr>
                    <w:t>℃</w:t>
                  </w:r>
                  <w:r>
                    <w:rPr>
                      <w:rFonts w:hint="eastAsia" w:cs="Times New Roman"/>
                      <w:color w:val="auto"/>
                      <w:szCs w:val="21"/>
                      <w:lang w:val="en-US" w:eastAsia="zh-CN"/>
                    </w:rPr>
                    <w:t>，闪点32</w:t>
                  </w:r>
                  <w:r>
                    <w:rPr>
                      <w:rFonts w:hint="default" w:cs="Times New Roman"/>
                      <w:color w:val="auto"/>
                      <w:szCs w:val="21"/>
                      <w:lang w:val="en-US" w:eastAsia="zh-CN"/>
                    </w:rPr>
                    <w:t>℃</w:t>
                  </w:r>
                  <w:r>
                    <w:rPr>
                      <w:rFonts w:hint="default" w:cs="Times New Roman"/>
                      <w:color w:val="auto"/>
                      <w:szCs w:val="21"/>
                      <w:lang w:val="en-US" w:eastAsia="zh-Hans"/>
                    </w:rPr>
                    <w:t>。</w:t>
                  </w:r>
                </w:p>
              </w:tc>
              <w:tc>
                <w:tcPr>
                  <w:tcW w:w="1268"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Hans" w:bidi="ar-SA"/>
                    </w:rPr>
                  </w:pPr>
                  <w:r>
                    <w:rPr>
                      <w:rFonts w:hint="default" w:ascii="Times New Roman" w:hAnsi="Times New Roman" w:eastAsia="宋体" w:cs="Times New Roman"/>
                      <w:color w:val="auto"/>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2"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7</w:t>
                  </w:r>
                </w:p>
              </w:tc>
              <w:tc>
                <w:tcPr>
                  <w:tcW w:w="735"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Hans" w:bidi="ar-SA"/>
                    </w:rPr>
                  </w:pPr>
                  <w:r>
                    <w:rPr>
                      <w:rFonts w:hint="eastAsia" w:cs="Times New Roman"/>
                      <w:color w:val="auto"/>
                      <w:szCs w:val="21"/>
                      <w:lang w:val="en-US" w:eastAsia="zh-CN"/>
                    </w:rPr>
                    <w:t>丙二醇苯醚</w:t>
                  </w:r>
                </w:p>
              </w:tc>
              <w:tc>
                <w:tcPr>
                  <w:tcW w:w="791" w:type="pct"/>
                  <w:vAlign w:val="center"/>
                </w:tcPr>
                <w:p>
                  <w:pPr>
                    <w:adjustRightInd w:val="0"/>
                    <w:snapToGrid w:val="0"/>
                    <w:jc w:val="center"/>
                    <w:rPr>
                      <w:rFonts w:hint="default" w:cs="Times New Roman"/>
                      <w:color w:val="auto"/>
                      <w:szCs w:val="21"/>
                      <w:lang w:val="en-US" w:eastAsia="zh-CN"/>
                    </w:rPr>
                  </w:pPr>
                  <w:r>
                    <w:rPr>
                      <w:rFonts w:hint="eastAsia" w:cs="Times New Roman"/>
                      <w:color w:val="auto"/>
                      <w:szCs w:val="21"/>
                      <w:lang w:val="en-US" w:eastAsia="zh-CN"/>
                    </w:rPr>
                    <w:t>770-35-4</w:t>
                  </w:r>
                </w:p>
              </w:tc>
              <w:tc>
                <w:tcPr>
                  <w:tcW w:w="1922" w:type="pct"/>
                  <w:vAlign w:val="center"/>
                </w:tcPr>
                <w:p>
                  <w:pPr>
                    <w:adjustRightInd w:val="0"/>
                    <w:snapToGrid w:val="0"/>
                    <w:jc w:val="center"/>
                    <w:rPr>
                      <w:rFonts w:hint="default" w:cs="Times New Roman"/>
                      <w:color w:val="auto"/>
                      <w:szCs w:val="21"/>
                      <w:lang w:val="en-US" w:eastAsia="zh-CN"/>
                    </w:rPr>
                  </w:pPr>
                  <w:r>
                    <w:rPr>
                      <w:rFonts w:hint="eastAsia" w:cs="Times New Roman"/>
                      <w:color w:val="auto"/>
                      <w:szCs w:val="21"/>
                      <w:lang w:val="en-US" w:eastAsia="zh-CN"/>
                    </w:rPr>
                    <w:t>用作高档</w:t>
                  </w:r>
                  <w:r>
                    <w:rPr>
                      <w:rFonts w:hint="default" w:cs="Times New Roman"/>
                      <w:color w:val="auto"/>
                      <w:szCs w:val="21"/>
                      <w:lang w:val="en-US" w:eastAsia="zh-CN"/>
                    </w:rPr>
                    <w:fldChar w:fldCharType="begin"/>
                  </w:r>
                  <w:r>
                    <w:rPr>
                      <w:rFonts w:hint="default" w:cs="Times New Roman"/>
                      <w:color w:val="auto"/>
                      <w:szCs w:val="21"/>
                      <w:lang w:val="en-US" w:eastAsia="zh-CN"/>
                    </w:rPr>
                    <w:instrText xml:space="preserve"> HYPERLINK "https://baike.baidu.com/item/%E6%B1%BD%E8%BD%A6%E6%B6%82%E6%96%99/8457254" \t "https://baike.baidu.com/item/_blank" </w:instrText>
                  </w:r>
                  <w:r>
                    <w:rPr>
                      <w:rFonts w:hint="default" w:cs="Times New Roman"/>
                      <w:color w:val="auto"/>
                      <w:szCs w:val="21"/>
                      <w:lang w:val="en-US" w:eastAsia="zh-CN"/>
                    </w:rPr>
                    <w:fldChar w:fldCharType="separate"/>
                  </w:r>
                  <w:r>
                    <w:rPr>
                      <w:rFonts w:hint="default" w:cs="Times New Roman"/>
                      <w:color w:val="auto"/>
                      <w:szCs w:val="21"/>
                      <w:lang w:val="en-US" w:eastAsia="zh-CN"/>
                    </w:rPr>
                    <w:t>汽车涂料</w:t>
                  </w:r>
                  <w:r>
                    <w:rPr>
                      <w:rFonts w:hint="default" w:cs="Times New Roman"/>
                      <w:color w:val="auto"/>
                      <w:szCs w:val="21"/>
                      <w:lang w:val="en-US" w:eastAsia="zh-CN"/>
                    </w:rPr>
                    <w:fldChar w:fldCharType="end"/>
                  </w:r>
                  <w:r>
                    <w:rPr>
                      <w:rFonts w:hint="default" w:cs="Times New Roman"/>
                      <w:color w:val="auto"/>
                      <w:szCs w:val="21"/>
                      <w:lang w:val="en-US" w:eastAsia="zh-CN"/>
                    </w:rPr>
                    <w:t>、</w:t>
                  </w:r>
                  <w:r>
                    <w:rPr>
                      <w:rFonts w:hint="default" w:cs="Times New Roman"/>
                      <w:color w:val="auto"/>
                      <w:szCs w:val="21"/>
                      <w:lang w:val="en-US" w:eastAsia="zh-CN"/>
                    </w:rPr>
                    <w:fldChar w:fldCharType="begin"/>
                  </w:r>
                  <w:r>
                    <w:rPr>
                      <w:rFonts w:hint="default" w:cs="Times New Roman"/>
                      <w:color w:val="auto"/>
                      <w:szCs w:val="21"/>
                      <w:lang w:val="en-US" w:eastAsia="zh-CN"/>
                    </w:rPr>
                    <w:instrText xml:space="preserve"> HYPERLINK "https://baike.baidu.com/item/%E6%B1%BD%E8%BD%A6%E4%BF%AE%E8%A1%A5%E6%B6%82%E6%96%99/15522590" \t "https://baike.baidu.com/item/_blank" </w:instrText>
                  </w:r>
                  <w:r>
                    <w:rPr>
                      <w:rFonts w:hint="default" w:cs="Times New Roman"/>
                      <w:color w:val="auto"/>
                      <w:szCs w:val="21"/>
                      <w:lang w:val="en-US" w:eastAsia="zh-CN"/>
                    </w:rPr>
                    <w:fldChar w:fldCharType="separate"/>
                  </w:r>
                  <w:r>
                    <w:rPr>
                      <w:rFonts w:hint="default" w:cs="Times New Roman"/>
                      <w:color w:val="auto"/>
                      <w:szCs w:val="21"/>
                      <w:lang w:val="en-US" w:eastAsia="zh-CN"/>
                    </w:rPr>
                    <w:t>汽车修补涂料</w:t>
                  </w:r>
                  <w:r>
                    <w:rPr>
                      <w:rFonts w:hint="default" w:cs="Times New Roman"/>
                      <w:color w:val="auto"/>
                      <w:szCs w:val="21"/>
                      <w:lang w:val="en-US" w:eastAsia="zh-CN"/>
                    </w:rPr>
                    <w:fldChar w:fldCharType="end"/>
                  </w:r>
                  <w:r>
                    <w:rPr>
                      <w:rFonts w:hint="default" w:cs="Times New Roman"/>
                      <w:color w:val="auto"/>
                      <w:szCs w:val="21"/>
                      <w:lang w:val="en-US" w:eastAsia="zh-CN"/>
                    </w:rPr>
                    <w:t>、</w:t>
                  </w:r>
                  <w:r>
                    <w:rPr>
                      <w:rFonts w:hint="default" w:cs="Times New Roman"/>
                      <w:color w:val="auto"/>
                      <w:szCs w:val="21"/>
                      <w:lang w:val="en-US" w:eastAsia="zh-CN"/>
                    </w:rPr>
                    <w:fldChar w:fldCharType="begin"/>
                  </w:r>
                  <w:r>
                    <w:rPr>
                      <w:rFonts w:hint="default" w:cs="Times New Roman"/>
                      <w:color w:val="auto"/>
                      <w:szCs w:val="21"/>
                      <w:lang w:val="en-US" w:eastAsia="zh-CN"/>
                    </w:rPr>
                    <w:instrText xml:space="preserve"> HYPERLINK "https://baike.baidu.com/item/%E7%94%B5%E6%B3%B3%E6%B6%82%E6%96%99/906699" \t "https://baike.baidu.com/item/_blank" </w:instrText>
                  </w:r>
                  <w:r>
                    <w:rPr>
                      <w:rFonts w:hint="default" w:cs="Times New Roman"/>
                      <w:color w:val="auto"/>
                      <w:szCs w:val="21"/>
                      <w:lang w:val="en-US" w:eastAsia="zh-CN"/>
                    </w:rPr>
                    <w:fldChar w:fldCharType="separate"/>
                  </w:r>
                  <w:r>
                    <w:rPr>
                      <w:rFonts w:hint="default" w:cs="Times New Roman"/>
                      <w:color w:val="auto"/>
                      <w:szCs w:val="21"/>
                      <w:lang w:val="en-US" w:eastAsia="zh-CN"/>
                    </w:rPr>
                    <w:t>电泳涂料</w:t>
                  </w:r>
                  <w:r>
                    <w:rPr>
                      <w:rFonts w:hint="default" w:cs="Times New Roman"/>
                      <w:color w:val="auto"/>
                      <w:szCs w:val="21"/>
                      <w:lang w:val="en-US" w:eastAsia="zh-CN"/>
                    </w:rPr>
                    <w:fldChar w:fldCharType="end"/>
                  </w:r>
                  <w:r>
                    <w:rPr>
                      <w:rFonts w:hint="default" w:cs="Times New Roman"/>
                      <w:color w:val="auto"/>
                      <w:szCs w:val="21"/>
                      <w:lang w:val="en-US" w:eastAsia="zh-CN"/>
                    </w:rPr>
                    <w:t>等的助溶剂</w:t>
                  </w:r>
                  <w:r>
                    <w:rPr>
                      <w:rFonts w:hint="eastAsia" w:cs="Times New Roman"/>
                      <w:color w:val="auto"/>
                      <w:szCs w:val="21"/>
                      <w:lang w:val="en-US" w:eastAsia="zh-CN"/>
                    </w:rPr>
                    <w:t>，沸点242.7</w:t>
                  </w:r>
                  <w:r>
                    <w:rPr>
                      <w:rFonts w:hint="default" w:cs="Times New Roman"/>
                      <w:color w:val="auto"/>
                      <w:szCs w:val="21"/>
                      <w:lang w:val="en-US" w:eastAsia="zh-CN"/>
                    </w:rPr>
                    <w:t>℃</w:t>
                  </w:r>
                  <w:r>
                    <w:rPr>
                      <w:rFonts w:hint="eastAsia" w:cs="Times New Roman"/>
                      <w:color w:val="auto"/>
                      <w:szCs w:val="21"/>
                      <w:lang w:val="en-US" w:eastAsia="zh-CN"/>
                    </w:rPr>
                    <w:t>，无毒性，混溶性好，挥发速率适中</w:t>
                  </w:r>
                </w:p>
              </w:tc>
              <w:tc>
                <w:tcPr>
                  <w:tcW w:w="1268"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w:t>
                  </w:r>
                </w:p>
              </w:tc>
            </w:tr>
          </w:tbl>
          <w:p>
            <w:pPr>
              <w:widowControl/>
              <w:spacing w:line="360" w:lineRule="auto"/>
              <w:jc w:val="left"/>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8、给排水</w:t>
            </w:r>
          </w:p>
          <w:p>
            <w:pPr>
              <w:adjustRightInd w:val="0"/>
              <w:snapToGrid w:val="0"/>
              <w:spacing w:line="360" w:lineRule="auto"/>
              <w:ind w:firstLine="480" w:firstLineChars="200"/>
              <w:textAlignment w:val="baseline"/>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val="en-US" w:eastAsia="zh-CN"/>
              </w:rPr>
              <w:t>原有项目</w:t>
            </w:r>
            <w:r>
              <w:rPr>
                <w:rFonts w:hint="default" w:ascii="Times New Roman" w:hAnsi="Times New Roman" w:eastAsia="宋体" w:cs="Times New Roman"/>
                <w:color w:val="auto"/>
                <w:sz w:val="24"/>
              </w:rPr>
              <w:t>水平衡图如下：</w:t>
            </w:r>
          </w:p>
          <w:p>
            <w:pPr>
              <w:adjustRightInd w:val="0"/>
              <w:snapToGrid w:val="0"/>
              <w:spacing w:line="360" w:lineRule="auto"/>
              <w:jc w:val="center"/>
              <w:rPr>
                <w:rFonts w:hint="default" w:ascii="Times New Roman" w:hAnsi="Times New Roman" w:eastAsia="宋体" w:cs="Times New Roman"/>
                <w:b/>
                <w:color w:val="auto"/>
                <w:szCs w:val="24"/>
              </w:rPr>
            </w:pPr>
            <w:r>
              <w:rPr>
                <w:rFonts w:hint="default" w:ascii="Times New Roman" w:hAnsi="Times New Roman" w:eastAsia="宋体" w:cs="Times New Roman"/>
                <w:b/>
                <w:color w:val="auto"/>
                <w:szCs w:val="24"/>
              </w:rPr>
              <w:object>
                <v:shape id="_x0000_i1025" o:spt="75" type="#_x0000_t75" style="height:49.15pt;width:362.2pt;" o:ole="t" filled="f" o:preferrelative="t" stroked="f" coordsize="21600,21600">
                  <v:path/>
                  <v:fill on="f" focussize="0,0"/>
                  <v:stroke on="f"/>
                  <v:imagedata r:id="rId14" o:title=""/>
                  <o:lock v:ext="edit" aspectratio="t"/>
                  <w10:wrap type="none"/>
                  <w10:anchorlock/>
                </v:shape>
                <o:OLEObject Type="Embed" ProgID="Visio.Drawing.11" ShapeID="_x0000_i1025" DrawAspect="Content" ObjectID="_1468075725" r:id="rId13">
                  <o:LockedField>false</o:LockedField>
                </o:OLEObject>
              </w:object>
            </w:r>
          </w:p>
          <w:p>
            <w:pPr>
              <w:adjustRightInd w:val="0"/>
              <w:snapToGrid w:val="0"/>
              <w:spacing w:line="360" w:lineRule="auto"/>
              <w:ind w:firstLine="482" w:firstLineChars="200"/>
              <w:jc w:val="center"/>
              <w:textAlignment w:val="baseline"/>
              <w:rPr>
                <w:rFonts w:hint="default" w:ascii="Times New Roman" w:hAnsi="Times New Roman" w:eastAsia="宋体" w:cs="Times New Roman"/>
                <w:b/>
                <w:color w:val="auto"/>
                <w:sz w:val="24"/>
                <w:lang w:val="en-US" w:eastAsia="zh-CN"/>
              </w:rPr>
            </w:pPr>
            <w:r>
              <w:rPr>
                <w:rFonts w:hint="default" w:ascii="Times New Roman" w:hAnsi="Times New Roman" w:eastAsia="宋体" w:cs="Times New Roman"/>
                <w:b/>
                <w:color w:val="auto"/>
                <w:sz w:val="24"/>
              </w:rPr>
              <w:t>图2-</w:t>
            </w:r>
            <w:r>
              <w:rPr>
                <w:rFonts w:hint="default" w:ascii="Times New Roman" w:hAnsi="Times New Roman" w:eastAsia="宋体" w:cs="Times New Roman"/>
                <w:b/>
                <w:color w:val="auto"/>
                <w:sz w:val="24"/>
                <w:lang w:val="en-US" w:eastAsia="zh-CN"/>
              </w:rPr>
              <w:t>1</w:t>
            </w:r>
            <w:r>
              <w:rPr>
                <w:rFonts w:hint="default" w:ascii="Times New Roman" w:hAnsi="Times New Roman" w:eastAsia="宋体" w:cs="Times New Roman"/>
                <w:b/>
                <w:color w:val="auto"/>
                <w:sz w:val="24"/>
              </w:rPr>
              <w:t xml:space="preserve"> </w:t>
            </w:r>
            <w:r>
              <w:rPr>
                <w:rFonts w:hint="default" w:ascii="Times New Roman" w:hAnsi="Times New Roman" w:eastAsia="宋体" w:cs="Times New Roman"/>
                <w:b/>
                <w:color w:val="auto"/>
                <w:sz w:val="24"/>
                <w:lang w:val="en-US" w:eastAsia="zh-CN"/>
              </w:rPr>
              <w:t>原有项目</w:t>
            </w:r>
            <w:r>
              <w:rPr>
                <w:rFonts w:hint="default" w:ascii="Times New Roman" w:hAnsi="Times New Roman" w:eastAsia="宋体" w:cs="Times New Roman"/>
                <w:b/>
                <w:color w:val="auto"/>
                <w:sz w:val="24"/>
              </w:rPr>
              <w:t>水平衡图</w:t>
            </w:r>
            <w:r>
              <w:rPr>
                <w:rFonts w:hint="eastAsia" w:ascii="Times New Roman" w:hAnsi="Times New Roman" w:eastAsia="宋体" w:cs="Times New Roman"/>
                <w:b/>
                <w:color w:val="auto"/>
                <w:sz w:val="24"/>
                <w:lang w:val="en-US" w:eastAsia="zh-CN"/>
              </w:rPr>
              <w:t xml:space="preserve">  </w:t>
            </w:r>
            <w:r>
              <w:rPr>
                <w:rFonts w:hint="default" w:ascii="Times New Roman" w:hAnsi="Times New Roman" w:eastAsia="宋体" w:cs="Times New Roman"/>
                <w:b/>
                <w:color w:val="auto"/>
                <w:sz w:val="24"/>
              </w:rPr>
              <w:t>单位：t/a</w:t>
            </w:r>
          </w:p>
          <w:p>
            <w:pPr>
              <w:adjustRightInd w:val="0"/>
              <w:snapToGrid w:val="0"/>
              <w:spacing w:line="360" w:lineRule="auto"/>
              <w:ind w:firstLine="480" w:firstLineChars="200"/>
              <w:textAlignment w:val="baseline"/>
              <w:rPr>
                <w:rFonts w:hint="default" w:ascii="Times New Roman" w:hAnsi="Times New Roman" w:eastAsia="宋体" w:cs="Times New Roman"/>
                <w:color w:val="auto"/>
                <w:sz w:val="24"/>
              </w:rPr>
            </w:pPr>
            <w:r>
              <w:rPr>
                <w:rFonts w:hint="default" w:ascii="Times New Roman" w:hAnsi="Times New Roman" w:eastAsia="宋体" w:cs="Times New Roman"/>
                <w:color w:val="auto"/>
                <w:sz w:val="24"/>
                <w:szCs w:val="24"/>
                <w:lang w:val="en-US" w:eastAsia="zh-CN"/>
              </w:rPr>
              <w:t>本项目</w:t>
            </w:r>
            <w:r>
              <w:rPr>
                <w:rFonts w:hint="default" w:ascii="Times New Roman" w:hAnsi="Times New Roman" w:eastAsia="宋体" w:cs="Times New Roman"/>
                <w:color w:val="auto"/>
                <w:sz w:val="24"/>
                <w:szCs w:val="24"/>
              </w:rPr>
              <w:t>建设后，</w:t>
            </w:r>
            <w:r>
              <w:rPr>
                <w:rFonts w:hint="default" w:ascii="Times New Roman" w:hAnsi="Times New Roman" w:eastAsia="宋体" w:cs="Times New Roman"/>
                <w:color w:val="auto"/>
                <w:sz w:val="24"/>
                <w:szCs w:val="24"/>
                <w:lang w:val="en-US" w:eastAsia="zh-CN"/>
              </w:rPr>
              <w:t>全厂</w:t>
            </w:r>
            <w:r>
              <w:rPr>
                <w:rFonts w:hint="default" w:ascii="Times New Roman" w:hAnsi="Times New Roman" w:eastAsia="宋体" w:cs="Times New Roman"/>
                <w:color w:val="auto"/>
                <w:sz w:val="24"/>
              </w:rPr>
              <w:t>水平衡图如下：</w:t>
            </w:r>
          </w:p>
          <w:p>
            <w:pPr>
              <w:adjustRightInd w:val="0"/>
              <w:snapToGrid w:val="0"/>
              <w:spacing w:line="360" w:lineRule="auto"/>
              <w:jc w:val="center"/>
              <w:rPr>
                <w:rFonts w:hint="default" w:ascii="Times New Roman" w:hAnsi="Times New Roman" w:eastAsia="宋体" w:cs="Times New Roman"/>
                <w:b/>
                <w:color w:val="auto"/>
                <w:sz w:val="24"/>
              </w:rPr>
            </w:pPr>
          </w:p>
          <w:p>
            <w:pPr>
              <w:adjustRightInd w:val="0"/>
              <w:snapToGrid w:val="0"/>
              <w:spacing w:line="360" w:lineRule="auto"/>
              <w:jc w:val="center"/>
              <w:textAlignment w:val="baseline"/>
              <w:rPr>
                <w:rFonts w:hint="default" w:ascii="Times New Roman" w:hAnsi="Times New Roman" w:eastAsia="宋体" w:cs="Times New Roman"/>
                <w:b/>
                <w:color w:val="auto"/>
                <w:sz w:val="24"/>
                <w:lang w:val="en-US" w:eastAsia="zh-CN"/>
              </w:rPr>
            </w:pPr>
            <w:r>
              <w:rPr>
                <w:rFonts w:hint="default" w:ascii="Times New Roman" w:hAnsi="Times New Roman" w:eastAsia="宋体" w:cs="Times New Roman"/>
                <w:color w:val="auto"/>
                <w:sz w:val="24"/>
                <w:lang w:val="en-US" w:eastAsia="zh-CN"/>
              </w:rPr>
              <w:object>
                <v:shape id="_x0000_i1026" o:spt="75" type="#_x0000_t75" style="height:450.4pt;width:430.65pt;" o:ole="t" filled="f" o:preferrelative="t" stroked="f" coordsize="21600,21600">
                  <v:path/>
                  <v:fill on="f" focussize="0,0"/>
                  <v:stroke on="f"/>
                  <v:imagedata r:id="rId16" o:title=""/>
                  <o:lock v:ext="edit" aspectratio="t"/>
                  <w10:wrap type="none"/>
                  <w10:anchorlock/>
                </v:shape>
                <o:OLEObject Type="Embed" ProgID="Visio.Drawing.11" ShapeID="_x0000_i1026" DrawAspect="Content" ObjectID="_1468075726" r:id="rId15">
                  <o:LockedField>false</o:LockedField>
                </o:OLEObject>
              </w:object>
            </w:r>
            <w:r>
              <w:rPr>
                <w:rFonts w:hint="default" w:ascii="Times New Roman" w:hAnsi="Times New Roman" w:eastAsia="宋体" w:cs="Times New Roman"/>
                <w:b/>
                <w:color w:val="auto"/>
                <w:sz w:val="24"/>
              </w:rPr>
              <w:t>图2-</w:t>
            </w:r>
            <w:r>
              <w:rPr>
                <w:rFonts w:hint="default" w:ascii="Times New Roman" w:hAnsi="Times New Roman" w:eastAsia="宋体" w:cs="Times New Roman"/>
                <w:b/>
                <w:color w:val="auto"/>
                <w:sz w:val="24"/>
                <w:lang w:val="en-US" w:eastAsia="zh-CN"/>
              </w:rPr>
              <w:t>2</w:t>
            </w:r>
            <w:r>
              <w:rPr>
                <w:rFonts w:hint="default" w:ascii="Times New Roman" w:hAnsi="Times New Roman" w:eastAsia="宋体" w:cs="Times New Roman"/>
                <w:b/>
                <w:color w:val="auto"/>
                <w:sz w:val="24"/>
              </w:rPr>
              <w:t xml:space="preserve"> </w:t>
            </w:r>
            <w:r>
              <w:rPr>
                <w:rFonts w:hint="default" w:ascii="Times New Roman" w:hAnsi="Times New Roman" w:eastAsia="宋体" w:cs="Times New Roman"/>
                <w:b/>
                <w:color w:val="auto"/>
                <w:sz w:val="24"/>
                <w:lang w:val="en-US" w:eastAsia="zh-CN"/>
              </w:rPr>
              <w:t>全厂</w:t>
            </w:r>
            <w:r>
              <w:rPr>
                <w:rFonts w:hint="default" w:ascii="Times New Roman" w:hAnsi="Times New Roman" w:eastAsia="宋体" w:cs="Times New Roman"/>
                <w:b/>
                <w:color w:val="auto"/>
                <w:sz w:val="24"/>
              </w:rPr>
              <w:t>水平衡图</w:t>
            </w:r>
            <w:r>
              <w:rPr>
                <w:rFonts w:hint="eastAsia" w:ascii="Times New Roman" w:hAnsi="Times New Roman" w:eastAsia="宋体" w:cs="Times New Roman"/>
                <w:b/>
                <w:color w:val="auto"/>
                <w:sz w:val="24"/>
                <w:lang w:val="en-US" w:eastAsia="zh-CN"/>
              </w:rPr>
              <w:t xml:space="preserve">  </w:t>
            </w:r>
            <w:r>
              <w:rPr>
                <w:rFonts w:hint="default" w:ascii="Times New Roman" w:hAnsi="Times New Roman" w:eastAsia="宋体" w:cs="Times New Roman"/>
                <w:b/>
                <w:color w:val="auto"/>
                <w:sz w:val="24"/>
              </w:rPr>
              <w:t>单位：t/a</w:t>
            </w:r>
          </w:p>
          <w:p>
            <w:pPr>
              <w:adjustRightInd w:val="0"/>
              <w:snapToGrid w:val="0"/>
              <w:spacing w:line="360" w:lineRule="auto"/>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9、生产制度、职工人数</w:t>
            </w:r>
          </w:p>
          <w:p>
            <w:pPr>
              <w:adjustRightInd w:val="0"/>
              <w:snapToGrid w:val="0"/>
              <w:spacing w:line="360" w:lineRule="auto"/>
              <w:ind w:firstLine="480" w:firstLineChars="200"/>
              <w:textAlignment w:val="baseline"/>
              <w:rPr>
                <w:rFonts w:hint="default" w:ascii="Times New Roman" w:hAnsi="Times New Roman" w:eastAsia="宋体" w:cs="Times New Roman"/>
                <w:color w:val="auto"/>
              </w:rPr>
            </w:pPr>
            <w:r>
              <w:rPr>
                <w:rFonts w:hint="default" w:ascii="Times New Roman" w:hAnsi="Times New Roman" w:eastAsia="宋体" w:cs="Times New Roman"/>
                <w:color w:val="auto"/>
                <w:sz w:val="24"/>
              </w:rPr>
              <w:t>厂区</w:t>
            </w:r>
            <w:r>
              <w:rPr>
                <w:rFonts w:hint="default" w:ascii="Times New Roman" w:hAnsi="Times New Roman" w:eastAsia="宋体" w:cs="Times New Roman"/>
                <w:color w:val="auto"/>
                <w:sz w:val="24"/>
                <w:lang w:val="en-US" w:eastAsia="zh-CN"/>
              </w:rPr>
              <w:t>内原有员工</w:t>
            </w:r>
            <w:r>
              <w:rPr>
                <w:rFonts w:hint="default" w:ascii="Times New Roman" w:hAnsi="Times New Roman" w:eastAsia="宋体" w:cs="Times New Roman"/>
                <w:color w:val="auto"/>
                <w:sz w:val="24"/>
              </w:rPr>
              <w:t>人数为</w:t>
            </w:r>
            <w:r>
              <w:rPr>
                <w:rFonts w:hint="default" w:ascii="Times New Roman" w:hAnsi="Times New Roman" w:eastAsia="宋体" w:cs="Times New Roman"/>
                <w:color w:val="auto"/>
                <w:sz w:val="24"/>
                <w:lang w:val="en-US" w:eastAsia="zh-CN"/>
              </w:rPr>
              <w:t>25</w:t>
            </w:r>
            <w:r>
              <w:rPr>
                <w:rFonts w:hint="default" w:ascii="Times New Roman" w:hAnsi="Times New Roman" w:eastAsia="宋体" w:cs="Times New Roman"/>
                <w:color w:val="auto"/>
                <w:sz w:val="24"/>
              </w:rPr>
              <w:t>人</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val="en-US" w:eastAsia="zh-CN"/>
              </w:rPr>
              <w:t>本</w:t>
            </w:r>
            <w:r>
              <w:rPr>
                <w:rFonts w:hint="default" w:ascii="Times New Roman" w:hAnsi="Times New Roman" w:eastAsia="宋体" w:cs="Times New Roman"/>
                <w:color w:val="auto"/>
                <w:sz w:val="24"/>
              </w:rPr>
              <w:t>项目拟</w:t>
            </w:r>
            <w:r>
              <w:rPr>
                <w:rFonts w:hint="default" w:ascii="Times New Roman" w:hAnsi="Times New Roman" w:eastAsia="宋体" w:cs="Times New Roman"/>
                <w:color w:val="auto"/>
                <w:sz w:val="24"/>
                <w:lang w:val="en-US" w:eastAsia="zh-CN"/>
              </w:rPr>
              <w:t>新增</w:t>
            </w:r>
            <w:r>
              <w:rPr>
                <w:rFonts w:hint="default" w:ascii="Times New Roman" w:hAnsi="Times New Roman" w:eastAsia="宋体" w:cs="Times New Roman"/>
                <w:color w:val="auto"/>
                <w:sz w:val="24"/>
              </w:rPr>
              <w:t>员工</w:t>
            </w:r>
            <w:r>
              <w:rPr>
                <w:rFonts w:hint="default" w:ascii="Times New Roman" w:hAnsi="Times New Roman" w:eastAsia="宋体" w:cs="Times New Roman"/>
                <w:color w:val="auto"/>
                <w:sz w:val="24"/>
                <w:lang w:val="en-US" w:eastAsia="zh-CN"/>
              </w:rPr>
              <w:t>30</w:t>
            </w:r>
            <w:r>
              <w:rPr>
                <w:rFonts w:hint="default" w:ascii="Times New Roman" w:hAnsi="Times New Roman" w:eastAsia="宋体" w:cs="Times New Roman"/>
                <w:color w:val="auto"/>
                <w:sz w:val="24"/>
              </w:rPr>
              <w:t>人，采取两班制生产，8小时/班，年工作300天，年工作时间为4800小时。</w:t>
            </w:r>
          </w:p>
          <w:p>
            <w:pPr>
              <w:adjustRightInd w:val="0"/>
              <w:snapToGrid w:val="0"/>
              <w:spacing w:line="360" w:lineRule="auto"/>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10、厂区平面布置</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本项目厂区</w:t>
            </w:r>
            <w:r>
              <w:rPr>
                <w:rFonts w:hint="default" w:ascii="Times New Roman" w:hAnsi="Times New Roman" w:eastAsia="宋体" w:cs="Times New Roman"/>
                <w:color w:val="auto"/>
                <w:sz w:val="24"/>
                <w:lang w:val="en-US" w:eastAsia="zh-CN"/>
              </w:rPr>
              <w:t>自北向南，自西向东</w:t>
            </w:r>
            <w:r>
              <w:rPr>
                <w:rFonts w:hint="default" w:ascii="Times New Roman" w:hAnsi="Times New Roman" w:eastAsia="宋体" w:cs="Times New Roman"/>
                <w:color w:val="auto"/>
                <w:sz w:val="24"/>
              </w:rPr>
              <w:t>依次为</w:t>
            </w:r>
            <w:r>
              <w:rPr>
                <w:rFonts w:hint="eastAsia" w:cs="Times New Roman"/>
                <w:color w:val="auto"/>
                <w:sz w:val="24"/>
                <w:lang w:val="en-US" w:eastAsia="zh-CN"/>
              </w:rPr>
              <w:t>办公楼</w:t>
            </w:r>
            <w:r>
              <w:rPr>
                <w:rFonts w:hint="default" w:ascii="Times New Roman" w:hAnsi="Times New Roman" w:eastAsia="宋体" w:cs="Times New Roman"/>
                <w:color w:val="auto"/>
                <w:sz w:val="24"/>
                <w:lang w:val="en-US" w:eastAsia="zh-CN"/>
              </w:rPr>
              <w:t>、机加工生产车间</w:t>
            </w:r>
            <w:r>
              <w:rPr>
                <w:rFonts w:hint="default" w:ascii="Times New Roman" w:hAnsi="Times New Roman" w:eastAsia="宋体" w:cs="Times New Roman"/>
                <w:color w:val="auto"/>
                <w:sz w:val="24"/>
              </w:rPr>
              <w:t>、</w:t>
            </w:r>
            <w:r>
              <w:rPr>
                <w:rFonts w:hint="eastAsia" w:cs="Times New Roman"/>
                <w:color w:val="auto"/>
                <w:sz w:val="24"/>
                <w:lang w:val="en-US" w:eastAsia="zh-CN"/>
              </w:rPr>
              <w:t>电泳车间</w:t>
            </w:r>
            <w:r>
              <w:rPr>
                <w:rFonts w:hint="default" w:ascii="Times New Roman" w:hAnsi="Times New Roman" w:eastAsia="宋体" w:cs="Times New Roman"/>
                <w:color w:val="auto"/>
                <w:sz w:val="24"/>
                <w:lang w:val="en-US" w:eastAsia="zh-CN"/>
              </w:rPr>
              <w:t>和</w:t>
            </w:r>
            <w:r>
              <w:rPr>
                <w:rFonts w:hint="eastAsia" w:cs="Times New Roman"/>
                <w:color w:val="auto"/>
                <w:sz w:val="24"/>
                <w:lang w:val="en-US" w:eastAsia="zh-CN"/>
              </w:rPr>
              <w:t>机加工车间</w:t>
            </w:r>
            <w:r>
              <w:rPr>
                <w:rFonts w:hint="default" w:ascii="Times New Roman" w:hAnsi="Times New Roman" w:eastAsia="宋体" w:cs="Times New Roman"/>
                <w:color w:val="auto"/>
                <w:sz w:val="24"/>
              </w:rPr>
              <w:t>。详见附图3-1项目平面布置图。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9" w:hRule="atLeast"/>
          <w:jc w:val="center"/>
        </w:trPr>
        <w:tc>
          <w:tcPr>
            <w:tcW w:w="392" w:type="dxa"/>
            <w:vAlign w:val="center"/>
          </w:tcPr>
          <w:p>
            <w:pPr>
              <w:pStyle w:val="18"/>
              <w:adjustRightInd w:val="0"/>
              <w:snapToGrid w:val="0"/>
              <w:spacing w:before="0" w:beforeAutospacing="0" w:after="0" w:afterAutospacing="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工艺流程和产排污环节</w:t>
            </w:r>
          </w:p>
        </w:tc>
        <w:tc>
          <w:tcPr>
            <w:tcW w:w="8668" w:type="dxa"/>
          </w:tcPr>
          <w:p>
            <w:pPr>
              <w:adjustRightInd w:val="0"/>
              <w:snapToGrid w:val="0"/>
              <w:spacing w:line="360" w:lineRule="auto"/>
              <w:rPr>
                <w:rFonts w:hint="default" w:ascii="Times New Roman" w:hAnsi="Times New Roman" w:eastAsia="宋体" w:cs="Times New Roman"/>
                <w:color w:val="auto"/>
              </w:rPr>
            </w:pPr>
            <w:r>
              <w:rPr>
                <w:rFonts w:hint="default" w:ascii="Times New Roman" w:hAnsi="Times New Roman" w:eastAsia="宋体" w:cs="Times New Roman"/>
                <w:color w:val="auto"/>
              </w:rPr>
              <w:t>工艺流程简述（图示）：</w:t>
            </w:r>
          </w:p>
          <w:p>
            <w:pPr>
              <w:snapToGrid w:val="0"/>
              <w:spacing w:line="36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rPr>
              <w:object>
                <v:shape id="_x0000_i1027" o:spt="75" type="#_x0000_t75" style="height:611.6pt;width:405.4pt;" o:ole="t" filled="f" o:preferrelative="t" stroked="f" coordsize="21600,21600">
                  <v:path/>
                  <v:fill on="f" focussize="0,0"/>
                  <v:stroke on="f"/>
                  <v:imagedata r:id="rId18" o:title=""/>
                  <o:lock v:ext="edit" aspectratio="t"/>
                  <w10:wrap type="none"/>
                  <w10:anchorlock/>
                </v:shape>
                <o:OLEObject Type="Embed" ProgID="Visio.Drawing.11" ShapeID="_x0000_i1027" DrawAspect="Content" ObjectID="_1468075727" r:id="rId17">
                  <o:LockedField>false</o:LockedField>
                </o:OLEObject>
              </w:object>
            </w:r>
          </w:p>
          <w:p>
            <w:pPr>
              <w:snapToGrid w:val="0"/>
              <w:spacing w:line="360" w:lineRule="auto"/>
              <w:jc w:val="center"/>
              <w:rPr>
                <w:rFonts w:hint="default" w:ascii="Times New Roman" w:hAnsi="Times New Roman" w:eastAsia="宋体" w:cs="Times New Roman"/>
                <w:color w:val="auto"/>
                <w:sz w:val="24"/>
                <w:szCs w:val="32"/>
              </w:rPr>
            </w:pPr>
            <w:r>
              <w:rPr>
                <w:rFonts w:hint="default" w:ascii="Times New Roman" w:hAnsi="Times New Roman" w:eastAsia="宋体" w:cs="Times New Roman"/>
                <w:b/>
                <w:bCs/>
                <w:color w:val="auto"/>
                <w:sz w:val="24"/>
                <w:szCs w:val="32"/>
              </w:rPr>
              <w:t>图2-3 项目生产工艺流程图</w:t>
            </w:r>
          </w:p>
          <w:p>
            <w:pPr>
              <w:snapToGrid w:val="0"/>
              <w:spacing w:line="360" w:lineRule="auto"/>
              <w:rPr>
                <w:rFonts w:hint="default" w:ascii="Times New Roman" w:hAnsi="Times New Roman" w:eastAsia="宋体" w:cs="Times New Roman"/>
                <w:color w:val="auto"/>
                <w:sz w:val="24"/>
                <w:szCs w:val="32"/>
              </w:rPr>
            </w:pPr>
            <w:r>
              <w:rPr>
                <w:rFonts w:hint="default" w:ascii="Times New Roman" w:hAnsi="Times New Roman" w:eastAsia="宋体" w:cs="Times New Roman"/>
                <w:color w:val="auto"/>
                <w:sz w:val="24"/>
                <w:szCs w:val="32"/>
              </w:rPr>
              <w:t>工艺流程说明：</w:t>
            </w:r>
          </w:p>
          <w:p>
            <w:pPr>
              <w:snapToGrid w:val="0"/>
              <w:spacing w:line="360" w:lineRule="auto"/>
              <w:ind w:firstLine="482" w:firstLineChars="200"/>
              <w:rPr>
                <w:rFonts w:hint="default" w:ascii="Times New Roman" w:hAnsi="Times New Roman" w:eastAsia="宋体" w:cs="Times New Roman"/>
                <w:color w:val="auto"/>
                <w:sz w:val="24"/>
                <w:szCs w:val="32"/>
                <w:lang w:val="en-US" w:eastAsia="zh-CN"/>
              </w:rPr>
            </w:pPr>
            <w:r>
              <w:rPr>
                <w:rFonts w:hint="eastAsia" w:cs="Times New Roman"/>
                <w:b/>
                <w:bCs/>
                <w:color w:val="auto"/>
                <w:sz w:val="24"/>
                <w:szCs w:val="32"/>
                <w:lang w:val="en-US" w:eastAsia="zh-CN"/>
              </w:rPr>
              <w:t>预</w:t>
            </w:r>
            <w:r>
              <w:rPr>
                <w:rFonts w:hint="default" w:ascii="Times New Roman" w:hAnsi="Times New Roman" w:eastAsia="宋体" w:cs="Times New Roman"/>
                <w:b/>
                <w:bCs/>
                <w:color w:val="auto"/>
                <w:sz w:val="24"/>
                <w:szCs w:val="32"/>
                <w:lang w:val="en-US" w:eastAsia="zh-CN"/>
              </w:rPr>
              <w:t>清</w:t>
            </w:r>
            <w:r>
              <w:rPr>
                <w:rFonts w:hint="default" w:ascii="Times New Roman" w:hAnsi="Times New Roman" w:eastAsia="宋体" w:cs="Times New Roman"/>
                <w:b/>
                <w:bCs/>
                <w:color w:val="auto"/>
                <w:sz w:val="24"/>
                <w:szCs w:val="32"/>
              </w:rPr>
              <w:t>洗：</w:t>
            </w:r>
            <w:r>
              <w:rPr>
                <w:rFonts w:hint="default" w:ascii="Times New Roman" w:hAnsi="Times New Roman" w:eastAsia="宋体" w:cs="Times New Roman"/>
                <w:color w:val="auto"/>
                <w:sz w:val="24"/>
                <w:szCs w:val="32"/>
                <w:lang w:val="en-US" w:eastAsia="zh-CN"/>
              </w:rPr>
              <w:t>将机械零部件挂送入线上，使</w:t>
            </w:r>
            <w:r>
              <w:rPr>
                <w:rFonts w:hint="default" w:ascii="Times New Roman" w:hAnsi="Times New Roman" w:eastAsia="宋体" w:cs="Times New Roman"/>
                <w:color w:val="auto"/>
                <w:sz w:val="24"/>
                <w:szCs w:val="32"/>
              </w:rPr>
              <w:t>用自来水</w:t>
            </w:r>
            <w:r>
              <w:rPr>
                <w:rFonts w:hint="default" w:ascii="Times New Roman" w:hAnsi="Times New Roman" w:eastAsia="宋体" w:cs="Times New Roman"/>
                <w:color w:val="auto"/>
                <w:sz w:val="24"/>
                <w:szCs w:val="32"/>
                <w:lang w:val="en-US" w:eastAsia="zh-CN"/>
              </w:rPr>
              <w:t>进行喷淋预</w:t>
            </w:r>
            <w:r>
              <w:rPr>
                <w:rFonts w:hint="default" w:ascii="Times New Roman" w:hAnsi="Times New Roman" w:eastAsia="宋体" w:cs="Times New Roman"/>
                <w:color w:val="auto"/>
                <w:sz w:val="24"/>
                <w:szCs w:val="32"/>
                <w:lang w:val="en-US" w:eastAsia="zh-Hans"/>
              </w:rPr>
              <w:t>清洗，</w:t>
            </w:r>
            <w:r>
              <w:rPr>
                <w:rFonts w:hint="default" w:ascii="Times New Roman" w:hAnsi="Times New Roman" w:eastAsia="宋体" w:cs="Times New Roman"/>
                <w:color w:val="auto"/>
                <w:sz w:val="24"/>
                <w:szCs w:val="32"/>
                <w:lang w:val="en-US" w:eastAsia="zh-CN"/>
              </w:rPr>
              <w:t>来达到去除表面</w:t>
            </w:r>
            <w:r>
              <w:rPr>
                <w:rFonts w:hint="default" w:ascii="Times New Roman" w:hAnsi="Times New Roman" w:eastAsia="宋体" w:cs="Times New Roman"/>
                <w:color w:val="auto"/>
                <w:sz w:val="24"/>
                <w:szCs w:val="32"/>
                <w:lang w:val="en-US" w:eastAsia="zh-Hans"/>
              </w:rPr>
              <w:t>杂质</w:t>
            </w:r>
            <w:r>
              <w:rPr>
                <w:rFonts w:hint="default" w:ascii="Times New Roman" w:hAnsi="Times New Roman" w:eastAsia="宋体" w:cs="Times New Roman"/>
                <w:color w:val="auto"/>
                <w:sz w:val="24"/>
                <w:szCs w:val="32"/>
                <w:lang w:val="en-US" w:eastAsia="zh-CN"/>
              </w:rPr>
              <w:t>、表面</w:t>
            </w:r>
            <w:r>
              <w:rPr>
                <w:rFonts w:hint="default" w:ascii="Times New Roman" w:hAnsi="Times New Roman" w:eastAsia="宋体" w:cs="Times New Roman"/>
                <w:color w:val="auto"/>
                <w:sz w:val="24"/>
                <w:szCs w:val="32"/>
                <w:lang w:val="en-US" w:eastAsia="zh-Hans"/>
              </w:rPr>
              <w:t>金属碎屑，软化工件表面油污状态</w:t>
            </w:r>
            <w:r>
              <w:rPr>
                <w:rFonts w:hint="default" w:ascii="Times New Roman" w:hAnsi="Times New Roman" w:eastAsia="宋体" w:cs="Times New Roman"/>
                <w:color w:val="auto"/>
                <w:sz w:val="24"/>
                <w:szCs w:val="32"/>
                <w:lang w:val="en-US" w:eastAsia="zh-CN"/>
              </w:rPr>
              <w:t>，</w:t>
            </w:r>
            <w:r>
              <w:rPr>
                <w:rFonts w:hint="default" w:ascii="Times New Roman" w:hAnsi="Times New Roman" w:eastAsia="宋体" w:cs="Times New Roman"/>
                <w:color w:val="auto"/>
                <w:sz w:val="24"/>
                <w:szCs w:val="32"/>
                <w:lang w:val="en-US" w:eastAsia="zh-Hans"/>
              </w:rPr>
              <w:t>为脱脂进行预处理</w:t>
            </w:r>
            <w:r>
              <w:rPr>
                <w:rFonts w:hint="eastAsia" w:cs="Times New Roman"/>
                <w:color w:val="auto"/>
                <w:sz w:val="24"/>
                <w:szCs w:val="32"/>
                <w:lang w:val="en-US" w:eastAsia="zh-CN"/>
              </w:rPr>
              <w:t>。</w:t>
            </w:r>
            <w:r>
              <w:rPr>
                <w:rFonts w:hint="default" w:ascii="Times New Roman" w:hAnsi="Times New Roman" w:eastAsia="宋体" w:cs="Times New Roman"/>
                <w:color w:val="auto"/>
                <w:sz w:val="24"/>
                <w:szCs w:val="32"/>
                <w:lang w:val="en-US" w:eastAsia="zh-CN"/>
              </w:rPr>
              <w:t>清洗槽槽液循环使用，每三天彻底更换一次</w:t>
            </w:r>
            <w:r>
              <w:rPr>
                <w:rFonts w:hint="eastAsia" w:cs="Times New Roman"/>
                <w:color w:val="auto"/>
                <w:sz w:val="24"/>
                <w:szCs w:val="32"/>
                <w:lang w:val="en-US" w:eastAsia="zh-CN"/>
              </w:rPr>
              <w:t>，</w:t>
            </w:r>
            <w:r>
              <w:rPr>
                <w:rFonts w:hint="default" w:ascii="Times New Roman" w:hAnsi="Times New Roman" w:eastAsia="宋体" w:cs="Times New Roman"/>
                <w:color w:val="auto"/>
                <w:sz w:val="24"/>
                <w:szCs w:val="32"/>
                <w:lang w:val="en-US" w:eastAsia="zh-Hans"/>
              </w:rPr>
              <w:t>此过程产生W</w:t>
            </w:r>
            <w:r>
              <w:rPr>
                <w:rFonts w:hint="default" w:ascii="Times New Roman" w:hAnsi="Times New Roman" w:eastAsia="宋体" w:cs="Times New Roman"/>
                <w:color w:val="auto"/>
                <w:sz w:val="24"/>
                <w:szCs w:val="32"/>
                <w:lang w:val="en-US" w:eastAsia="zh-CN"/>
              </w:rPr>
              <w:t>1清洗</w:t>
            </w:r>
            <w:r>
              <w:rPr>
                <w:rFonts w:hint="default" w:ascii="Times New Roman" w:hAnsi="Times New Roman" w:eastAsia="宋体" w:cs="Times New Roman"/>
                <w:color w:val="auto"/>
                <w:sz w:val="24"/>
                <w:szCs w:val="32"/>
                <w:lang w:val="en-US" w:eastAsia="zh-Hans"/>
              </w:rPr>
              <w:t>废水。</w:t>
            </w:r>
          </w:p>
          <w:p>
            <w:pPr>
              <w:snapToGrid w:val="0"/>
              <w:spacing w:line="360" w:lineRule="auto"/>
              <w:ind w:firstLine="482" w:firstLineChars="200"/>
              <w:rPr>
                <w:rFonts w:hint="default" w:ascii="Times New Roman" w:hAnsi="Times New Roman" w:eastAsia="宋体" w:cs="Times New Roman"/>
                <w:color w:val="auto"/>
                <w:sz w:val="24"/>
                <w:szCs w:val="32"/>
                <w:lang w:val="en-US" w:eastAsia="zh-CN"/>
              </w:rPr>
            </w:pPr>
            <w:r>
              <w:rPr>
                <w:rFonts w:hint="default" w:ascii="Times New Roman" w:hAnsi="Times New Roman" w:eastAsia="宋体" w:cs="Times New Roman"/>
                <w:b/>
                <w:bCs/>
                <w:color w:val="auto"/>
                <w:sz w:val="24"/>
                <w:szCs w:val="32"/>
              </w:rPr>
              <w:t>脱脂：</w:t>
            </w:r>
            <w:r>
              <w:rPr>
                <w:rFonts w:hint="eastAsia" w:cs="Times New Roman"/>
                <w:color w:val="auto"/>
                <w:sz w:val="24"/>
                <w:szCs w:val="32"/>
                <w:lang w:val="en-US" w:eastAsia="zh-CN"/>
              </w:rPr>
              <w:t>脱脂分为预脱脂和主脱脂。①</w:t>
            </w:r>
            <w:r>
              <w:rPr>
                <w:rFonts w:hint="default" w:ascii="Times New Roman" w:hAnsi="Times New Roman" w:eastAsia="宋体" w:cs="Times New Roman"/>
                <w:color w:val="auto"/>
                <w:sz w:val="24"/>
                <w:szCs w:val="32"/>
                <w:lang w:val="en-US" w:eastAsia="zh-CN"/>
              </w:rPr>
              <w:t>采用浓度</w:t>
            </w:r>
            <w:r>
              <w:rPr>
                <w:rFonts w:hint="eastAsia" w:cs="Times New Roman"/>
                <w:color w:val="auto"/>
                <w:sz w:val="24"/>
                <w:szCs w:val="32"/>
                <w:lang w:val="en-US" w:eastAsia="zh-CN"/>
              </w:rPr>
              <w:t>约5-</w:t>
            </w:r>
            <w:r>
              <w:rPr>
                <w:rFonts w:hint="eastAsia" w:cs="Times New Roman"/>
                <w:color w:val="auto"/>
                <w:sz w:val="24"/>
                <w:szCs w:val="32"/>
                <w:highlight w:val="none"/>
                <w:lang w:val="en-US" w:eastAsia="zh-CN"/>
              </w:rPr>
              <w:t>10</w:t>
            </w:r>
            <w:r>
              <w:rPr>
                <w:rFonts w:hint="default" w:ascii="Times New Roman" w:hAnsi="Times New Roman" w:eastAsia="宋体" w:cs="Times New Roman"/>
                <w:color w:val="auto"/>
                <w:sz w:val="24"/>
                <w:szCs w:val="32"/>
                <w:highlight w:val="none"/>
                <w:lang w:val="en-US" w:eastAsia="zh-CN"/>
              </w:rPr>
              <w:t>%的兑水清洗剂</w:t>
            </w:r>
            <w:r>
              <w:rPr>
                <w:rFonts w:hint="default" w:ascii="Times New Roman" w:hAnsi="Times New Roman" w:eastAsia="宋体" w:cs="Times New Roman"/>
                <w:color w:val="auto"/>
                <w:sz w:val="24"/>
                <w:szCs w:val="32"/>
                <w:highlight w:val="none"/>
              </w:rPr>
              <w:t>对工件进行喷淋</w:t>
            </w:r>
            <w:r>
              <w:rPr>
                <w:rFonts w:hint="default" w:ascii="Times New Roman" w:hAnsi="Times New Roman" w:eastAsia="宋体" w:cs="Times New Roman"/>
                <w:color w:val="auto"/>
                <w:sz w:val="24"/>
                <w:szCs w:val="32"/>
                <w:highlight w:val="none"/>
                <w:lang w:val="en-US" w:eastAsia="zh-CN"/>
              </w:rPr>
              <w:t>脱脂</w:t>
            </w:r>
            <w:r>
              <w:rPr>
                <w:rFonts w:hint="default" w:ascii="Times New Roman" w:hAnsi="Times New Roman" w:eastAsia="宋体" w:cs="Times New Roman"/>
                <w:color w:val="auto"/>
                <w:sz w:val="24"/>
                <w:szCs w:val="32"/>
                <w:highlight w:val="none"/>
              </w:rPr>
              <w:t>，为主脱脂进行预处理</w:t>
            </w:r>
            <w:r>
              <w:rPr>
                <w:rFonts w:hint="eastAsia" w:cs="Times New Roman"/>
                <w:color w:val="auto"/>
                <w:sz w:val="24"/>
                <w:szCs w:val="32"/>
                <w:highlight w:val="none"/>
                <w:lang w:eastAsia="zh-CN"/>
              </w:rPr>
              <w:t>，</w:t>
            </w:r>
            <w:r>
              <w:rPr>
                <w:rFonts w:hint="default" w:ascii="Times New Roman" w:hAnsi="Times New Roman" w:eastAsia="宋体" w:cs="Times New Roman"/>
                <w:color w:val="auto"/>
                <w:sz w:val="24"/>
                <w:szCs w:val="32"/>
                <w:highlight w:val="none"/>
              </w:rPr>
              <w:t>预</w:t>
            </w:r>
            <w:r>
              <w:rPr>
                <w:color w:val="auto"/>
                <w:sz w:val="24"/>
                <w:szCs w:val="32"/>
                <w:highlight w:val="none"/>
              </w:rPr>
              <w:t>脱脂槽</w:t>
            </w:r>
            <w:r>
              <w:rPr>
                <w:rFonts w:hint="default" w:ascii="Times New Roman" w:hAnsi="Times New Roman" w:eastAsia="宋体" w:cs="Times New Roman"/>
                <w:color w:val="auto"/>
                <w:sz w:val="24"/>
                <w:szCs w:val="32"/>
                <w:highlight w:val="none"/>
              </w:rPr>
              <w:t>槽液</w:t>
            </w:r>
            <w:r>
              <w:rPr>
                <w:rFonts w:hint="default" w:ascii="Times New Roman" w:hAnsi="Times New Roman" w:eastAsia="宋体" w:cs="Times New Roman"/>
                <w:color w:val="auto"/>
                <w:sz w:val="24"/>
                <w:szCs w:val="32"/>
                <w:highlight w:val="none"/>
                <w:lang w:val="en-US" w:eastAsia="zh-CN"/>
              </w:rPr>
              <w:t>循环使用，每十天彻底更换一次</w:t>
            </w:r>
            <w:r>
              <w:rPr>
                <w:rFonts w:hint="eastAsia" w:cs="Times New Roman"/>
                <w:color w:val="auto"/>
                <w:sz w:val="24"/>
                <w:szCs w:val="32"/>
                <w:highlight w:val="none"/>
                <w:lang w:val="en-US" w:eastAsia="zh-CN"/>
              </w:rPr>
              <w:t>；②</w:t>
            </w:r>
            <w:r>
              <w:rPr>
                <w:rFonts w:hint="default" w:ascii="Times New Roman" w:hAnsi="Times New Roman" w:eastAsia="宋体" w:cs="Times New Roman"/>
                <w:color w:val="auto"/>
                <w:sz w:val="24"/>
                <w:szCs w:val="32"/>
                <w:highlight w:val="none"/>
              </w:rPr>
              <w:t>将工件送入</w:t>
            </w:r>
            <w:r>
              <w:rPr>
                <w:color w:val="auto"/>
                <w:sz w:val="24"/>
                <w:szCs w:val="32"/>
                <w:highlight w:val="none"/>
              </w:rPr>
              <w:t>脱脂槽</w:t>
            </w:r>
            <w:r>
              <w:rPr>
                <w:rFonts w:hint="default" w:ascii="Times New Roman" w:hAnsi="Times New Roman" w:eastAsia="宋体" w:cs="Times New Roman"/>
                <w:color w:val="auto"/>
                <w:sz w:val="24"/>
                <w:szCs w:val="32"/>
                <w:highlight w:val="none"/>
              </w:rPr>
              <w:t>浸洗</w:t>
            </w:r>
            <w:r>
              <w:rPr>
                <w:rFonts w:hint="default" w:ascii="Times New Roman" w:hAnsi="Times New Roman" w:eastAsia="宋体" w:cs="Times New Roman"/>
                <w:color w:val="auto"/>
                <w:sz w:val="24"/>
                <w:szCs w:val="32"/>
              </w:rPr>
              <w:t>，</w:t>
            </w:r>
            <w:r>
              <w:rPr>
                <w:rFonts w:hint="default" w:ascii="Times New Roman" w:hAnsi="Times New Roman" w:eastAsia="宋体" w:cs="Times New Roman"/>
                <w:color w:val="auto"/>
                <w:sz w:val="24"/>
                <w:szCs w:val="32"/>
                <w:lang w:val="en-US" w:eastAsia="zh-CN"/>
              </w:rPr>
              <w:t>脱脂槽内采用浓度</w:t>
            </w:r>
            <w:r>
              <w:rPr>
                <w:rFonts w:hint="eastAsia" w:cs="Times New Roman"/>
                <w:color w:val="auto"/>
                <w:sz w:val="24"/>
                <w:szCs w:val="32"/>
                <w:lang w:val="en-US" w:eastAsia="zh-CN"/>
              </w:rPr>
              <w:t>约5-</w:t>
            </w:r>
            <w:r>
              <w:rPr>
                <w:rFonts w:hint="eastAsia" w:cs="Times New Roman"/>
                <w:color w:val="auto"/>
                <w:sz w:val="24"/>
                <w:szCs w:val="32"/>
                <w:highlight w:val="none"/>
                <w:lang w:val="en-US" w:eastAsia="zh-CN"/>
              </w:rPr>
              <w:t>10</w:t>
            </w:r>
            <w:r>
              <w:rPr>
                <w:rFonts w:hint="default" w:ascii="Times New Roman" w:hAnsi="Times New Roman" w:eastAsia="宋体" w:cs="Times New Roman"/>
                <w:color w:val="auto"/>
                <w:sz w:val="24"/>
                <w:szCs w:val="32"/>
                <w:highlight w:val="none"/>
                <w:lang w:val="en-US" w:eastAsia="zh-CN"/>
              </w:rPr>
              <w:t>%</w:t>
            </w:r>
            <w:r>
              <w:rPr>
                <w:rFonts w:hint="default" w:ascii="Times New Roman" w:hAnsi="Times New Roman" w:eastAsia="宋体" w:cs="Times New Roman"/>
                <w:color w:val="auto"/>
                <w:sz w:val="24"/>
                <w:szCs w:val="32"/>
                <w:lang w:val="en-US" w:eastAsia="zh-CN"/>
              </w:rPr>
              <w:t>的兑水清洗剂，</w:t>
            </w:r>
            <w:r>
              <w:rPr>
                <w:rFonts w:hint="default" w:ascii="Times New Roman" w:hAnsi="Times New Roman" w:eastAsia="宋体" w:cs="Times New Roman"/>
                <w:color w:val="auto"/>
                <w:sz w:val="24"/>
                <w:szCs w:val="32"/>
              </w:rPr>
              <w:t>利用超声波振荡的机械能使脱脂液中产生数以万计的小气泡，这些小气泡在形成生长和闭合时产生强大的机械力，使零件表面沾附的油脂、污垢迅速脱离，使脱脂更彻底</w:t>
            </w:r>
            <w:r>
              <w:rPr>
                <w:rFonts w:hint="eastAsia" w:cs="Times New Roman"/>
                <w:color w:val="auto"/>
                <w:sz w:val="24"/>
                <w:szCs w:val="32"/>
                <w:lang w:eastAsia="zh-CN"/>
              </w:rPr>
              <w:t>，</w:t>
            </w:r>
            <w:r>
              <w:rPr>
                <w:rFonts w:hint="default" w:ascii="Times New Roman" w:hAnsi="Times New Roman" w:eastAsia="宋体" w:cs="Times New Roman"/>
                <w:color w:val="auto"/>
                <w:sz w:val="24"/>
                <w:szCs w:val="32"/>
              </w:rPr>
              <w:t>脱脂槽液需</w:t>
            </w:r>
            <w:r>
              <w:rPr>
                <w:rFonts w:hint="default" w:ascii="Times New Roman" w:hAnsi="Times New Roman" w:eastAsia="宋体" w:cs="Times New Roman"/>
                <w:color w:val="auto"/>
                <w:sz w:val="24"/>
                <w:szCs w:val="32"/>
                <w:lang w:val="en-US" w:eastAsia="zh-CN"/>
              </w:rPr>
              <w:t>每年彻底</w:t>
            </w:r>
            <w:r>
              <w:rPr>
                <w:rFonts w:hint="default" w:ascii="Times New Roman" w:hAnsi="Times New Roman" w:eastAsia="宋体" w:cs="Times New Roman"/>
                <w:color w:val="auto"/>
                <w:sz w:val="24"/>
                <w:szCs w:val="32"/>
              </w:rPr>
              <w:t>更换</w:t>
            </w:r>
            <w:r>
              <w:rPr>
                <w:rFonts w:hint="default" w:ascii="Times New Roman" w:hAnsi="Times New Roman" w:eastAsia="宋体" w:cs="Times New Roman"/>
                <w:color w:val="auto"/>
                <w:sz w:val="24"/>
                <w:szCs w:val="32"/>
                <w:lang w:val="en-US" w:eastAsia="zh-CN"/>
              </w:rPr>
              <w:t>一次</w:t>
            </w:r>
            <w:r>
              <w:rPr>
                <w:rFonts w:hint="eastAsia" w:cs="Times New Roman"/>
                <w:color w:val="auto"/>
                <w:sz w:val="24"/>
                <w:szCs w:val="32"/>
                <w:lang w:eastAsia="zh-CN"/>
              </w:rPr>
              <w:t>。</w:t>
            </w:r>
            <w:r>
              <w:rPr>
                <w:rFonts w:hint="eastAsia"/>
                <w:color w:val="auto"/>
                <w:sz w:val="24"/>
                <w:szCs w:val="32"/>
                <w:lang w:val="en-US" w:eastAsia="zh-CN"/>
              </w:rPr>
              <w:t>脱脂</w:t>
            </w:r>
            <w:r>
              <w:rPr>
                <w:color w:val="auto"/>
                <w:sz w:val="24"/>
                <w:szCs w:val="32"/>
              </w:rPr>
              <w:t>工艺在常温下即可操作，且</w:t>
            </w:r>
            <w:r>
              <w:rPr>
                <w:rFonts w:hint="eastAsia"/>
                <w:color w:val="auto"/>
                <w:sz w:val="24"/>
                <w:szCs w:val="32"/>
                <w:lang w:val="en-US" w:eastAsia="zh-CN"/>
              </w:rPr>
              <w:t>清洗剂</w:t>
            </w:r>
            <w:r>
              <w:rPr>
                <w:color w:val="auto"/>
                <w:sz w:val="24"/>
                <w:szCs w:val="32"/>
              </w:rPr>
              <w:t>不含挥发性有机物成分及其它挥发性成分，故不产生废气</w:t>
            </w:r>
            <w:r>
              <w:rPr>
                <w:rFonts w:hint="eastAsia"/>
                <w:color w:val="auto"/>
                <w:sz w:val="24"/>
                <w:szCs w:val="32"/>
                <w:lang w:eastAsia="zh-CN"/>
              </w:rPr>
              <w:t>。</w:t>
            </w:r>
            <w:r>
              <w:rPr>
                <w:rFonts w:hint="eastAsia" w:cs="Times New Roman"/>
                <w:color w:val="auto"/>
                <w:sz w:val="24"/>
                <w:szCs w:val="32"/>
                <w:lang w:val="en-US" w:eastAsia="zh-CN"/>
              </w:rPr>
              <w:t>本工段</w:t>
            </w:r>
            <w:r>
              <w:rPr>
                <w:rFonts w:hint="default" w:ascii="Times New Roman" w:hAnsi="Times New Roman" w:eastAsia="宋体" w:cs="Times New Roman"/>
                <w:color w:val="auto"/>
                <w:sz w:val="24"/>
                <w:szCs w:val="32"/>
                <w:lang w:val="en-US" w:eastAsia="zh-Hans"/>
              </w:rPr>
              <w:t>产生</w:t>
            </w:r>
            <w:r>
              <w:rPr>
                <w:rFonts w:hint="eastAsia" w:cs="Times New Roman"/>
                <w:color w:val="auto"/>
                <w:sz w:val="24"/>
                <w:szCs w:val="32"/>
                <w:lang w:val="en-US" w:eastAsia="zh-CN"/>
              </w:rPr>
              <w:t>W2脱脂废水。</w:t>
            </w:r>
          </w:p>
          <w:p>
            <w:pPr>
              <w:numPr>
                <w:ilvl w:val="0"/>
                <w:numId w:val="0"/>
              </w:numPr>
              <w:snapToGrid w:val="0"/>
              <w:spacing w:line="360" w:lineRule="auto"/>
              <w:ind w:firstLine="482" w:firstLineChars="200"/>
              <w:rPr>
                <w:rFonts w:hint="default" w:ascii="Times New Roman" w:hAnsi="Times New Roman" w:eastAsia="宋体" w:cs="Times New Roman"/>
                <w:color w:val="auto"/>
                <w:sz w:val="24"/>
                <w:szCs w:val="32"/>
              </w:rPr>
            </w:pPr>
            <w:r>
              <w:rPr>
                <w:rFonts w:hint="default" w:ascii="Times New Roman" w:hAnsi="Times New Roman" w:eastAsia="宋体" w:cs="Times New Roman"/>
                <w:b/>
                <w:bCs/>
                <w:color w:val="auto"/>
                <w:sz w:val="24"/>
                <w:szCs w:val="32"/>
                <w:lang w:val="en-US" w:eastAsia="zh-CN"/>
              </w:rPr>
              <w:t>水洗</w:t>
            </w:r>
            <w:r>
              <w:rPr>
                <w:rFonts w:hint="default" w:ascii="Times New Roman" w:hAnsi="Times New Roman" w:eastAsia="宋体" w:cs="Times New Roman"/>
                <w:b/>
                <w:bCs/>
                <w:color w:val="auto"/>
                <w:sz w:val="24"/>
                <w:szCs w:val="32"/>
              </w:rPr>
              <w:t>：</w:t>
            </w:r>
            <w:r>
              <w:rPr>
                <w:rFonts w:hint="eastAsia" w:cs="Times New Roman"/>
                <w:b w:val="0"/>
                <w:bCs w:val="0"/>
                <w:color w:val="auto"/>
                <w:sz w:val="24"/>
                <w:szCs w:val="32"/>
                <w:lang w:val="en-US" w:eastAsia="zh-CN"/>
              </w:rPr>
              <w:t>为</w:t>
            </w:r>
            <w:r>
              <w:rPr>
                <w:rFonts w:hint="default" w:ascii="Times New Roman" w:hAnsi="Times New Roman" w:eastAsia="宋体" w:cs="Times New Roman"/>
                <w:b w:val="0"/>
                <w:bCs w:val="0"/>
                <w:color w:val="auto"/>
                <w:sz w:val="24"/>
                <w:szCs w:val="32"/>
              </w:rPr>
              <w:t>去除工件</w:t>
            </w:r>
            <w:r>
              <w:rPr>
                <w:rFonts w:hint="default" w:ascii="Times New Roman" w:hAnsi="Times New Roman" w:eastAsia="宋体" w:cs="Times New Roman"/>
                <w:color w:val="auto"/>
                <w:sz w:val="24"/>
                <w:szCs w:val="32"/>
              </w:rPr>
              <w:t>表面残留</w:t>
            </w:r>
            <w:r>
              <w:rPr>
                <w:rFonts w:hint="default" w:ascii="Times New Roman" w:hAnsi="Times New Roman" w:eastAsia="宋体" w:cs="Times New Roman"/>
                <w:color w:val="auto"/>
                <w:sz w:val="24"/>
                <w:szCs w:val="32"/>
                <w:lang w:val="en-US" w:eastAsia="zh-CN"/>
              </w:rPr>
              <w:t>的清洗剂</w:t>
            </w:r>
            <w:r>
              <w:rPr>
                <w:rFonts w:hint="eastAsia" w:cs="Times New Roman"/>
                <w:color w:val="auto"/>
                <w:sz w:val="24"/>
                <w:szCs w:val="32"/>
                <w:lang w:val="en-US" w:eastAsia="zh-CN"/>
              </w:rPr>
              <w:t>，</w:t>
            </w:r>
            <w:r>
              <w:rPr>
                <w:rFonts w:hint="eastAsia" w:cs="Times New Roman"/>
                <w:b w:val="0"/>
                <w:bCs w:val="0"/>
                <w:color w:val="auto"/>
                <w:sz w:val="24"/>
                <w:szCs w:val="32"/>
                <w:lang w:val="en-US" w:eastAsia="zh-CN"/>
              </w:rPr>
              <w:t>脱脂后的工件需先后进行自来水喷淋清洗（水洗1槽）和自来水</w:t>
            </w:r>
            <w:r>
              <w:rPr>
                <w:rFonts w:hint="default" w:ascii="Times New Roman" w:hAnsi="Times New Roman" w:eastAsia="宋体" w:cs="Times New Roman"/>
                <w:color w:val="auto"/>
                <w:sz w:val="24"/>
                <w:szCs w:val="32"/>
                <w:lang w:val="en-US" w:eastAsia="zh-CN"/>
              </w:rPr>
              <w:t>浸槽清洗</w:t>
            </w:r>
            <w:r>
              <w:rPr>
                <w:rFonts w:hint="eastAsia" w:cs="Times New Roman"/>
                <w:color w:val="auto"/>
                <w:sz w:val="24"/>
                <w:szCs w:val="32"/>
                <w:lang w:val="en-US" w:eastAsia="zh-CN"/>
              </w:rPr>
              <w:t>（水洗2槽）</w:t>
            </w:r>
            <w:r>
              <w:rPr>
                <w:rFonts w:hint="eastAsia" w:cs="Times New Roman"/>
                <w:b w:val="0"/>
                <w:bCs w:val="0"/>
                <w:color w:val="auto"/>
                <w:sz w:val="24"/>
                <w:szCs w:val="32"/>
                <w:lang w:val="en-US" w:eastAsia="zh-CN"/>
              </w:rPr>
              <w:t>。</w:t>
            </w:r>
            <w:r>
              <w:rPr>
                <w:rFonts w:hint="eastAsia" w:cs="Times New Roman"/>
                <w:color w:val="auto"/>
                <w:sz w:val="24"/>
                <w:szCs w:val="32"/>
                <w:lang w:val="en-US" w:eastAsia="zh-CN"/>
              </w:rPr>
              <w:t>水洗1槽槽液</w:t>
            </w:r>
            <w:r>
              <w:rPr>
                <w:rFonts w:hint="default" w:ascii="Times New Roman" w:hAnsi="Times New Roman" w:eastAsia="宋体" w:cs="Times New Roman"/>
                <w:color w:val="auto"/>
                <w:sz w:val="24"/>
                <w:szCs w:val="32"/>
                <w:lang w:val="en-US" w:eastAsia="zh-CN"/>
              </w:rPr>
              <w:t>循环使用，每三天彻底更换一次</w:t>
            </w:r>
            <w:r>
              <w:rPr>
                <w:rFonts w:hint="eastAsia" w:cs="Times New Roman"/>
                <w:color w:val="auto"/>
                <w:sz w:val="24"/>
                <w:szCs w:val="32"/>
                <w:lang w:val="en-US" w:eastAsia="zh-CN"/>
              </w:rPr>
              <w:t>；</w:t>
            </w:r>
            <w:r>
              <w:rPr>
                <w:rFonts w:hint="default" w:ascii="Times New Roman" w:hAnsi="Times New Roman" w:eastAsia="宋体" w:cs="Times New Roman"/>
                <w:color w:val="auto"/>
                <w:sz w:val="24"/>
                <w:szCs w:val="32"/>
              </w:rPr>
              <w:t>水洗</w:t>
            </w:r>
            <w:r>
              <w:rPr>
                <w:rFonts w:hint="default" w:ascii="Times New Roman" w:hAnsi="Times New Roman" w:eastAsia="宋体" w:cs="Times New Roman"/>
                <w:color w:val="auto"/>
                <w:sz w:val="24"/>
                <w:szCs w:val="32"/>
                <w:lang w:val="en-US" w:eastAsia="zh-CN"/>
              </w:rPr>
              <w:t>2槽槽</w:t>
            </w:r>
            <w:r>
              <w:rPr>
                <w:rFonts w:hint="default" w:ascii="Times New Roman" w:hAnsi="Times New Roman" w:eastAsia="宋体" w:cs="Times New Roman"/>
                <w:color w:val="auto"/>
                <w:sz w:val="24"/>
                <w:szCs w:val="32"/>
              </w:rPr>
              <w:t>液</w:t>
            </w:r>
            <w:r>
              <w:rPr>
                <w:rFonts w:hint="default" w:ascii="Times New Roman" w:hAnsi="Times New Roman" w:eastAsia="宋体" w:cs="Times New Roman"/>
                <w:color w:val="auto"/>
                <w:sz w:val="24"/>
                <w:szCs w:val="32"/>
                <w:lang w:val="en-US" w:eastAsia="zh-CN"/>
              </w:rPr>
              <w:t>循环使用，每半个月彻底更换一次</w:t>
            </w:r>
            <w:r>
              <w:rPr>
                <w:rFonts w:hint="eastAsia" w:cs="Times New Roman"/>
                <w:color w:val="auto"/>
                <w:sz w:val="24"/>
                <w:szCs w:val="32"/>
                <w:lang w:val="en-US" w:eastAsia="zh-CN"/>
              </w:rPr>
              <w:t>。本工段</w:t>
            </w:r>
            <w:r>
              <w:rPr>
                <w:rFonts w:hint="default" w:ascii="Times New Roman" w:hAnsi="Times New Roman" w:eastAsia="宋体" w:cs="Times New Roman"/>
                <w:color w:val="auto"/>
                <w:sz w:val="24"/>
                <w:szCs w:val="32"/>
              </w:rPr>
              <w:t>产生W</w:t>
            </w:r>
            <w:r>
              <w:rPr>
                <w:rFonts w:hint="eastAsia" w:cs="Times New Roman"/>
                <w:color w:val="auto"/>
                <w:sz w:val="24"/>
                <w:szCs w:val="32"/>
                <w:lang w:val="en-US" w:eastAsia="zh-CN"/>
              </w:rPr>
              <w:t>3</w:t>
            </w:r>
            <w:r>
              <w:rPr>
                <w:rFonts w:hint="default" w:ascii="Times New Roman" w:hAnsi="Times New Roman" w:eastAsia="宋体" w:cs="Times New Roman"/>
                <w:color w:val="auto"/>
                <w:sz w:val="24"/>
                <w:szCs w:val="32"/>
                <w:lang w:val="en-US" w:eastAsia="zh-CN"/>
              </w:rPr>
              <w:t>清洗</w:t>
            </w:r>
            <w:r>
              <w:rPr>
                <w:rFonts w:hint="default" w:ascii="Times New Roman" w:hAnsi="Times New Roman" w:eastAsia="宋体" w:cs="Times New Roman"/>
                <w:color w:val="auto"/>
                <w:sz w:val="24"/>
                <w:szCs w:val="32"/>
              </w:rPr>
              <w:t>废水。</w:t>
            </w:r>
          </w:p>
          <w:p>
            <w:pPr>
              <w:numPr>
                <w:ilvl w:val="0"/>
                <w:numId w:val="0"/>
              </w:numPr>
              <w:snapToGrid w:val="0"/>
              <w:spacing w:line="360" w:lineRule="auto"/>
              <w:ind w:firstLine="482" w:firstLineChars="200"/>
              <w:rPr>
                <w:rFonts w:hint="default" w:ascii="Times New Roman" w:hAnsi="Times New Roman" w:eastAsia="宋体" w:cs="Times New Roman"/>
                <w:color w:val="auto"/>
                <w:sz w:val="24"/>
                <w:szCs w:val="32"/>
                <w:lang w:val="en-US"/>
              </w:rPr>
            </w:pPr>
            <w:r>
              <w:rPr>
                <w:rFonts w:hint="default" w:ascii="Times New Roman" w:hAnsi="Times New Roman" w:eastAsia="宋体" w:cs="Times New Roman"/>
                <w:b/>
                <w:bCs/>
                <w:color w:val="auto"/>
                <w:sz w:val="24"/>
                <w:szCs w:val="32"/>
                <w:lang w:val="en-US" w:eastAsia="zh-CN"/>
              </w:rPr>
              <w:t>陶化：</w:t>
            </w:r>
            <w:r>
              <w:rPr>
                <w:rFonts w:hint="default" w:ascii="Times New Roman" w:hAnsi="Times New Roman" w:eastAsia="宋体" w:cs="Times New Roman"/>
                <w:color w:val="auto"/>
                <w:sz w:val="24"/>
                <w:szCs w:val="32"/>
                <w:lang w:val="en-US" w:eastAsia="zh-CN"/>
              </w:rPr>
              <w:t>水洗后的工件吊入陶化槽，将</w:t>
            </w:r>
            <w:r>
              <w:rPr>
                <w:rFonts w:hint="eastAsia" w:cs="Times New Roman"/>
                <w:color w:val="auto"/>
                <w:sz w:val="24"/>
                <w:szCs w:val="32"/>
                <w:lang w:val="en-US" w:eastAsia="zh-CN"/>
              </w:rPr>
              <w:t>兑水</w:t>
            </w:r>
            <w:r>
              <w:rPr>
                <w:rFonts w:hint="default" w:ascii="Times New Roman" w:hAnsi="Times New Roman" w:eastAsia="宋体" w:cs="Times New Roman"/>
                <w:color w:val="auto"/>
                <w:sz w:val="24"/>
                <w:szCs w:val="32"/>
                <w:lang w:val="en-US" w:eastAsia="zh-CN"/>
              </w:rPr>
              <w:t>皮膜剂添加至陶化池搅匀，以</w:t>
            </w:r>
            <w:r>
              <w:rPr>
                <w:rFonts w:hint="eastAsia" w:cs="Times New Roman"/>
                <w:color w:val="auto"/>
                <w:sz w:val="24"/>
                <w:szCs w:val="32"/>
                <w:lang w:val="en-US" w:eastAsia="zh-CN"/>
              </w:rPr>
              <w:t>锆</w:t>
            </w:r>
            <w:r>
              <w:rPr>
                <w:rFonts w:hint="default" w:ascii="Times New Roman" w:hAnsi="Times New Roman" w:eastAsia="宋体" w:cs="Times New Roman"/>
                <w:color w:val="auto"/>
                <w:sz w:val="24"/>
                <w:szCs w:val="32"/>
                <w:lang w:val="en-US" w:eastAsia="zh-CN"/>
              </w:rPr>
              <w:t>盐为基础在工件表面生成一种杂合难溶纳米级陶瓷转化膜。皮膜剂不含重金属、磷酸盐、N和任何有机挥发组分，无危险性，故可按一般化学品储存。陶化处理不需要表调，陶瓷转化膜具有优良的耐腐蚀性，抗冲击力，能提高热处理效果</w:t>
            </w:r>
            <w:r>
              <w:rPr>
                <w:rFonts w:hint="eastAsia" w:cs="Times New Roman"/>
                <w:color w:val="auto"/>
                <w:sz w:val="24"/>
                <w:szCs w:val="32"/>
                <w:lang w:val="en-US" w:eastAsia="zh-CN"/>
              </w:rPr>
              <w:t>。</w:t>
            </w:r>
            <w:r>
              <w:rPr>
                <w:rFonts w:hint="default" w:ascii="Times New Roman" w:hAnsi="Times New Roman" w:eastAsia="宋体" w:cs="Times New Roman"/>
                <w:color w:val="auto"/>
                <w:sz w:val="24"/>
                <w:szCs w:val="32"/>
                <w:lang w:val="en-US" w:eastAsia="zh-CN"/>
              </w:rPr>
              <w:t>本项目陶化时间约2-3分钟，在常温下进行，pH控制在4.5-5之间。皮膜剂不含挥发性有机物成分及其它挥发性成分，故不产生废气</w:t>
            </w:r>
            <w:r>
              <w:rPr>
                <w:rFonts w:hint="eastAsia" w:cs="Times New Roman"/>
                <w:color w:val="auto"/>
                <w:sz w:val="24"/>
                <w:szCs w:val="32"/>
                <w:lang w:val="en-US" w:eastAsia="zh-CN"/>
              </w:rPr>
              <w:t>。</w:t>
            </w:r>
            <w:r>
              <w:rPr>
                <w:rFonts w:hint="default" w:ascii="Times New Roman" w:hAnsi="Times New Roman" w:eastAsia="宋体" w:cs="Times New Roman"/>
                <w:color w:val="auto"/>
                <w:sz w:val="24"/>
                <w:szCs w:val="32"/>
                <w:lang w:val="en-US" w:eastAsia="zh-CN"/>
              </w:rPr>
              <w:t>陶化池槽液定时添加，循环使用，</w:t>
            </w:r>
            <w:r>
              <w:rPr>
                <w:rFonts w:hint="eastAsia" w:cs="Times New Roman"/>
                <w:color w:val="auto"/>
                <w:sz w:val="24"/>
                <w:szCs w:val="32"/>
                <w:lang w:val="en-US" w:eastAsia="zh-CN"/>
              </w:rPr>
              <w:t>每年需更换一次，更换时产生S1陶化废液及S2槽渣</w:t>
            </w:r>
            <w:r>
              <w:rPr>
                <w:rFonts w:hint="default" w:ascii="Times New Roman" w:hAnsi="Times New Roman" w:eastAsia="宋体" w:cs="Times New Roman"/>
                <w:color w:val="auto"/>
                <w:sz w:val="24"/>
                <w:szCs w:val="32"/>
                <w:lang w:val="en-US" w:eastAsia="zh-CN"/>
              </w:rPr>
              <w:t>。</w:t>
            </w:r>
          </w:p>
          <w:p>
            <w:pPr>
              <w:numPr>
                <w:ilvl w:val="0"/>
                <w:numId w:val="0"/>
              </w:numPr>
              <w:snapToGrid w:val="0"/>
              <w:spacing w:line="360" w:lineRule="auto"/>
              <w:ind w:firstLine="482" w:firstLineChars="200"/>
              <w:rPr>
                <w:rFonts w:hint="default" w:ascii="Times New Roman" w:hAnsi="Times New Roman" w:eastAsia="宋体" w:cs="Times New Roman"/>
                <w:color w:val="auto"/>
                <w:sz w:val="24"/>
                <w:szCs w:val="32"/>
              </w:rPr>
            </w:pPr>
            <w:r>
              <w:rPr>
                <w:rFonts w:hint="default" w:ascii="Times New Roman" w:hAnsi="Times New Roman" w:eastAsia="宋体" w:cs="Times New Roman"/>
                <w:b/>
                <w:bCs/>
                <w:color w:val="auto"/>
                <w:sz w:val="24"/>
                <w:szCs w:val="32"/>
                <w:lang w:val="en-US" w:eastAsia="zh-CN"/>
              </w:rPr>
              <w:t>水洗</w:t>
            </w:r>
            <w:r>
              <w:rPr>
                <w:rFonts w:hint="default" w:ascii="Times New Roman" w:hAnsi="Times New Roman" w:eastAsia="宋体" w:cs="Times New Roman"/>
                <w:b w:val="0"/>
                <w:bCs w:val="0"/>
                <w:color w:val="auto"/>
                <w:sz w:val="24"/>
                <w:szCs w:val="32"/>
              </w:rPr>
              <w:t>：</w:t>
            </w:r>
            <w:r>
              <w:rPr>
                <w:rFonts w:hint="eastAsia" w:cs="Times New Roman"/>
                <w:b w:val="0"/>
                <w:bCs w:val="0"/>
                <w:color w:val="auto"/>
                <w:sz w:val="24"/>
                <w:szCs w:val="32"/>
                <w:lang w:val="en-US" w:eastAsia="zh-CN"/>
              </w:rPr>
              <w:t>为</w:t>
            </w:r>
            <w:r>
              <w:rPr>
                <w:rFonts w:hint="default" w:ascii="Times New Roman" w:hAnsi="Times New Roman" w:eastAsia="宋体" w:cs="Times New Roman"/>
                <w:color w:val="auto"/>
                <w:sz w:val="24"/>
                <w:szCs w:val="32"/>
              </w:rPr>
              <w:t>去除工件表面残留</w:t>
            </w:r>
            <w:r>
              <w:rPr>
                <w:rFonts w:hint="default" w:ascii="Times New Roman" w:hAnsi="Times New Roman" w:eastAsia="宋体" w:cs="Times New Roman"/>
                <w:color w:val="auto"/>
                <w:sz w:val="24"/>
                <w:szCs w:val="32"/>
                <w:lang w:val="en-US" w:eastAsia="zh-CN"/>
              </w:rPr>
              <w:t>的陶化剂</w:t>
            </w:r>
            <w:r>
              <w:rPr>
                <w:rFonts w:hint="eastAsia" w:cs="Times New Roman"/>
                <w:color w:val="auto"/>
                <w:sz w:val="24"/>
                <w:szCs w:val="32"/>
                <w:lang w:val="en-US" w:eastAsia="zh-CN"/>
              </w:rPr>
              <w:t>，</w:t>
            </w:r>
            <w:r>
              <w:rPr>
                <w:rFonts w:hint="eastAsia" w:cs="Times New Roman"/>
                <w:b w:val="0"/>
                <w:bCs w:val="0"/>
                <w:color w:val="auto"/>
                <w:sz w:val="24"/>
                <w:szCs w:val="32"/>
                <w:lang w:val="en-US" w:eastAsia="zh-CN"/>
              </w:rPr>
              <w:t>陶化后的工件需先后进行自来水喷淋清洗（水洗3槽）和自来水</w:t>
            </w:r>
            <w:r>
              <w:rPr>
                <w:rFonts w:hint="default" w:ascii="Times New Roman" w:hAnsi="Times New Roman" w:eastAsia="宋体" w:cs="Times New Roman"/>
                <w:color w:val="auto"/>
                <w:sz w:val="24"/>
                <w:szCs w:val="32"/>
                <w:lang w:val="en-US" w:eastAsia="zh-CN"/>
              </w:rPr>
              <w:t>浸槽清洗</w:t>
            </w:r>
            <w:r>
              <w:rPr>
                <w:rFonts w:hint="eastAsia" w:cs="Times New Roman"/>
                <w:color w:val="auto"/>
                <w:sz w:val="24"/>
                <w:szCs w:val="32"/>
                <w:lang w:val="en-US" w:eastAsia="zh-CN"/>
              </w:rPr>
              <w:t>（水洗4槽）</w:t>
            </w:r>
            <w:r>
              <w:rPr>
                <w:rFonts w:hint="eastAsia" w:cs="Times New Roman"/>
                <w:b w:val="0"/>
                <w:bCs w:val="0"/>
                <w:color w:val="auto"/>
                <w:sz w:val="24"/>
                <w:szCs w:val="32"/>
                <w:lang w:val="en-US" w:eastAsia="zh-CN"/>
              </w:rPr>
              <w:t>。</w:t>
            </w:r>
            <w:r>
              <w:rPr>
                <w:rFonts w:hint="eastAsia" w:cs="Times New Roman"/>
                <w:color w:val="auto"/>
                <w:sz w:val="24"/>
                <w:szCs w:val="32"/>
                <w:lang w:val="en-US" w:eastAsia="zh-CN"/>
              </w:rPr>
              <w:t>水洗3槽槽液</w:t>
            </w:r>
            <w:r>
              <w:rPr>
                <w:rFonts w:hint="default" w:ascii="Times New Roman" w:hAnsi="Times New Roman" w:eastAsia="宋体" w:cs="Times New Roman"/>
                <w:color w:val="auto"/>
                <w:sz w:val="24"/>
                <w:szCs w:val="32"/>
                <w:lang w:val="en-US" w:eastAsia="zh-CN"/>
              </w:rPr>
              <w:t>循环使用，每三天彻底更换一次</w:t>
            </w:r>
            <w:r>
              <w:rPr>
                <w:rFonts w:hint="eastAsia" w:cs="Times New Roman"/>
                <w:color w:val="auto"/>
                <w:sz w:val="24"/>
                <w:szCs w:val="32"/>
                <w:lang w:val="en-US" w:eastAsia="zh-CN"/>
              </w:rPr>
              <w:t>；</w:t>
            </w:r>
            <w:r>
              <w:rPr>
                <w:rFonts w:hint="default" w:ascii="Times New Roman" w:hAnsi="Times New Roman" w:eastAsia="宋体" w:cs="Times New Roman"/>
                <w:color w:val="auto"/>
                <w:sz w:val="24"/>
                <w:szCs w:val="32"/>
              </w:rPr>
              <w:t>水洗</w:t>
            </w:r>
            <w:r>
              <w:rPr>
                <w:rFonts w:hint="eastAsia" w:cs="Times New Roman"/>
                <w:color w:val="auto"/>
                <w:sz w:val="24"/>
                <w:szCs w:val="32"/>
                <w:lang w:val="en-US" w:eastAsia="zh-CN"/>
              </w:rPr>
              <w:t>4</w:t>
            </w:r>
            <w:r>
              <w:rPr>
                <w:rFonts w:hint="default" w:ascii="Times New Roman" w:hAnsi="Times New Roman" w:eastAsia="宋体" w:cs="Times New Roman"/>
                <w:color w:val="auto"/>
                <w:sz w:val="24"/>
                <w:szCs w:val="32"/>
                <w:lang w:val="en-US" w:eastAsia="zh-CN"/>
              </w:rPr>
              <w:t>槽槽</w:t>
            </w:r>
            <w:r>
              <w:rPr>
                <w:rFonts w:hint="default" w:ascii="Times New Roman" w:hAnsi="Times New Roman" w:eastAsia="宋体" w:cs="Times New Roman"/>
                <w:color w:val="auto"/>
                <w:sz w:val="24"/>
                <w:szCs w:val="32"/>
              </w:rPr>
              <w:t>液</w:t>
            </w:r>
            <w:r>
              <w:rPr>
                <w:rFonts w:hint="default" w:ascii="Times New Roman" w:hAnsi="Times New Roman" w:eastAsia="宋体" w:cs="Times New Roman"/>
                <w:color w:val="auto"/>
                <w:sz w:val="24"/>
                <w:szCs w:val="32"/>
                <w:lang w:val="en-US" w:eastAsia="zh-CN"/>
              </w:rPr>
              <w:t>循环使用，每半个月彻底更换一次</w:t>
            </w:r>
            <w:r>
              <w:rPr>
                <w:rFonts w:hint="eastAsia" w:cs="Times New Roman"/>
                <w:color w:val="auto"/>
                <w:sz w:val="24"/>
                <w:szCs w:val="32"/>
                <w:lang w:val="en-US" w:eastAsia="zh-CN"/>
              </w:rPr>
              <w:t>。</w:t>
            </w:r>
            <w:r>
              <w:rPr>
                <w:rFonts w:hint="default" w:ascii="Times New Roman" w:hAnsi="Times New Roman" w:eastAsia="宋体" w:cs="Times New Roman"/>
                <w:color w:val="auto"/>
                <w:sz w:val="24"/>
                <w:szCs w:val="32"/>
              </w:rPr>
              <w:t>此</w:t>
            </w:r>
            <w:r>
              <w:rPr>
                <w:rFonts w:hint="eastAsia" w:cs="Times New Roman"/>
                <w:color w:val="auto"/>
                <w:sz w:val="24"/>
                <w:szCs w:val="32"/>
                <w:lang w:val="en-US" w:eastAsia="zh-CN"/>
              </w:rPr>
              <w:t>工段</w:t>
            </w:r>
            <w:r>
              <w:rPr>
                <w:rFonts w:hint="default" w:ascii="Times New Roman" w:hAnsi="Times New Roman" w:eastAsia="宋体" w:cs="Times New Roman"/>
                <w:color w:val="auto"/>
                <w:sz w:val="24"/>
                <w:szCs w:val="32"/>
              </w:rPr>
              <w:t>产生</w:t>
            </w:r>
            <w:r>
              <w:rPr>
                <w:rFonts w:hint="eastAsia" w:cs="Times New Roman"/>
                <w:color w:val="auto"/>
                <w:sz w:val="24"/>
                <w:szCs w:val="32"/>
                <w:lang w:val="en-US" w:eastAsia="zh-CN"/>
              </w:rPr>
              <w:t>W4</w:t>
            </w:r>
            <w:r>
              <w:rPr>
                <w:rFonts w:hint="default" w:ascii="Times New Roman" w:hAnsi="Times New Roman" w:eastAsia="宋体" w:cs="Times New Roman"/>
                <w:color w:val="auto"/>
                <w:sz w:val="24"/>
                <w:szCs w:val="32"/>
                <w:lang w:val="en-US" w:eastAsia="zh-CN"/>
              </w:rPr>
              <w:t>清洗</w:t>
            </w:r>
            <w:r>
              <w:rPr>
                <w:rFonts w:hint="default" w:ascii="Times New Roman" w:hAnsi="Times New Roman" w:eastAsia="宋体" w:cs="Times New Roman"/>
                <w:color w:val="auto"/>
                <w:sz w:val="24"/>
                <w:szCs w:val="32"/>
              </w:rPr>
              <w:t>废水。</w:t>
            </w:r>
          </w:p>
          <w:p>
            <w:pPr>
              <w:snapToGrid w:val="0"/>
              <w:spacing w:line="360" w:lineRule="auto"/>
              <w:ind w:firstLine="482" w:firstLineChars="200"/>
              <w:rPr>
                <w:rFonts w:hint="default" w:ascii="Times New Roman" w:hAnsi="Times New Roman" w:eastAsia="宋体" w:cs="Times New Roman"/>
                <w:color w:val="auto"/>
                <w:sz w:val="24"/>
                <w:szCs w:val="32"/>
              </w:rPr>
            </w:pPr>
            <w:r>
              <w:rPr>
                <w:rFonts w:hint="default" w:ascii="Times New Roman" w:hAnsi="Times New Roman" w:eastAsia="宋体" w:cs="Times New Roman"/>
                <w:b/>
                <w:bCs/>
                <w:color w:val="auto"/>
                <w:sz w:val="24"/>
                <w:szCs w:val="32"/>
              </w:rPr>
              <w:t>纯水洗：</w:t>
            </w:r>
            <w:r>
              <w:rPr>
                <w:rFonts w:hint="default" w:ascii="Times New Roman" w:hAnsi="Times New Roman" w:eastAsia="宋体" w:cs="Times New Roman"/>
                <w:color w:val="auto"/>
                <w:sz w:val="24"/>
                <w:szCs w:val="32"/>
              </w:rPr>
              <w:t>将水洗后的工件浸入</w:t>
            </w:r>
            <w:r>
              <w:rPr>
                <w:rFonts w:hint="eastAsia" w:cs="Times New Roman"/>
                <w:color w:val="auto"/>
                <w:sz w:val="24"/>
                <w:szCs w:val="32"/>
                <w:lang w:val="en-US" w:eastAsia="zh-CN"/>
              </w:rPr>
              <w:t>纯水洗1槽</w:t>
            </w:r>
            <w:r>
              <w:rPr>
                <w:rFonts w:hint="default" w:ascii="Times New Roman" w:hAnsi="Times New Roman" w:eastAsia="宋体" w:cs="Times New Roman"/>
                <w:color w:val="auto"/>
                <w:sz w:val="24"/>
                <w:szCs w:val="32"/>
              </w:rPr>
              <w:t>中，用常温纯水进一步去除工件表面</w:t>
            </w:r>
            <w:r>
              <w:rPr>
                <w:rFonts w:hint="default" w:ascii="Times New Roman" w:hAnsi="Times New Roman" w:eastAsia="宋体" w:cs="Times New Roman"/>
                <w:color w:val="auto"/>
                <w:sz w:val="24"/>
                <w:szCs w:val="32"/>
                <w:lang w:val="en-US" w:eastAsia="zh-CN"/>
              </w:rPr>
              <w:t>的钙镁离子等杂质</w:t>
            </w:r>
            <w:r>
              <w:rPr>
                <w:rFonts w:hint="default" w:ascii="Times New Roman" w:hAnsi="Times New Roman" w:eastAsia="宋体" w:cs="Times New Roman"/>
                <w:color w:val="auto"/>
                <w:sz w:val="24"/>
                <w:szCs w:val="32"/>
              </w:rPr>
              <w:t>，</w:t>
            </w:r>
            <w:r>
              <w:rPr>
                <w:rFonts w:hint="default" w:ascii="Times New Roman" w:hAnsi="Times New Roman" w:eastAsia="宋体" w:cs="Times New Roman"/>
                <w:color w:val="auto"/>
                <w:sz w:val="24"/>
                <w:szCs w:val="32"/>
                <w:lang w:val="en-US" w:eastAsia="zh-CN"/>
              </w:rPr>
              <w:t>保证进入电泳槽工件表面的电导率低，</w:t>
            </w:r>
            <w:r>
              <w:rPr>
                <w:rFonts w:hint="default" w:ascii="Times New Roman" w:hAnsi="Times New Roman" w:eastAsia="宋体" w:cs="Times New Roman"/>
                <w:color w:val="auto"/>
                <w:sz w:val="24"/>
                <w:szCs w:val="32"/>
              </w:rPr>
              <w:t>纯</w:t>
            </w:r>
            <w:r>
              <w:rPr>
                <w:rFonts w:hint="eastAsia" w:cs="Times New Roman"/>
                <w:color w:val="auto"/>
                <w:sz w:val="24"/>
                <w:szCs w:val="32"/>
                <w:lang w:val="en-US" w:eastAsia="zh-CN"/>
              </w:rPr>
              <w:t>水洗1</w:t>
            </w:r>
            <w:r>
              <w:rPr>
                <w:rFonts w:hint="default" w:ascii="Times New Roman" w:hAnsi="Times New Roman" w:eastAsia="宋体" w:cs="Times New Roman"/>
                <w:color w:val="auto"/>
                <w:sz w:val="24"/>
                <w:szCs w:val="32"/>
              </w:rPr>
              <w:t>槽</w:t>
            </w:r>
            <w:r>
              <w:rPr>
                <w:rFonts w:hint="eastAsia" w:cs="Times New Roman"/>
                <w:color w:val="auto"/>
                <w:sz w:val="24"/>
                <w:szCs w:val="32"/>
                <w:lang w:val="en-US" w:eastAsia="zh-CN"/>
              </w:rPr>
              <w:t>槽液每</w:t>
            </w:r>
            <w:r>
              <w:rPr>
                <w:rFonts w:hint="default" w:ascii="Times New Roman" w:hAnsi="Times New Roman" w:eastAsia="宋体" w:cs="Times New Roman"/>
                <w:color w:val="auto"/>
                <w:sz w:val="24"/>
                <w:szCs w:val="32"/>
              </w:rPr>
              <w:t>三天溢流排放一次，此</w:t>
            </w:r>
            <w:r>
              <w:rPr>
                <w:rFonts w:hint="eastAsia" w:cs="Times New Roman"/>
                <w:color w:val="auto"/>
                <w:sz w:val="24"/>
                <w:szCs w:val="32"/>
                <w:lang w:val="en-US" w:eastAsia="zh-CN"/>
              </w:rPr>
              <w:t>工段</w:t>
            </w:r>
            <w:r>
              <w:rPr>
                <w:rFonts w:hint="default" w:ascii="Times New Roman" w:hAnsi="Times New Roman" w:eastAsia="宋体" w:cs="Times New Roman"/>
                <w:color w:val="auto"/>
                <w:sz w:val="24"/>
                <w:szCs w:val="32"/>
              </w:rPr>
              <w:t>产生</w:t>
            </w:r>
            <w:r>
              <w:rPr>
                <w:rFonts w:hint="eastAsia" w:cs="Times New Roman"/>
                <w:color w:val="auto"/>
                <w:sz w:val="24"/>
                <w:szCs w:val="32"/>
                <w:lang w:val="en-US" w:eastAsia="zh-CN"/>
              </w:rPr>
              <w:t>W5清洗废水</w:t>
            </w:r>
            <w:r>
              <w:rPr>
                <w:rFonts w:hint="default" w:ascii="Times New Roman" w:hAnsi="Times New Roman" w:eastAsia="宋体" w:cs="Times New Roman"/>
                <w:color w:val="auto"/>
                <w:sz w:val="24"/>
                <w:szCs w:val="32"/>
              </w:rPr>
              <w:t>。</w:t>
            </w:r>
          </w:p>
          <w:p>
            <w:pPr>
              <w:snapToGrid w:val="0"/>
              <w:spacing w:line="360" w:lineRule="auto"/>
              <w:ind w:firstLine="482" w:firstLineChars="200"/>
              <w:rPr>
                <w:rFonts w:hint="default" w:ascii="Times New Roman" w:hAnsi="Times New Roman" w:eastAsia="宋体" w:cs="Times New Roman"/>
                <w:color w:val="auto"/>
                <w:sz w:val="24"/>
                <w:szCs w:val="32"/>
              </w:rPr>
            </w:pPr>
            <w:r>
              <w:rPr>
                <w:rFonts w:hint="default" w:ascii="Times New Roman" w:hAnsi="Times New Roman" w:eastAsia="宋体" w:cs="Times New Roman"/>
                <w:b/>
                <w:bCs/>
                <w:color w:val="auto"/>
                <w:sz w:val="24"/>
                <w:szCs w:val="32"/>
              </w:rPr>
              <w:t>电泳：</w:t>
            </w:r>
            <w:r>
              <w:rPr>
                <w:rFonts w:hint="default" w:ascii="Times New Roman" w:hAnsi="Times New Roman" w:eastAsia="宋体" w:cs="Times New Roman"/>
                <w:color w:val="auto"/>
                <w:sz w:val="24"/>
                <w:szCs w:val="32"/>
              </w:rPr>
              <w:t>工件进入电泳槽，本项目采用阴极电泳涂装，通电后，阳离子涂料离子向阴极工件移动，继而沉积在工件上，在工件表面形成均匀连续的涂膜。当涂膜达到一定厚度（漆膜电阻大到一定程度），工件表面形成绝缘层，电泳涂装结束</w:t>
            </w:r>
            <w:r>
              <w:rPr>
                <w:rFonts w:hint="default" w:ascii="Times New Roman" w:hAnsi="Times New Roman" w:eastAsia="宋体" w:cs="Times New Roman"/>
                <w:color w:val="auto"/>
                <w:sz w:val="24"/>
                <w:szCs w:val="32"/>
                <w:lang w:eastAsia="zh-CN"/>
              </w:rPr>
              <w:t>。</w:t>
            </w:r>
            <w:r>
              <w:rPr>
                <w:rFonts w:hint="default" w:ascii="Times New Roman" w:hAnsi="Times New Roman" w:eastAsia="宋体" w:cs="Times New Roman"/>
                <w:color w:val="auto"/>
                <w:sz w:val="24"/>
                <w:szCs w:val="32"/>
                <w:lang w:val="en-US" w:eastAsia="zh-CN"/>
              </w:rPr>
              <w:t>本项目电泳漆由色浆、乳化、调整剂按比例调配而成</w:t>
            </w:r>
            <w:r>
              <w:rPr>
                <w:rFonts w:hint="eastAsia" w:cs="Times New Roman"/>
                <w:color w:val="auto"/>
                <w:sz w:val="24"/>
                <w:szCs w:val="32"/>
                <w:lang w:val="en-US" w:eastAsia="zh-CN"/>
              </w:rPr>
              <w:t>。</w:t>
            </w:r>
          </w:p>
          <w:p>
            <w:pPr>
              <w:snapToGrid w:val="0"/>
              <w:spacing w:line="360" w:lineRule="auto"/>
              <w:ind w:firstLine="480" w:firstLineChars="200"/>
              <w:rPr>
                <w:rFonts w:hint="default" w:ascii="Times New Roman" w:hAnsi="Times New Roman" w:eastAsia="宋体" w:cs="Times New Roman"/>
                <w:color w:val="auto"/>
                <w:sz w:val="24"/>
                <w:szCs w:val="32"/>
              </w:rPr>
            </w:pPr>
            <w:r>
              <w:rPr>
                <w:rFonts w:hint="default" w:ascii="Times New Roman" w:hAnsi="Times New Roman" w:eastAsia="宋体" w:cs="Times New Roman"/>
                <w:color w:val="auto"/>
                <w:sz w:val="24"/>
                <w:szCs w:val="32"/>
              </w:rPr>
              <w:t>①电泳工作原理：</w:t>
            </w:r>
          </w:p>
          <w:p>
            <w:pPr>
              <w:snapToGrid w:val="0"/>
              <w:spacing w:line="360" w:lineRule="auto"/>
              <w:ind w:firstLine="480" w:firstLineChars="200"/>
              <w:rPr>
                <w:rFonts w:hint="default" w:ascii="Times New Roman" w:hAnsi="Times New Roman" w:eastAsia="宋体" w:cs="Times New Roman"/>
                <w:color w:val="auto"/>
                <w:sz w:val="24"/>
                <w:szCs w:val="32"/>
              </w:rPr>
            </w:pPr>
            <w:r>
              <w:rPr>
                <w:rFonts w:hint="default" w:ascii="Times New Roman" w:hAnsi="Times New Roman" w:eastAsia="宋体" w:cs="Times New Roman"/>
                <w:color w:val="auto"/>
                <w:sz w:val="24"/>
                <w:szCs w:val="32"/>
              </w:rPr>
              <w:t>电泳是在外加电场的作用下，使分离于电泳液的涂料微粒定向迁移并沉积于电极之一的工件表面形成保护性涂层，电泳涂装是一个极为复杂的电化学反应过程，包含电泳、电沉积、电渗、电解四个过程；电泳涂装可分为阳极电泳（被涂工件是阳极、涂料电泳漆是阴离子型）和阴极电泳涂装（被涂工件是阴极、涂料电泳漆是阳离子型）</w:t>
            </w:r>
            <w:r>
              <w:rPr>
                <w:rFonts w:hint="default" w:ascii="Times New Roman" w:hAnsi="Times New Roman" w:eastAsia="宋体" w:cs="Times New Roman"/>
                <w:color w:val="auto"/>
                <w:sz w:val="24"/>
                <w:szCs w:val="32"/>
                <w:lang w:eastAsia="zh-CN"/>
              </w:rPr>
              <w:t>。</w:t>
            </w:r>
            <w:r>
              <w:rPr>
                <w:rFonts w:hint="default" w:ascii="Times New Roman" w:hAnsi="Times New Roman" w:eastAsia="宋体" w:cs="Times New Roman"/>
                <w:color w:val="auto"/>
                <w:sz w:val="24"/>
                <w:szCs w:val="32"/>
                <w:lang w:val="en-US" w:eastAsia="zh-CN"/>
              </w:rPr>
              <w:t>本项目电泳涂装属阴极电泳，采用阳离子树脂电泳漆</w:t>
            </w:r>
            <w:r>
              <w:rPr>
                <w:rFonts w:hint="default" w:ascii="Times New Roman" w:hAnsi="Times New Roman" w:eastAsia="宋体" w:cs="Times New Roman"/>
                <w:color w:val="auto"/>
                <w:sz w:val="24"/>
                <w:szCs w:val="32"/>
              </w:rPr>
              <w:t>。</w:t>
            </w:r>
          </w:p>
          <w:p>
            <w:pPr>
              <w:snapToGrid w:val="0"/>
              <w:spacing w:line="360" w:lineRule="auto"/>
              <w:ind w:firstLine="480" w:firstLineChars="200"/>
              <w:rPr>
                <w:rFonts w:hint="default" w:ascii="Times New Roman" w:hAnsi="Times New Roman" w:eastAsia="宋体" w:cs="Times New Roman"/>
                <w:color w:val="auto"/>
                <w:sz w:val="24"/>
                <w:szCs w:val="32"/>
              </w:rPr>
            </w:pPr>
            <w:r>
              <w:rPr>
                <w:rFonts w:hint="default" w:ascii="Times New Roman" w:hAnsi="Times New Roman" w:eastAsia="宋体" w:cs="Times New Roman"/>
                <w:color w:val="auto"/>
                <w:sz w:val="24"/>
                <w:szCs w:val="32"/>
              </w:rPr>
              <w:t>A：电解</w:t>
            </w:r>
          </w:p>
          <w:p>
            <w:pPr>
              <w:snapToGrid w:val="0"/>
              <w:spacing w:line="360" w:lineRule="auto"/>
              <w:ind w:firstLine="480" w:firstLineChars="200"/>
              <w:rPr>
                <w:rFonts w:hint="default" w:ascii="Times New Roman" w:hAnsi="Times New Roman" w:eastAsia="宋体" w:cs="Times New Roman"/>
                <w:color w:val="auto"/>
                <w:sz w:val="24"/>
                <w:szCs w:val="32"/>
              </w:rPr>
            </w:pPr>
            <w:r>
              <w:rPr>
                <w:rFonts w:hint="default" w:ascii="Times New Roman" w:hAnsi="Times New Roman" w:eastAsia="宋体" w:cs="Times New Roman"/>
                <w:color w:val="auto"/>
                <w:sz w:val="24"/>
                <w:szCs w:val="32"/>
              </w:rPr>
              <w:t>阴极反应最初为电解反应，生成氢气及氢氧根离子，此反应造成阴极面形成高碱性边界层，当阳离子与氢氧根作用成为不溶于水的物质，涂膜沉积。</w:t>
            </w:r>
          </w:p>
          <w:p>
            <w:pPr>
              <w:snapToGrid w:val="0"/>
              <w:spacing w:line="360" w:lineRule="auto"/>
              <w:ind w:firstLine="480" w:firstLineChars="200"/>
              <w:rPr>
                <w:rFonts w:hint="default" w:ascii="Times New Roman" w:hAnsi="Times New Roman" w:eastAsia="宋体" w:cs="Times New Roman"/>
                <w:color w:val="auto"/>
                <w:sz w:val="24"/>
                <w:szCs w:val="32"/>
                <w:vertAlign w:val="superscript"/>
              </w:rPr>
            </w:pPr>
            <w:r>
              <w:rPr>
                <w:rFonts w:hint="default" w:ascii="Times New Roman" w:hAnsi="Times New Roman" w:eastAsia="宋体" w:cs="Times New Roman"/>
                <w:color w:val="auto"/>
                <w:sz w:val="24"/>
                <w:szCs w:val="32"/>
              </w:rPr>
              <w:t>阳极上：2H</w:t>
            </w:r>
            <w:r>
              <w:rPr>
                <w:rFonts w:hint="default" w:ascii="Times New Roman" w:hAnsi="Times New Roman" w:eastAsia="宋体" w:cs="Times New Roman"/>
                <w:color w:val="auto"/>
                <w:sz w:val="24"/>
                <w:szCs w:val="32"/>
                <w:vertAlign w:val="subscript"/>
              </w:rPr>
              <w:t>2</w:t>
            </w:r>
            <w:r>
              <w:rPr>
                <w:rFonts w:hint="eastAsia" w:cs="Times New Roman"/>
                <w:color w:val="auto"/>
                <w:sz w:val="24"/>
                <w:szCs w:val="32"/>
                <w:lang w:val="en-US" w:eastAsia="zh-CN"/>
              </w:rPr>
              <w:t>O</w:t>
            </w:r>
            <w:r>
              <w:rPr>
                <w:rFonts w:hint="default" w:ascii="Times New Roman" w:hAnsi="Times New Roman" w:eastAsia="宋体" w:cs="Times New Roman"/>
                <w:color w:val="auto"/>
                <w:sz w:val="24"/>
                <w:szCs w:val="32"/>
              </w:rPr>
              <w:t>-4e→O</w:t>
            </w:r>
            <w:r>
              <w:rPr>
                <w:rFonts w:hint="default" w:ascii="Times New Roman" w:hAnsi="Times New Roman" w:eastAsia="宋体" w:cs="Times New Roman"/>
                <w:color w:val="auto"/>
                <w:sz w:val="24"/>
                <w:szCs w:val="32"/>
                <w:vertAlign w:val="subscript"/>
              </w:rPr>
              <w:t>2</w:t>
            </w:r>
            <w:r>
              <w:rPr>
                <w:rFonts w:hint="default" w:ascii="Times New Roman" w:hAnsi="Times New Roman" w:eastAsia="宋体" w:cs="Times New Roman"/>
                <w:color w:val="auto"/>
                <w:sz w:val="24"/>
                <w:szCs w:val="32"/>
              </w:rPr>
              <w:t>↑+4H</w:t>
            </w:r>
            <w:r>
              <w:rPr>
                <w:rFonts w:hint="default" w:ascii="Times New Roman" w:hAnsi="Times New Roman" w:eastAsia="宋体" w:cs="Times New Roman"/>
                <w:color w:val="auto"/>
                <w:sz w:val="24"/>
                <w:szCs w:val="32"/>
                <w:vertAlign w:val="superscript"/>
              </w:rPr>
              <w:t>+</w:t>
            </w:r>
          </w:p>
          <w:p>
            <w:pPr>
              <w:snapToGrid w:val="0"/>
              <w:spacing w:line="360" w:lineRule="auto"/>
              <w:ind w:firstLine="480" w:firstLineChars="200"/>
              <w:rPr>
                <w:rFonts w:hint="default" w:ascii="Times New Roman" w:hAnsi="Times New Roman" w:eastAsia="宋体" w:cs="Times New Roman"/>
                <w:color w:val="auto"/>
                <w:sz w:val="24"/>
                <w:szCs w:val="32"/>
              </w:rPr>
            </w:pPr>
            <w:r>
              <w:rPr>
                <w:rFonts w:hint="default" w:ascii="Times New Roman" w:hAnsi="Times New Roman" w:eastAsia="宋体" w:cs="Times New Roman"/>
                <w:color w:val="auto"/>
                <w:sz w:val="24"/>
                <w:szCs w:val="32"/>
              </w:rPr>
              <w:t>阴极上：2H</w:t>
            </w:r>
            <w:r>
              <w:rPr>
                <w:rFonts w:hint="default" w:ascii="Times New Roman" w:hAnsi="Times New Roman" w:eastAsia="宋体" w:cs="Times New Roman"/>
                <w:color w:val="auto"/>
                <w:sz w:val="24"/>
                <w:szCs w:val="32"/>
                <w:vertAlign w:val="subscript"/>
              </w:rPr>
              <w:t>2</w:t>
            </w:r>
            <w:r>
              <w:rPr>
                <w:rFonts w:hint="eastAsia" w:cs="Times New Roman"/>
                <w:color w:val="auto"/>
                <w:sz w:val="24"/>
                <w:szCs w:val="32"/>
                <w:lang w:val="en-US" w:eastAsia="zh-CN"/>
              </w:rPr>
              <w:t>O</w:t>
            </w:r>
            <w:r>
              <w:rPr>
                <w:rFonts w:hint="default" w:ascii="Times New Roman" w:hAnsi="Times New Roman" w:eastAsia="宋体" w:cs="Times New Roman"/>
                <w:color w:val="auto"/>
                <w:sz w:val="24"/>
                <w:szCs w:val="32"/>
              </w:rPr>
              <w:t>+2e→H</w:t>
            </w:r>
            <w:r>
              <w:rPr>
                <w:rFonts w:hint="default" w:ascii="Times New Roman" w:hAnsi="Times New Roman" w:eastAsia="宋体" w:cs="Times New Roman"/>
                <w:color w:val="auto"/>
                <w:sz w:val="24"/>
                <w:szCs w:val="32"/>
                <w:vertAlign w:val="subscript"/>
              </w:rPr>
              <w:t>2</w:t>
            </w:r>
            <w:r>
              <w:rPr>
                <w:rFonts w:hint="default" w:ascii="Times New Roman" w:hAnsi="Times New Roman" w:eastAsia="宋体" w:cs="Times New Roman"/>
                <w:color w:val="auto"/>
                <w:sz w:val="24"/>
                <w:szCs w:val="32"/>
              </w:rPr>
              <w:t>↑+2OH</w:t>
            </w:r>
            <w:r>
              <w:rPr>
                <w:rFonts w:hint="default" w:ascii="Times New Roman" w:hAnsi="Times New Roman" w:eastAsia="宋体" w:cs="Times New Roman"/>
                <w:color w:val="auto"/>
                <w:sz w:val="24"/>
                <w:szCs w:val="32"/>
                <w:vertAlign w:val="superscript"/>
              </w:rPr>
              <w:t>-</w:t>
            </w:r>
          </w:p>
          <w:p>
            <w:pPr>
              <w:snapToGrid w:val="0"/>
              <w:spacing w:line="360" w:lineRule="auto"/>
              <w:ind w:firstLine="480" w:firstLineChars="200"/>
              <w:rPr>
                <w:rFonts w:hint="default" w:ascii="Times New Roman" w:hAnsi="Times New Roman" w:eastAsia="宋体" w:cs="Times New Roman"/>
                <w:color w:val="auto"/>
                <w:sz w:val="24"/>
                <w:szCs w:val="32"/>
              </w:rPr>
            </w:pPr>
            <w:r>
              <w:rPr>
                <w:rFonts w:hint="default" w:ascii="Times New Roman" w:hAnsi="Times New Roman" w:eastAsia="宋体" w:cs="Times New Roman"/>
                <w:color w:val="auto"/>
                <w:sz w:val="24"/>
                <w:szCs w:val="32"/>
              </w:rPr>
              <w:t>B：电泳动（泳动、迁移）</w:t>
            </w:r>
          </w:p>
          <w:p>
            <w:pPr>
              <w:snapToGrid w:val="0"/>
              <w:spacing w:line="360" w:lineRule="auto"/>
              <w:ind w:firstLine="480" w:firstLineChars="200"/>
              <w:rPr>
                <w:rFonts w:hint="default" w:ascii="Times New Roman" w:hAnsi="Times New Roman" w:eastAsia="宋体" w:cs="Times New Roman"/>
                <w:color w:val="auto"/>
                <w:sz w:val="24"/>
                <w:szCs w:val="32"/>
              </w:rPr>
            </w:pPr>
            <w:r>
              <w:rPr>
                <w:rFonts w:hint="default" w:ascii="Times New Roman" w:hAnsi="Times New Roman" w:eastAsia="宋体" w:cs="Times New Roman"/>
                <w:color w:val="auto"/>
                <w:sz w:val="24"/>
                <w:szCs w:val="32"/>
              </w:rPr>
              <w:t>阳离子树脂及H</w:t>
            </w:r>
            <w:r>
              <w:rPr>
                <w:rFonts w:hint="default" w:ascii="Times New Roman" w:hAnsi="Times New Roman" w:eastAsia="宋体" w:cs="Times New Roman"/>
                <w:color w:val="auto"/>
                <w:sz w:val="24"/>
                <w:szCs w:val="32"/>
                <w:vertAlign w:val="superscript"/>
              </w:rPr>
              <w:t>+</w:t>
            </w:r>
            <w:r>
              <w:rPr>
                <w:rFonts w:hint="default" w:ascii="Times New Roman" w:hAnsi="Times New Roman" w:eastAsia="宋体" w:cs="Times New Roman"/>
                <w:color w:val="auto"/>
                <w:sz w:val="24"/>
                <w:szCs w:val="32"/>
              </w:rPr>
              <w:t>在电场作用下，向阴极移动，而阴离子向阳极移动过程。</w:t>
            </w:r>
          </w:p>
          <w:p>
            <w:pPr>
              <w:snapToGrid w:val="0"/>
              <w:spacing w:line="360" w:lineRule="auto"/>
              <w:ind w:firstLine="480" w:firstLineChars="200"/>
              <w:rPr>
                <w:rFonts w:hint="default" w:ascii="Times New Roman" w:hAnsi="Times New Roman" w:eastAsia="宋体" w:cs="Times New Roman"/>
                <w:color w:val="auto"/>
                <w:sz w:val="24"/>
                <w:szCs w:val="32"/>
              </w:rPr>
            </w:pPr>
            <w:r>
              <w:rPr>
                <w:rFonts w:hint="default" w:ascii="Times New Roman" w:hAnsi="Times New Roman" w:eastAsia="宋体" w:cs="Times New Roman"/>
                <w:color w:val="auto"/>
                <w:sz w:val="24"/>
                <w:szCs w:val="32"/>
              </w:rPr>
              <w:t>C：电沉积（析出）</w:t>
            </w:r>
          </w:p>
          <w:p>
            <w:pPr>
              <w:snapToGrid w:val="0"/>
              <w:spacing w:line="360" w:lineRule="auto"/>
              <w:ind w:firstLine="480" w:firstLineChars="200"/>
              <w:rPr>
                <w:rFonts w:hint="default" w:ascii="Times New Roman" w:hAnsi="Times New Roman" w:eastAsia="宋体" w:cs="Times New Roman"/>
                <w:color w:val="auto"/>
                <w:sz w:val="24"/>
                <w:szCs w:val="32"/>
              </w:rPr>
            </w:pPr>
            <w:r>
              <w:rPr>
                <w:rFonts w:hint="default" w:ascii="Times New Roman" w:hAnsi="Times New Roman" w:eastAsia="宋体" w:cs="Times New Roman"/>
                <w:color w:val="auto"/>
                <w:sz w:val="24"/>
                <w:szCs w:val="32"/>
              </w:rPr>
              <w:t>在被涂工件表面，阳离子树脂与阴极表面碱性作用，中和而析出沉积物，沉积于被涂工件上。</w:t>
            </w:r>
          </w:p>
          <w:p>
            <w:pPr>
              <w:snapToGrid w:val="0"/>
              <w:spacing w:line="360" w:lineRule="auto"/>
              <w:ind w:firstLine="480" w:firstLineChars="200"/>
              <w:rPr>
                <w:rFonts w:hint="default" w:ascii="Times New Roman" w:hAnsi="Times New Roman" w:eastAsia="宋体" w:cs="Times New Roman"/>
                <w:color w:val="auto"/>
                <w:sz w:val="24"/>
                <w:szCs w:val="32"/>
              </w:rPr>
            </w:pPr>
            <w:r>
              <w:rPr>
                <w:rFonts w:hint="default" w:ascii="Times New Roman" w:hAnsi="Times New Roman" w:eastAsia="宋体" w:cs="Times New Roman"/>
                <w:color w:val="auto"/>
                <w:sz w:val="24"/>
                <w:szCs w:val="32"/>
              </w:rPr>
              <w:t>D：电渗（脱水）</w:t>
            </w:r>
          </w:p>
          <w:p>
            <w:pPr>
              <w:snapToGrid w:val="0"/>
              <w:spacing w:line="360" w:lineRule="auto"/>
              <w:ind w:firstLine="480" w:firstLineChars="200"/>
              <w:rPr>
                <w:rFonts w:hint="default" w:ascii="Times New Roman" w:hAnsi="Times New Roman" w:eastAsia="宋体" w:cs="Times New Roman"/>
                <w:color w:val="auto"/>
                <w:sz w:val="24"/>
                <w:szCs w:val="32"/>
              </w:rPr>
            </w:pPr>
            <w:r>
              <w:rPr>
                <w:rFonts w:hint="default" w:ascii="Times New Roman" w:hAnsi="Times New Roman" w:eastAsia="宋体" w:cs="Times New Roman"/>
                <w:color w:val="auto"/>
                <w:sz w:val="24"/>
                <w:szCs w:val="32"/>
              </w:rPr>
              <w:t>涂料固体与工件表面上的涂膜为半透明性的，具有许多毛细孔，水被从阴极涂膜中排渗出来，在电场作用下，引起涂膜脱水，而涂膜则吸附于工件表面，从而完成整个电泳过程。</w:t>
            </w:r>
          </w:p>
          <w:p>
            <w:pPr>
              <w:snapToGrid w:val="0"/>
              <w:spacing w:line="360" w:lineRule="auto"/>
              <w:ind w:firstLine="480" w:firstLineChars="200"/>
              <w:rPr>
                <w:rFonts w:hint="default" w:ascii="Times New Roman" w:hAnsi="Times New Roman" w:eastAsia="宋体" w:cs="Times New Roman"/>
                <w:color w:val="auto"/>
                <w:sz w:val="24"/>
                <w:szCs w:val="32"/>
              </w:rPr>
            </w:pPr>
            <w:r>
              <w:rPr>
                <w:rFonts w:hint="default" w:ascii="Times New Roman" w:hAnsi="Times New Roman" w:eastAsia="宋体" w:cs="Times New Roman"/>
                <w:color w:val="auto"/>
                <w:sz w:val="24"/>
                <w:szCs w:val="32"/>
              </w:rPr>
              <w:t>本项目电泳生产线工艺条件稳定，涂料损失小，阴极电泳涂装工艺涂膜厚度均匀，附着力强，涂装质量好，工件各个部位如内层、凹陷、焊缝处均能获得均匀、平滑的漆膜；电泳涂装以水为载体，涂料黏度较低，避免发生火灾的可能。</w:t>
            </w:r>
          </w:p>
          <w:p>
            <w:pPr>
              <w:snapToGrid w:val="0"/>
              <w:spacing w:line="360" w:lineRule="auto"/>
              <w:ind w:firstLine="480" w:firstLineChars="200"/>
              <w:rPr>
                <w:rFonts w:hint="default" w:ascii="Times New Roman" w:hAnsi="Times New Roman" w:eastAsia="宋体" w:cs="Times New Roman"/>
                <w:color w:val="auto"/>
                <w:sz w:val="24"/>
                <w:szCs w:val="32"/>
              </w:rPr>
            </w:pPr>
            <w:r>
              <w:rPr>
                <w:rFonts w:hint="default" w:ascii="Times New Roman" w:hAnsi="Times New Roman" w:eastAsia="宋体" w:cs="Times New Roman"/>
                <w:color w:val="auto"/>
                <w:sz w:val="24"/>
                <w:szCs w:val="32"/>
              </w:rPr>
              <w:t>电泳流水线中电泳槽是电泳系统核心。电泳槽的配置主要为：首先向电泳槽加入足量超滤水，以维持起码的循环；电泳漆与纯水以一定比例进行调配，</w:t>
            </w:r>
            <w:r>
              <w:rPr>
                <w:rFonts w:hint="default" w:ascii="Times New Roman" w:hAnsi="Times New Roman" w:eastAsia="宋体" w:cs="Times New Roman"/>
                <w:color w:val="auto"/>
                <w:sz w:val="24"/>
                <w:szCs w:val="32"/>
                <w:lang w:val="en-US" w:eastAsia="zh-CN"/>
              </w:rPr>
              <w:t>通过冷热水机将电泳槽中槽液温度控制在28-34℃，</w:t>
            </w:r>
            <w:r>
              <w:rPr>
                <w:rFonts w:hint="eastAsia" w:cs="Times New Roman"/>
                <w:color w:val="auto"/>
                <w:sz w:val="24"/>
                <w:szCs w:val="32"/>
                <w:lang w:val="en-US" w:eastAsia="zh-CN"/>
              </w:rPr>
              <w:t>电泳</w:t>
            </w:r>
            <w:r>
              <w:rPr>
                <w:rFonts w:hint="default" w:ascii="Times New Roman" w:hAnsi="Times New Roman" w:eastAsia="宋体" w:cs="Times New Roman"/>
                <w:color w:val="auto"/>
                <w:sz w:val="24"/>
                <w:szCs w:val="32"/>
              </w:rPr>
              <w:t>槽液</w:t>
            </w:r>
            <w:r>
              <w:rPr>
                <w:rFonts w:hint="default" w:ascii="Times New Roman" w:hAnsi="Times New Roman" w:eastAsia="宋体" w:cs="Times New Roman"/>
                <w:color w:val="auto"/>
                <w:sz w:val="24"/>
                <w:szCs w:val="32"/>
                <w:lang w:val="en-US" w:eastAsia="zh-CN"/>
              </w:rPr>
              <w:t>定期通过超滤系统过滤</w:t>
            </w:r>
            <w:r>
              <w:rPr>
                <w:rFonts w:hint="default" w:ascii="Times New Roman" w:hAnsi="Times New Roman" w:eastAsia="宋体" w:cs="Times New Roman"/>
                <w:color w:val="auto"/>
                <w:sz w:val="24"/>
                <w:szCs w:val="32"/>
              </w:rPr>
              <w:t>，只需定期添加其中溶液成分，使电泳液维持所需要的浓度。电泳后设置电泳液回收槽以最大的限度回收物料。电泳漆可重复使用，不外排，消耗后补加，当浓度低于20%时需添加</w:t>
            </w:r>
            <w:r>
              <w:rPr>
                <w:rFonts w:hint="default" w:ascii="Times New Roman" w:hAnsi="Times New Roman" w:eastAsia="宋体" w:cs="Times New Roman"/>
                <w:color w:val="auto"/>
                <w:sz w:val="24"/>
                <w:szCs w:val="32"/>
                <w:lang w:val="en-US" w:eastAsia="zh-CN"/>
              </w:rPr>
              <w:t>调整剂</w:t>
            </w:r>
            <w:r>
              <w:rPr>
                <w:rFonts w:hint="default" w:ascii="Times New Roman" w:hAnsi="Times New Roman" w:eastAsia="宋体" w:cs="Times New Roman"/>
                <w:color w:val="auto"/>
                <w:sz w:val="24"/>
                <w:szCs w:val="32"/>
              </w:rPr>
              <w:t>。此</w:t>
            </w:r>
            <w:r>
              <w:rPr>
                <w:rFonts w:hint="eastAsia" w:cs="Times New Roman"/>
                <w:color w:val="auto"/>
                <w:sz w:val="24"/>
                <w:szCs w:val="32"/>
                <w:lang w:val="en-US" w:eastAsia="zh-CN"/>
              </w:rPr>
              <w:t>工段</w:t>
            </w:r>
            <w:r>
              <w:rPr>
                <w:rFonts w:hint="default" w:ascii="Times New Roman" w:hAnsi="Times New Roman" w:eastAsia="宋体" w:cs="Times New Roman"/>
                <w:color w:val="auto"/>
                <w:sz w:val="24"/>
                <w:szCs w:val="32"/>
              </w:rPr>
              <w:t>会产生</w:t>
            </w:r>
            <w:r>
              <w:rPr>
                <w:rFonts w:hint="default" w:ascii="Times New Roman" w:hAnsi="Times New Roman" w:eastAsia="宋体" w:cs="Times New Roman"/>
                <w:color w:val="auto"/>
                <w:sz w:val="24"/>
                <w:szCs w:val="32"/>
                <w:lang w:val="en-US" w:eastAsia="zh-CN"/>
              </w:rPr>
              <w:t>G1电泳废气</w:t>
            </w:r>
            <w:r>
              <w:rPr>
                <w:rFonts w:hint="eastAsia" w:cs="Times New Roman"/>
                <w:color w:val="auto"/>
                <w:sz w:val="24"/>
                <w:szCs w:val="32"/>
                <w:lang w:val="en-US" w:eastAsia="zh-CN"/>
              </w:rPr>
              <w:t>、</w:t>
            </w:r>
            <w:r>
              <w:rPr>
                <w:rFonts w:hint="default" w:ascii="Times New Roman" w:hAnsi="Times New Roman" w:eastAsia="宋体" w:cs="Times New Roman"/>
                <w:color w:val="auto"/>
                <w:sz w:val="24"/>
                <w:szCs w:val="32"/>
              </w:rPr>
              <w:t>S</w:t>
            </w:r>
            <w:r>
              <w:rPr>
                <w:rFonts w:hint="eastAsia" w:cs="Times New Roman"/>
                <w:color w:val="auto"/>
                <w:sz w:val="24"/>
                <w:szCs w:val="32"/>
                <w:lang w:val="en-US" w:eastAsia="zh-CN"/>
              </w:rPr>
              <w:t>3漆渣</w:t>
            </w:r>
            <w:r>
              <w:rPr>
                <w:rFonts w:hint="default" w:ascii="Times New Roman" w:hAnsi="Times New Roman" w:eastAsia="宋体" w:cs="Times New Roman"/>
                <w:color w:val="auto"/>
                <w:sz w:val="24"/>
                <w:szCs w:val="32"/>
              </w:rPr>
              <w:t>。</w:t>
            </w:r>
          </w:p>
          <w:p>
            <w:pPr>
              <w:snapToGrid w:val="0"/>
              <w:spacing w:line="360" w:lineRule="auto"/>
              <w:ind w:firstLine="482" w:firstLineChars="200"/>
              <w:rPr>
                <w:rFonts w:hint="default" w:ascii="宋体" w:hAnsi="宋体" w:eastAsia="宋体" w:cs="宋体"/>
                <w:b/>
                <w:bCs/>
                <w:color w:val="auto"/>
                <w:sz w:val="24"/>
                <w:szCs w:val="24"/>
                <w:lang w:val="en-US" w:eastAsia="zh-CN"/>
              </w:rPr>
            </w:pPr>
            <w:r>
              <w:rPr>
                <w:rFonts w:hint="eastAsia" w:ascii="宋体" w:hAnsi="宋体" w:cs="宋体"/>
                <w:b/>
                <w:bCs/>
                <w:color w:val="auto"/>
                <w:sz w:val="24"/>
                <w:szCs w:val="24"/>
                <w:lang w:val="en-US" w:eastAsia="zh-CN"/>
              </w:rPr>
              <w:t>超滤水清洗：</w:t>
            </w:r>
            <w:r>
              <w:rPr>
                <w:rFonts w:hint="eastAsia" w:ascii="Times New Roman" w:hAnsi="Times New Roman" w:eastAsia="宋体" w:cs="Times New Roman"/>
                <w:color w:val="auto"/>
                <w:sz w:val="24"/>
                <w:szCs w:val="32"/>
                <w:lang w:val="en-US" w:eastAsia="zh-CN"/>
              </w:rPr>
              <w:t>为去除工件上</w:t>
            </w:r>
            <w:r>
              <w:rPr>
                <w:rFonts w:hint="default" w:ascii="Times New Roman" w:hAnsi="Times New Roman" w:eastAsia="宋体" w:cs="Times New Roman"/>
                <w:color w:val="auto"/>
                <w:sz w:val="24"/>
                <w:szCs w:val="32"/>
                <w:lang w:val="en-US" w:eastAsia="zh-CN"/>
              </w:rPr>
              <w:t>的浮漆、沉渣和电泳漆</w:t>
            </w:r>
            <w:r>
              <w:rPr>
                <w:rFonts w:hint="eastAsia" w:ascii="Times New Roman" w:hAnsi="Times New Roman" w:eastAsia="宋体" w:cs="Times New Roman"/>
                <w:color w:val="auto"/>
                <w:sz w:val="24"/>
                <w:szCs w:val="32"/>
                <w:lang w:val="en-US" w:eastAsia="zh-CN"/>
              </w:rPr>
              <w:t>，电泳后的工件需经过超滤水喷淋清洗（UF1槽）和超滤水</w:t>
            </w:r>
            <w:r>
              <w:rPr>
                <w:rFonts w:hint="default" w:ascii="Times New Roman" w:hAnsi="Times New Roman" w:eastAsia="宋体" w:cs="Times New Roman"/>
                <w:color w:val="auto"/>
                <w:sz w:val="24"/>
                <w:szCs w:val="32"/>
                <w:lang w:val="en-US" w:eastAsia="zh-CN"/>
              </w:rPr>
              <w:t>浸槽清洗</w:t>
            </w:r>
            <w:r>
              <w:rPr>
                <w:rFonts w:hint="eastAsia" w:cs="Times New Roman"/>
                <w:color w:val="auto"/>
                <w:sz w:val="24"/>
                <w:szCs w:val="32"/>
                <w:lang w:val="en-US" w:eastAsia="zh-CN"/>
              </w:rPr>
              <w:t>（UF2槽）。</w:t>
            </w:r>
          </w:p>
          <w:p>
            <w:pPr>
              <w:snapToGrid w:val="0"/>
              <w:spacing w:line="360" w:lineRule="auto"/>
              <w:ind w:firstLine="482" w:firstLineChars="200"/>
              <w:rPr>
                <w:rFonts w:hint="default" w:ascii="Times New Roman" w:hAnsi="Times New Roman" w:eastAsia="宋体" w:cs="Times New Roman"/>
                <w:color w:val="auto"/>
                <w:sz w:val="24"/>
                <w:szCs w:val="32"/>
                <w:lang w:val="en-US" w:eastAsia="zh-CN"/>
              </w:rPr>
            </w:pPr>
            <w:r>
              <w:rPr>
                <w:rFonts w:hint="default" w:ascii="Times New Roman" w:hAnsi="Times New Roman" w:eastAsia="宋体" w:cs="Times New Roman"/>
                <w:b/>
                <w:bCs/>
                <w:color w:val="auto"/>
                <w:sz w:val="24"/>
                <w:szCs w:val="32"/>
              </w:rPr>
              <w:t>纯水</w:t>
            </w:r>
            <w:r>
              <w:rPr>
                <w:rFonts w:hint="default" w:ascii="Times New Roman" w:hAnsi="Times New Roman" w:eastAsia="宋体" w:cs="Times New Roman"/>
                <w:b/>
                <w:bCs/>
                <w:color w:val="auto"/>
                <w:sz w:val="24"/>
                <w:szCs w:val="32"/>
                <w:lang w:val="en-US" w:eastAsia="zh-CN"/>
              </w:rPr>
              <w:t>洗</w:t>
            </w:r>
            <w:r>
              <w:rPr>
                <w:rFonts w:hint="default" w:ascii="Times New Roman" w:hAnsi="Times New Roman" w:eastAsia="宋体" w:cs="Times New Roman"/>
                <w:b/>
                <w:bCs/>
                <w:color w:val="auto"/>
                <w:sz w:val="24"/>
                <w:szCs w:val="32"/>
              </w:rPr>
              <w:t>：</w:t>
            </w:r>
            <w:r>
              <w:rPr>
                <w:rFonts w:hint="eastAsia" w:cs="Times New Roman"/>
                <w:b w:val="0"/>
                <w:bCs w:val="0"/>
                <w:color w:val="auto"/>
                <w:sz w:val="24"/>
                <w:szCs w:val="32"/>
                <w:lang w:val="en-US" w:eastAsia="zh-CN"/>
              </w:rPr>
              <w:t>为</w:t>
            </w:r>
            <w:r>
              <w:rPr>
                <w:rFonts w:hint="default" w:ascii="Times New Roman" w:hAnsi="Times New Roman" w:eastAsia="宋体" w:cs="Times New Roman"/>
                <w:color w:val="auto"/>
                <w:sz w:val="24"/>
                <w:szCs w:val="32"/>
              </w:rPr>
              <w:t>去除工件表面残留</w:t>
            </w:r>
            <w:r>
              <w:rPr>
                <w:rFonts w:hint="default" w:ascii="Times New Roman" w:hAnsi="Times New Roman" w:eastAsia="宋体" w:cs="Times New Roman"/>
                <w:color w:val="auto"/>
                <w:sz w:val="24"/>
                <w:szCs w:val="32"/>
                <w:lang w:val="en-US" w:eastAsia="zh-CN"/>
              </w:rPr>
              <w:t>的电解液</w:t>
            </w:r>
            <w:r>
              <w:rPr>
                <w:rFonts w:hint="eastAsia" w:cs="Times New Roman"/>
                <w:color w:val="auto"/>
                <w:sz w:val="24"/>
                <w:szCs w:val="32"/>
                <w:lang w:val="en-US" w:eastAsia="zh-CN"/>
              </w:rPr>
              <w:t>，</w:t>
            </w:r>
            <w:r>
              <w:rPr>
                <w:rFonts w:hint="eastAsia" w:cs="Times New Roman"/>
                <w:b w:val="0"/>
                <w:bCs w:val="0"/>
                <w:color w:val="auto"/>
                <w:sz w:val="24"/>
                <w:szCs w:val="32"/>
                <w:lang w:val="en-US" w:eastAsia="zh-CN"/>
              </w:rPr>
              <w:t>超滤水清洗后的工件需进行纯水喷淋清洗（水洗2槽）和纯水</w:t>
            </w:r>
            <w:r>
              <w:rPr>
                <w:rFonts w:hint="default" w:ascii="Times New Roman" w:hAnsi="Times New Roman" w:eastAsia="宋体" w:cs="Times New Roman"/>
                <w:color w:val="auto"/>
                <w:sz w:val="24"/>
                <w:szCs w:val="32"/>
                <w:lang w:val="en-US" w:eastAsia="zh-CN"/>
              </w:rPr>
              <w:t>浸槽清洗</w:t>
            </w:r>
            <w:r>
              <w:rPr>
                <w:rFonts w:hint="eastAsia" w:cs="Times New Roman"/>
                <w:color w:val="auto"/>
                <w:sz w:val="24"/>
                <w:szCs w:val="32"/>
                <w:lang w:val="en-US" w:eastAsia="zh-CN"/>
              </w:rPr>
              <w:t>（水洗3槽）。</w:t>
            </w:r>
            <w:r>
              <w:rPr>
                <w:rFonts w:hint="default" w:ascii="Times New Roman" w:hAnsi="Times New Roman" w:eastAsia="宋体" w:cs="Times New Roman"/>
                <w:color w:val="auto"/>
                <w:sz w:val="24"/>
                <w:szCs w:val="32"/>
              </w:rPr>
              <w:t>纯水</w:t>
            </w:r>
            <w:r>
              <w:rPr>
                <w:rFonts w:hint="eastAsia" w:cs="Times New Roman"/>
                <w:color w:val="auto"/>
                <w:sz w:val="24"/>
                <w:szCs w:val="32"/>
                <w:lang w:val="en-US" w:eastAsia="zh-CN"/>
              </w:rPr>
              <w:t>2</w:t>
            </w:r>
            <w:r>
              <w:rPr>
                <w:rFonts w:hint="default" w:ascii="Times New Roman" w:hAnsi="Times New Roman" w:eastAsia="宋体" w:cs="Times New Roman"/>
                <w:color w:val="auto"/>
                <w:sz w:val="24"/>
                <w:szCs w:val="32"/>
              </w:rPr>
              <w:t>槽</w:t>
            </w:r>
            <w:r>
              <w:rPr>
                <w:rFonts w:hint="eastAsia" w:cs="Times New Roman"/>
                <w:color w:val="auto"/>
                <w:sz w:val="24"/>
                <w:szCs w:val="32"/>
                <w:lang w:val="en-US" w:eastAsia="zh-CN"/>
              </w:rPr>
              <w:t>槽液循环使用，每</w:t>
            </w:r>
            <w:r>
              <w:rPr>
                <w:rFonts w:hint="default" w:ascii="Times New Roman" w:hAnsi="Times New Roman" w:eastAsia="宋体" w:cs="Times New Roman"/>
                <w:color w:val="auto"/>
                <w:sz w:val="24"/>
                <w:szCs w:val="32"/>
              </w:rPr>
              <w:t>三天</w:t>
            </w:r>
            <w:r>
              <w:rPr>
                <w:rFonts w:hint="eastAsia" w:cs="Times New Roman"/>
                <w:color w:val="auto"/>
                <w:sz w:val="24"/>
                <w:szCs w:val="32"/>
                <w:lang w:val="en-US" w:eastAsia="zh-CN"/>
              </w:rPr>
              <w:t>溢流</w:t>
            </w:r>
            <w:r>
              <w:rPr>
                <w:rFonts w:hint="default" w:ascii="Times New Roman" w:hAnsi="Times New Roman" w:eastAsia="宋体" w:cs="Times New Roman"/>
                <w:color w:val="auto"/>
                <w:sz w:val="24"/>
                <w:szCs w:val="32"/>
                <w:lang w:val="en-US" w:eastAsia="zh-CN"/>
              </w:rPr>
              <w:t>彻底更换</w:t>
            </w:r>
            <w:r>
              <w:rPr>
                <w:rFonts w:hint="default" w:ascii="Times New Roman" w:hAnsi="Times New Roman" w:eastAsia="宋体" w:cs="Times New Roman"/>
                <w:color w:val="auto"/>
                <w:sz w:val="24"/>
                <w:szCs w:val="32"/>
              </w:rPr>
              <w:t>一次</w:t>
            </w:r>
            <w:r>
              <w:rPr>
                <w:rFonts w:hint="eastAsia" w:cs="Times New Roman"/>
                <w:color w:val="auto"/>
                <w:sz w:val="24"/>
                <w:szCs w:val="32"/>
                <w:lang w:eastAsia="zh-CN"/>
              </w:rPr>
              <w:t>；</w:t>
            </w:r>
            <w:r>
              <w:rPr>
                <w:rFonts w:hint="default" w:ascii="Times New Roman" w:hAnsi="Times New Roman" w:eastAsia="宋体" w:cs="Times New Roman"/>
                <w:color w:val="auto"/>
                <w:sz w:val="24"/>
                <w:szCs w:val="32"/>
              </w:rPr>
              <w:t>纯水</w:t>
            </w:r>
            <w:r>
              <w:rPr>
                <w:rFonts w:hint="eastAsia" w:cs="Times New Roman"/>
                <w:color w:val="auto"/>
                <w:sz w:val="24"/>
                <w:szCs w:val="32"/>
                <w:lang w:val="en-US" w:eastAsia="zh-CN"/>
              </w:rPr>
              <w:t>3</w:t>
            </w:r>
            <w:r>
              <w:rPr>
                <w:rFonts w:hint="default" w:ascii="Times New Roman" w:hAnsi="Times New Roman" w:eastAsia="宋体" w:cs="Times New Roman"/>
                <w:color w:val="auto"/>
                <w:sz w:val="24"/>
                <w:szCs w:val="32"/>
              </w:rPr>
              <w:t>槽</w:t>
            </w:r>
            <w:r>
              <w:rPr>
                <w:rFonts w:hint="default" w:ascii="Times New Roman" w:hAnsi="Times New Roman" w:eastAsia="宋体" w:cs="Times New Roman"/>
                <w:color w:val="auto"/>
                <w:sz w:val="24"/>
                <w:szCs w:val="32"/>
                <w:lang w:val="en-US" w:eastAsia="zh-CN"/>
              </w:rPr>
              <w:t>槽</w:t>
            </w:r>
            <w:r>
              <w:rPr>
                <w:rFonts w:hint="default" w:ascii="Times New Roman" w:hAnsi="Times New Roman" w:eastAsia="宋体" w:cs="Times New Roman"/>
                <w:color w:val="auto"/>
                <w:sz w:val="24"/>
                <w:szCs w:val="32"/>
              </w:rPr>
              <w:t>液</w:t>
            </w:r>
            <w:r>
              <w:rPr>
                <w:rFonts w:hint="default" w:ascii="Times New Roman" w:hAnsi="Times New Roman" w:eastAsia="宋体" w:cs="Times New Roman"/>
                <w:color w:val="auto"/>
                <w:sz w:val="24"/>
                <w:szCs w:val="32"/>
                <w:lang w:val="en-US" w:eastAsia="zh-CN"/>
              </w:rPr>
              <w:t>循环使用，每两天彻底更换一次</w:t>
            </w:r>
            <w:r>
              <w:rPr>
                <w:rFonts w:hint="eastAsia" w:cs="Times New Roman"/>
                <w:color w:val="auto"/>
                <w:sz w:val="24"/>
                <w:szCs w:val="32"/>
                <w:lang w:val="en-US" w:eastAsia="zh-CN"/>
              </w:rPr>
              <w:t>。此工段会产生W6纯水洗槽液。</w:t>
            </w:r>
          </w:p>
          <w:p>
            <w:pPr>
              <w:snapToGrid w:val="0"/>
              <w:spacing w:line="360" w:lineRule="auto"/>
              <w:ind w:firstLine="480" w:firstLineChars="200"/>
              <w:rPr>
                <w:rFonts w:hint="default" w:cs="Times New Roman"/>
                <w:color w:val="auto"/>
                <w:sz w:val="24"/>
                <w:szCs w:val="32"/>
                <w:lang w:val="en-US" w:eastAsia="zh-CN"/>
              </w:rPr>
            </w:pPr>
            <w:r>
              <w:rPr>
                <w:rFonts w:hint="eastAsia" w:cs="Times New Roman"/>
                <w:color w:val="auto"/>
                <w:sz w:val="24"/>
                <w:szCs w:val="32"/>
                <w:lang w:val="en-US" w:eastAsia="zh-CN"/>
              </w:rPr>
              <w:t>本项目电泳槽槽液及W6纯水洗槽液经超滤系统过滤后产生电泳漆浓液及超滤水，电泳漆浓液回用至电泳池，超滤水回用至UF2槽，UF2槽超滤水溢流至UF1槽，UF1槽超滤水溢流至电泳池。电泳池槽液及W6清洗槽液经超滤系统过滤后循环利用，无生产废水排放。超滤系统过滤时有废超滤膜产生。</w:t>
            </w:r>
          </w:p>
          <w:p>
            <w:pPr>
              <w:snapToGrid w:val="0"/>
              <w:spacing w:line="360" w:lineRule="auto"/>
              <w:ind w:firstLine="482" w:firstLineChars="200"/>
              <w:rPr>
                <w:rFonts w:hint="default" w:ascii="Times New Roman" w:hAnsi="Times New Roman" w:eastAsia="宋体" w:cs="Times New Roman"/>
                <w:color w:val="auto"/>
                <w:sz w:val="24"/>
                <w:szCs w:val="32"/>
              </w:rPr>
            </w:pPr>
            <w:r>
              <w:rPr>
                <w:rFonts w:hint="default" w:ascii="Times New Roman" w:hAnsi="Times New Roman" w:eastAsia="宋体" w:cs="Times New Roman"/>
                <w:b/>
                <w:bCs/>
                <w:color w:val="auto"/>
                <w:sz w:val="24"/>
                <w:szCs w:val="32"/>
              </w:rPr>
              <w:t>烘干固化：</w:t>
            </w:r>
            <w:r>
              <w:rPr>
                <w:rFonts w:hint="default" w:ascii="Times New Roman" w:hAnsi="Times New Roman" w:eastAsia="宋体" w:cs="Times New Roman"/>
                <w:color w:val="auto"/>
                <w:sz w:val="24"/>
                <w:szCs w:val="32"/>
              </w:rPr>
              <w:t>将电泳涂装后的部件放入烘干线烘干，使涂膜表面固化干燥</w:t>
            </w:r>
            <w:r>
              <w:rPr>
                <w:rFonts w:hint="default" w:ascii="Times New Roman" w:hAnsi="Times New Roman" w:eastAsia="宋体" w:cs="Times New Roman"/>
                <w:color w:val="auto"/>
                <w:sz w:val="24"/>
                <w:szCs w:val="32"/>
                <w:lang w:eastAsia="zh-CN"/>
              </w:rPr>
              <w:t>，</w:t>
            </w:r>
            <w:r>
              <w:rPr>
                <w:rFonts w:hint="default" w:ascii="Times New Roman" w:hAnsi="Times New Roman" w:eastAsia="宋体" w:cs="Times New Roman"/>
                <w:color w:val="auto"/>
                <w:sz w:val="24"/>
                <w:szCs w:val="32"/>
                <w:lang w:val="en-US" w:eastAsia="zh-CN"/>
              </w:rPr>
              <w:t>温度保持在200℃，</w:t>
            </w:r>
            <w:r>
              <w:rPr>
                <w:rFonts w:hint="default" w:ascii="Times New Roman" w:hAnsi="Times New Roman" w:eastAsia="宋体" w:cs="Times New Roman"/>
                <w:color w:val="auto"/>
                <w:sz w:val="24"/>
                <w:szCs w:val="32"/>
              </w:rPr>
              <w:t>加热源为天然气</w:t>
            </w:r>
            <w:r>
              <w:rPr>
                <w:rFonts w:hint="eastAsia" w:cs="Times New Roman"/>
                <w:color w:val="auto"/>
                <w:sz w:val="24"/>
                <w:szCs w:val="32"/>
                <w:lang w:val="en-US" w:eastAsia="zh-CN"/>
              </w:rPr>
              <w:t>锅炉</w:t>
            </w:r>
            <w:r>
              <w:rPr>
                <w:rFonts w:hint="default" w:ascii="Times New Roman" w:hAnsi="Times New Roman" w:eastAsia="宋体" w:cs="Times New Roman"/>
                <w:color w:val="auto"/>
                <w:sz w:val="24"/>
                <w:szCs w:val="32"/>
              </w:rPr>
              <w:t>加热的热空气。此过程产生烘干废气G2及天然气燃烧废气G3。</w:t>
            </w:r>
          </w:p>
          <w:p>
            <w:pPr>
              <w:snapToGrid w:val="0"/>
              <w:spacing w:line="360" w:lineRule="auto"/>
              <w:ind w:firstLine="482" w:firstLineChars="200"/>
              <w:rPr>
                <w:rFonts w:hint="default" w:ascii="Times New Roman" w:hAnsi="Times New Roman" w:eastAsia="宋体" w:cs="Times New Roman"/>
                <w:color w:val="auto"/>
                <w:sz w:val="24"/>
                <w:szCs w:val="32"/>
              </w:rPr>
            </w:pPr>
            <w:r>
              <w:rPr>
                <w:rFonts w:hint="default" w:ascii="Times New Roman" w:hAnsi="Times New Roman" w:eastAsia="宋体" w:cs="Times New Roman"/>
                <w:b/>
                <w:bCs/>
                <w:color w:val="auto"/>
                <w:sz w:val="24"/>
                <w:szCs w:val="32"/>
              </w:rPr>
              <w:t>冷却下架：</w:t>
            </w:r>
            <w:r>
              <w:rPr>
                <w:rFonts w:hint="default" w:ascii="Times New Roman" w:hAnsi="Times New Roman" w:eastAsia="宋体" w:cs="Times New Roman"/>
                <w:color w:val="auto"/>
                <w:sz w:val="24"/>
                <w:szCs w:val="32"/>
              </w:rPr>
              <w:t>工件烘干后在线上</w:t>
            </w:r>
            <w:r>
              <w:rPr>
                <w:rFonts w:hint="eastAsia" w:cs="Times New Roman"/>
                <w:color w:val="auto"/>
                <w:sz w:val="24"/>
                <w:szCs w:val="32"/>
                <w:lang w:val="en-US" w:eastAsia="zh-CN"/>
              </w:rPr>
              <w:t>自然</w:t>
            </w:r>
            <w:r>
              <w:rPr>
                <w:rFonts w:hint="default" w:ascii="Times New Roman" w:hAnsi="Times New Roman" w:eastAsia="宋体" w:cs="Times New Roman"/>
                <w:color w:val="auto"/>
                <w:sz w:val="24"/>
                <w:szCs w:val="32"/>
              </w:rPr>
              <w:t>冷却至一定温度后</w:t>
            </w:r>
            <w:r>
              <w:rPr>
                <w:rFonts w:hint="default" w:ascii="Times New Roman" w:hAnsi="Times New Roman" w:eastAsia="宋体" w:cs="Times New Roman"/>
                <w:color w:val="auto"/>
                <w:sz w:val="24"/>
                <w:szCs w:val="32"/>
                <w:lang w:val="en-US" w:eastAsia="zh-CN"/>
              </w:rPr>
              <w:t>下架</w:t>
            </w:r>
            <w:r>
              <w:rPr>
                <w:rFonts w:hint="default" w:ascii="Times New Roman" w:hAnsi="Times New Roman" w:eastAsia="宋体" w:cs="Times New Roman"/>
                <w:color w:val="auto"/>
                <w:sz w:val="24"/>
                <w:szCs w:val="32"/>
              </w:rPr>
              <w:t>。</w:t>
            </w:r>
          </w:p>
          <w:p>
            <w:pPr>
              <w:widowControl/>
              <w:spacing w:line="360" w:lineRule="auto"/>
              <w:ind w:firstLine="482" w:firstLineChars="200"/>
              <w:rPr>
                <w:rFonts w:hint="default" w:ascii="Times New Roman" w:hAnsi="Times New Roman" w:eastAsia="宋体" w:cs="Times New Roman"/>
                <w:color w:val="auto"/>
                <w:sz w:val="24"/>
                <w:lang w:val="en-US"/>
              </w:rPr>
            </w:pPr>
            <w:r>
              <w:rPr>
                <w:rFonts w:hint="default" w:ascii="Times New Roman" w:hAnsi="Times New Roman" w:eastAsia="宋体" w:cs="Times New Roman"/>
                <w:b/>
                <w:bCs/>
                <w:color w:val="auto"/>
                <w:sz w:val="24"/>
                <w:szCs w:val="32"/>
                <w:lang w:val="en-US" w:eastAsia="zh-CN"/>
              </w:rPr>
              <w:t>检验</w:t>
            </w:r>
            <w:r>
              <w:rPr>
                <w:rFonts w:hint="default" w:ascii="Times New Roman" w:hAnsi="Times New Roman" w:eastAsia="宋体" w:cs="Times New Roman"/>
                <w:b/>
                <w:bCs/>
                <w:color w:val="auto"/>
                <w:sz w:val="24"/>
                <w:szCs w:val="32"/>
              </w:rPr>
              <w:t>：</w:t>
            </w:r>
            <w:r>
              <w:rPr>
                <w:rFonts w:hint="default" w:ascii="Times New Roman" w:hAnsi="Times New Roman" w:eastAsia="宋体" w:cs="Times New Roman"/>
                <w:color w:val="auto"/>
                <w:sz w:val="24"/>
                <w:szCs w:val="32"/>
                <w:lang w:val="en-US" w:eastAsia="zh-CN"/>
              </w:rPr>
              <w:t>下架后的产品经人工检验后，不合格品委外抛丸后返工</w:t>
            </w:r>
            <w:r>
              <w:rPr>
                <w:rFonts w:hint="eastAsia" w:cs="Times New Roman"/>
                <w:color w:val="auto"/>
                <w:sz w:val="24"/>
                <w:szCs w:val="32"/>
                <w:lang w:val="en-US" w:eastAsia="zh-CN"/>
              </w:rPr>
              <w:t>至电泳槽</w:t>
            </w:r>
            <w:r>
              <w:rPr>
                <w:rFonts w:hint="default" w:ascii="Times New Roman" w:hAnsi="Times New Roman" w:eastAsia="宋体" w:cs="Times New Roman"/>
                <w:color w:val="auto"/>
                <w:sz w:val="24"/>
                <w:szCs w:val="32"/>
                <w:lang w:val="en-US" w:eastAsia="zh-CN"/>
              </w:rPr>
              <w:t>重新电泳，合格品作为成品外售。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12" w:hRule="atLeast"/>
          <w:jc w:val="center"/>
        </w:trPr>
        <w:tc>
          <w:tcPr>
            <w:tcW w:w="392" w:type="dxa"/>
            <w:vAlign w:val="center"/>
          </w:tcPr>
          <w:p>
            <w:pPr>
              <w:pStyle w:val="18"/>
              <w:adjustRightInd w:val="0"/>
              <w:snapToGrid w:val="0"/>
              <w:spacing w:before="0" w:beforeAutospacing="0" w:after="0" w:afterAutospacing="0"/>
              <w:jc w:val="center"/>
              <w:rPr>
                <w:rFonts w:hint="default" w:ascii="Times New Roman" w:hAnsi="Times New Roman" w:eastAsia="宋体" w:cs="Times New Roman"/>
                <w:color w:val="auto"/>
                <w:sz w:val="21"/>
                <w:szCs w:val="21"/>
                <w:lang w:val="en-US" w:eastAsia="zh-CN"/>
              </w:rPr>
            </w:pPr>
          </w:p>
        </w:tc>
        <w:tc>
          <w:tcPr>
            <w:tcW w:w="8668" w:type="dxa"/>
          </w:tcPr>
          <w:p>
            <w:pPr>
              <w:widowControl/>
              <w:spacing w:line="360" w:lineRule="auto"/>
              <w:ind w:firstLine="480" w:firstLineChars="200"/>
              <w:rPr>
                <w:rFonts w:hint="eastAsia" w:ascii="Times New Roman" w:hAnsi="Times New Roman" w:eastAsia="宋体" w:cs="Times New Roman"/>
                <w:color w:val="auto"/>
                <w:sz w:val="24"/>
                <w:szCs w:val="32"/>
                <w:lang w:val="en-US" w:eastAsia="zh-CN"/>
              </w:rPr>
            </w:pPr>
            <w:r>
              <w:rPr>
                <w:rFonts w:hint="eastAsia" w:ascii="Times New Roman" w:hAnsi="Times New Roman" w:eastAsia="宋体" w:cs="Times New Roman"/>
                <w:color w:val="auto"/>
                <w:sz w:val="24"/>
                <w:szCs w:val="32"/>
                <w:lang w:val="en-US" w:eastAsia="zh-CN"/>
              </w:rPr>
              <w:t>本项目物料平衡分析针对电泳、烘干中涉及到的色浆、乳液、调整剂中的VOCs平衡及清洗工序的磷平衡。</w:t>
            </w:r>
          </w:p>
          <w:p>
            <w:pPr>
              <w:widowControl/>
              <w:spacing w:line="360" w:lineRule="auto"/>
              <w:ind w:firstLine="480" w:firstLineChars="200"/>
              <w:rPr>
                <w:rFonts w:hint="default" w:ascii="Times New Roman" w:hAnsi="Times New Roman" w:eastAsia="宋体" w:cs="Times New Roman"/>
                <w:color w:val="auto"/>
                <w:sz w:val="24"/>
                <w:szCs w:val="32"/>
                <w:lang w:val="en-US" w:eastAsia="zh-CN"/>
              </w:rPr>
            </w:pPr>
            <w:r>
              <w:rPr>
                <w:rFonts w:hint="eastAsia" w:ascii="Times New Roman" w:hAnsi="Times New Roman" w:eastAsia="宋体" w:cs="Times New Roman"/>
                <w:color w:val="auto"/>
                <w:sz w:val="24"/>
                <w:szCs w:val="32"/>
                <w:lang w:val="en-US" w:eastAsia="zh-CN"/>
              </w:rPr>
              <w:t>根据企业提供资料、现有实际生产情况及工程分析，项目用色浆7.5t/a、乳液30t/a、调整剂2t/a，根据各物质组分分析，电泳漆所有原料中有机溶剂含量分别为：乙二醇丁醚2.675t/a、丙二醇甲醚2.1t/a，丙二醇苯醚0.6t/a。电泳漆中各有机溶剂在电泳作业时10%进入漆渣，剩余90%在电泳及烘干工段挥发。</w:t>
            </w:r>
            <w:r>
              <w:rPr>
                <w:rFonts w:hint="default" w:ascii="Times New Roman" w:hAnsi="Times New Roman" w:eastAsia="宋体" w:cs="Times New Roman"/>
                <w:color w:val="auto"/>
                <w:sz w:val="24"/>
                <w:szCs w:val="32"/>
                <w:lang w:val="en-US" w:eastAsia="zh-CN"/>
              </w:rPr>
              <w:t>本项目VOCs平衡见表</w:t>
            </w:r>
            <w:r>
              <w:rPr>
                <w:rFonts w:hint="eastAsia" w:cs="Times New Roman"/>
                <w:color w:val="auto"/>
                <w:sz w:val="24"/>
                <w:szCs w:val="32"/>
                <w:lang w:val="en-US" w:eastAsia="zh-CN"/>
              </w:rPr>
              <w:t>2-8</w:t>
            </w:r>
            <w:r>
              <w:rPr>
                <w:rFonts w:hint="eastAsia" w:ascii="Times New Roman" w:hAnsi="Times New Roman" w:eastAsia="宋体" w:cs="Times New Roman"/>
                <w:color w:val="auto"/>
                <w:sz w:val="24"/>
                <w:szCs w:val="32"/>
                <w:lang w:val="en-US" w:eastAsia="zh-CN"/>
              </w:rPr>
              <w:t>：</w:t>
            </w:r>
          </w:p>
          <w:p>
            <w:pPr>
              <w:adjustRightInd w:val="0"/>
              <w:snapToGrid w:val="0"/>
              <w:jc w:val="center"/>
              <w:rPr>
                <w:rFonts w:hint="default" w:ascii="Times New Roman" w:hAnsi="Times New Roman" w:eastAsia="宋体" w:cs="Times New Roman"/>
                <w:b/>
                <w:color w:val="auto"/>
                <w:sz w:val="24"/>
                <w:szCs w:val="22"/>
                <w:lang w:val="en-US"/>
              </w:rPr>
            </w:pPr>
            <w:r>
              <w:rPr>
                <w:rFonts w:hint="default" w:ascii="Times New Roman" w:hAnsi="Times New Roman" w:eastAsia="宋体" w:cs="Times New Roman"/>
                <w:b/>
                <w:color w:val="auto"/>
                <w:sz w:val="24"/>
                <w:szCs w:val="22"/>
                <w:lang w:val="en-US" w:eastAsia="zh-CN"/>
              </w:rPr>
              <w:t>表2-</w:t>
            </w:r>
            <w:r>
              <w:rPr>
                <w:rFonts w:hint="eastAsia" w:ascii="Times New Roman" w:hAnsi="Times New Roman" w:eastAsia="宋体" w:cs="Times New Roman"/>
                <w:b/>
                <w:color w:val="auto"/>
                <w:sz w:val="24"/>
                <w:szCs w:val="22"/>
                <w:lang w:val="en-US" w:eastAsia="zh-CN"/>
              </w:rPr>
              <w:t>8</w:t>
            </w:r>
            <w:r>
              <w:rPr>
                <w:rFonts w:hint="default" w:ascii="Times New Roman" w:hAnsi="Times New Roman" w:eastAsia="宋体" w:cs="Times New Roman"/>
                <w:b/>
                <w:color w:val="auto"/>
                <w:sz w:val="24"/>
                <w:szCs w:val="22"/>
                <w:lang w:val="en-US" w:eastAsia="zh-CN"/>
              </w:rPr>
              <w:t xml:space="preserve"> </w:t>
            </w:r>
            <w:r>
              <w:rPr>
                <w:rFonts w:hint="eastAsia" w:ascii="Times New Roman" w:hAnsi="Times New Roman" w:eastAsia="宋体" w:cs="Times New Roman"/>
                <w:b/>
                <w:color w:val="auto"/>
                <w:sz w:val="24"/>
                <w:szCs w:val="22"/>
                <w:lang w:val="en-US" w:eastAsia="zh-CN"/>
              </w:rPr>
              <w:t>本项目</w:t>
            </w:r>
            <w:r>
              <w:rPr>
                <w:rFonts w:hint="default" w:ascii="Times New Roman" w:hAnsi="Times New Roman" w:eastAsia="宋体" w:cs="Times New Roman"/>
                <w:b/>
                <w:color w:val="auto"/>
                <w:sz w:val="24"/>
                <w:szCs w:val="22"/>
                <w:lang w:val="en-US" w:eastAsia="zh-CN"/>
              </w:rPr>
              <w:t>VOCs平衡表（单位：t/a）</w:t>
            </w:r>
          </w:p>
          <w:tbl>
            <w:tblPr>
              <w:tblStyle w:val="22"/>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61"/>
              <w:gridCol w:w="1024"/>
              <w:gridCol w:w="1098"/>
              <w:gridCol w:w="1326"/>
              <w:gridCol w:w="1282"/>
              <w:gridCol w:w="1314"/>
              <w:gridCol w:w="91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68" w:type="pct"/>
                  <w:vMerge w:val="restart"/>
                  <w:noWrap w:val="0"/>
                  <w:vAlign w:val="center"/>
                </w:tcPr>
                <w:p>
                  <w:pPr>
                    <w:adjustRightInd w:val="0"/>
                    <w:snapToGrid w:val="0"/>
                    <w:jc w:val="center"/>
                    <w:rPr>
                      <w:rFonts w:hint="default" w:ascii="Times New Roman" w:hAnsi="Times New Roman" w:eastAsia="宋体" w:cs="Times New Roman"/>
                      <w:b/>
                      <w:color w:val="auto"/>
                      <w:sz w:val="21"/>
                      <w:szCs w:val="21"/>
                      <w:lang w:val="en-US" w:eastAsia="zh-CN"/>
                    </w:rPr>
                  </w:pPr>
                  <w:r>
                    <w:rPr>
                      <w:rFonts w:hint="eastAsia" w:ascii="Times New Roman" w:hAnsi="Times New Roman" w:eastAsia="宋体" w:cs="Times New Roman"/>
                      <w:b/>
                      <w:color w:val="auto"/>
                      <w:sz w:val="21"/>
                      <w:szCs w:val="21"/>
                      <w:lang w:val="en-US" w:eastAsia="zh-CN"/>
                    </w:rPr>
                    <w:t>名称</w:t>
                  </w:r>
                </w:p>
              </w:tc>
              <w:tc>
                <w:tcPr>
                  <w:tcW w:w="608" w:type="pct"/>
                  <w:vMerge w:val="restart"/>
                  <w:noWrap w:val="0"/>
                  <w:vAlign w:val="center"/>
                </w:tcPr>
                <w:p>
                  <w:pPr>
                    <w:adjustRightInd w:val="0"/>
                    <w:snapToGrid w:val="0"/>
                    <w:jc w:val="center"/>
                    <w:rPr>
                      <w:rFonts w:hint="default" w:ascii="Times New Roman" w:hAnsi="Times New Roman" w:eastAsia="宋体" w:cs="Times New Roman"/>
                      <w:b/>
                      <w:color w:val="auto"/>
                      <w:sz w:val="21"/>
                      <w:szCs w:val="21"/>
                      <w:lang w:val="en-US" w:eastAsia="zh-CN"/>
                    </w:rPr>
                  </w:pPr>
                  <w:r>
                    <w:rPr>
                      <w:rFonts w:hint="eastAsia" w:ascii="Times New Roman" w:hAnsi="Times New Roman" w:eastAsia="宋体" w:cs="Times New Roman"/>
                      <w:b/>
                      <w:color w:val="auto"/>
                      <w:sz w:val="21"/>
                      <w:szCs w:val="21"/>
                      <w:lang w:val="en-US" w:eastAsia="zh-CN"/>
                    </w:rPr>
                    <w:t>投入</w:t>
                  </w:r>
                </w:p>
              </w:tc>
              <w:tc>
                <w:tcPr>
                  <w:tcW w:w="3522" w:type="pct"/>
                  <w:gridSpan w:val="5"/>
                  <w:noWrap w:val="0"/>
                  <w:vAlign w:val="center"/>
                </w:tcPr>
                <w:p>
                  <w:pPr>
                    <w:adjustRightInd w:val="0"/>
                    <w:snapToGrid w:val="0"/>
                    <w:jc w:val="center"/>
                    <w:rPr>
                      <w:rFonts w:hint="eastAsia" w:ascii="Times New Roman" w:hAnsi="Times New Roman" w:eastAsia="宋体" w:cs="Times New Roman"/>
                      <w:b/>
                      <w:color w:val="auto"/>
                      <w:sz w:val="21"/>
                      <w:szCs w:val="21"/>
                      <w:lang w:val="en-US" w:eastAsia="zh-CN"/>
                    </w:rPr>
                  </w:pPr>
                  <w:r>
                    <w:rPr>
                      <w:rFonts w:hint="eastAsia" w:ascii="Times New Roman" w:hAnsi="Times New Roman" w:eastAsia="宋体" w:cs="Times New Roman"/>
                      <w:b/>
                      <w:color w:val="auto"/>
                      <w:sz w:val="21"/>
                      <w:szCs w:val="21"/>
                      <w:lang w:val="en-US" w:eastAsia="zh-CN"/>
                    </w:rPr>
                    <w:t>出料</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68" w:type="pct"/>
                  <w:vMerge w:val="continue"/>
                  <w:noWrap w:val="0"/>
                  <w:vAlign w:val="center"/>
                </w:tcPr>
                <w:p>
                  <w:pPr>
                    <w:widowControl/>
                    <w:jc w:val="center"/>
                    <w:textAlignment w:val="center"/>
                    <w:rPr>
                      <w:rFonts w:hint="eastAsia" w:cs="Times New Roman"/>
                      <w:b w:val="0"/>
                      <w:bCs w:val="0"/>
                      <w:color w:val="auto"/>
                      <w:sz w:val="21"/>
                      <w:szCs w:val="21"/>
                      <w:lang w:val="en-US" w:eastAsia="zh-CN"/>
                    </w:rPr>
                  </w:pPr>
                </w:p>
              </w:tc>
              <w:tc>
                <w:tcPr>
                  <w:tcW w:w="608" w:type="pct"/>
                  <w:vMerge w:val="continue"/>
                  <w:noWrap w:val="0"/>
                  <w:vAlign w:val="center"/>
                </w:tcPr>
                <w:p>
                  <w:pPr>
                    <w:widowControl/>
                    <w:jc w:val="center"/>
                    <w:textAlignment w:val="center"/>
                    <w:rPr>
                      <w:rFonts w:hint="eastAsia" w:cs="Times New Roman"/>
                      <w:b w:val="0"/>
                      <w:bCs w:val="0"/>
                      <w:color w:val="auto"/>
                      <w:sz w:val="21"/>
                      <w:szCs w:val="21"/>
                      <w:lang w:val="en-US" w:eastAsia="zh-CN"/>
                    </w:rPr>
                  </w:pPr>
                </w:p>
              </w:tc>
              <w:tc>
                <w:tcPr>
                  <w:tcW w:w="1439" w:type="pct"/>
                  <w:gridSpan w:val="2"/>
                  <w:noWrap w:val="0"/>
                  <w:vAlign w:val="center"/>
                </w:tcPr>
                <w:p>
                  <w:pPr>
                    <w:widowControl/>
                    <w:jc w:val="center"/>
                    <w:textAlignment w:val="center"/>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进入固废</w:t>
                  </w:r>
                </w:p>
              </w:tc>
              <w:tc>
                <w:tcPr>
                  <w:tcW w:w="1541" w:type="pct"/>
                  <w:gridSpan w:val="2"/>
                  <w:noWrap w:val="0"/>
                  <w:vAlign w:val="center"/>
                </w:tcPr>
                <w:p>
                  <w:pPr>
                    <w:widowControl/>
                    <w:jc w:val="center"/>
                    <w:textAlignment w:val="center"/>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进入废气</w:t>
                  </w:r>
                </w:p>
              </w:tc>
              <w:tc>
                <w:tcPr>
                  <w:tcW w:w="542" w:type="pct"/>
                  <w:vMerge w:val="restart"/>
                  <w:noWrap w:val="0"/>
                  <w:vAlign w:val="center"/>
                </w:tcPr>
                <w:p>
                  <w:pPr>
                    <w:widowControl/>
                    <w:jc w:val="center"/>
                    <w:textAlignment w:val="center"/>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合计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68" w:type="pct"/>
                  <w:vMerge w:val="continue"/>
                  <w:noWrap w:val="0"/>
                  <w:vAlign w:val="center"/>
                </w:tcPr>
                <w:p>
                  <w:pPr>
                    <w:widowControl/>
                    <w:jc w:val="center"/>
                    <w:textAlignment w:val="center"/>
                    <w:rPr>
                      <w:rFonts w:hint="eastAsia" w:cs="Times New Roman"/>
                      <w:b w:val="0"/>
                      <w:bCs w:val="0"/>
                      <w:color w:val="auto"/>
                      <w:sz w:val="21"/>
                      <w:szCs w:val="21"/>
                      <w:lang w:val="en-US" w:eastAsia="zh-CN"/>
                    </w:rPr>
                  </w:pPr>
                </w:p>
              </w:tc>
              <w:tc>
                <w:tcPr>
                  <w:tcW w:w="608" w:type="pct"/>
                  <w:vMerge w:val="continue"/>
                  <w:noWrap w:val="0"/>
                  <w:vAlign w:val="center"/>
                </w:tcPr>
                <w:p>
                  <w:pPr>
                    <w:widowControl/>
                    <w:jc w:val="center"/>
                    <w:textAlignment w:val="center"/>
                    <w:rPr>
                      <w:rFonts w:hint="eastAsia" w:cs="Times New Roman"/>
                      <w:b w:val="0"/>
                      <w:bCs w:val="0"/>
                      <w:color w:val="auto"/>
                      <w:sz w:val="21"/>
                      <w:szCs w:val="21"/>
                      <w:lang w:val="en-US" w:eastAsia="zh-CN"/>
                    </w:rPr>
                  </w:pPr>
                </w:p>
              </w:tc>
              <w:tc>
                <w:tcPr>
                  <w:tcW w:w="652" w:type="pct"/>
                  <w:noWrap w:val="0"/>
                  <w:vAlign w:val="center"/>
                </w:tcPr>
                <w:p>
                  <w:pPr>
                    <w:widowControl/>
                    <w:jc w:val="center"/>
                    <w:textAlignment w:val="center"/>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进入漆渣</w:t>
                  </w:r>
                </w:p>
              </w:tc>
              <w:tc>
                <w:tcPr>
                  <w:tcW w:w="786" w:type="pct"/>
                  <w:noWrap w:val="0"/>
                  <w:vAlign w:val="center"/>
                </w:tcPr>
                <w:p>
                  <w:pPr>
                    <w:widowControl/>
                    <w:jc w:val="center"/>
                    <w:textAlignment w:val="center"/>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进入活性炭</w:t>
                  </w:r>
                </w:p>
              </w:tc>
              <w:tc>
                <w:tcPr>
                  <w:tcW w:w="761" w:type="pct"/>
                  <w:noWrap w:val="0"/>
                  <w:vAlign w:val="center"/>
                </w:tcPr>
                <w:p>
                  <w:pPr>
                    <w:widowControl/>
                    <w:jc w:val="center"/>
                    <w:textAlignment w:val="center"/>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有组织废气</w:t>
                  </w:r>
                </w:p>
              </w:tc>
              <w:tc>
                <w:tcPr>
                  <w:tcW w:w="779" w:type="pct"/>
                  <w:noWrap w:val="0"/>
                  <w:vAlign w:val="center"/>
                </w:tcPr>
                <w:p>
                  <w:pPr>
                    <w:widowControl/>
                    <w:jc w:val="center"/>
                    <w:textAlignment w:val="center"/>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无组织废气</w:t>
                  </w:r>
                </w:p>
              </w:tc>
              <w:tc>
                <w:tcPr>
                  <w:tcW w:w="542" w:type="pct"/>
                  <w:vMerge w:val="continue"/>
                  <w:noWrap w:val="0"/>
                  <w:vAlign w:val="center"/>
                </w:tcPr>
                <w:p>
                  <w:pPr>
                    <w:widowControl/>
                    <w:jc w:val="center"/>
                    <w:textAlignment w:val="center"/>
                    <w:rPr>
                      <w:rFonts w:hint="eastAsia" w:cs="Times New Roman"/>
                      <w:b w:val="0"/>
                      <w:bCs w:val="0"/>
                      <w:color w:val="auto"/>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68" w:type="pct"/>
                  <w:noWrap w:val="0"/>
                  <w:vAlign w:val="center"/>
                </w:tcPr>
                <w:p>
                  <w:pPr>
                    <w:widowControl/>
                    <w:jc w:val="center"/>
                    <w:textAlignment w:val="center"/>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乙二醇丁醚</w:t>
                  </w:r>
                </w:p>
              </w:tc>
              <w:tc>
                <w:tcPr>
                  <w:tcW w:w="608" w:type="pct"/>
                  <w:noWrap w:val="0"/>
                  <w:vAlign w:val="center"/>
                </w:tcPr>
                <w:p>
                  <w:pPr>
                    <w:widowControl/>
                    <w:jc w:val="center"/>
                    <w:textAlignment w:val="center"/>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2.675</w:t>
                  </w:r>
                </w:p>
              </w:tc>
              <w:tc>
                <w:tcPr>
                  <w:tcW w:w="652" w:type="pct"/>
                  <w:noWrap w:val="0"/>
                  <w:vAlign w:val="center"/>
                </w:tcPr>
                <w:p>
                  <w:pPr>
                    <w:widowControl/>
                    <w:jc w:val="center"/>
                    <w:textAlignment w:val="center"/>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0.2675</w:t>
                  </w:r>
                </w:p>
              </w:tc>
              <w:tc>
                <w:tcPr>
                  <w:tcW w:w="786" w:type="pct"/>
                  <w:noWrap w:val="0"/>
                  <w:vAlign w:val="center"/>
                </w:tcPr>
                <w:p>
                  <w:pPr>
                    <w:widowControl/>
                    <w:jc w:val="center"/>
                    <w:textAlignment w:val="center"/>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1.950075</w:t>
                  </w:r>
                </w:p>
              </w:tc>
              <w:tc>
                <w:tcPr>
                  <w:tcW w:w="761" w:type="pct"/>
                  <w:noWrap w:val="0"/>
                  <w:vAlign w:val="center"/>
                </w:tcPr>
                <w:p>
                  <w:pPr>
                    <w:widowControl/>
                    <w:jc w:val="center"/>
                    <w:textAlignment w:val="center"/>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0.216675</w:t>
                  </w:r>
                </w:p>
              </w:tc>
              <w:tc>
                <w:tcPr>
                  <w:tcW w:w="779" w:type="pct"/>
                  <w:noWrap w:val="0"/>
                  <w:vAlign w:val="center"/>
                </w:tcPr>
                <w:p>
                  <w:pPr>
                    <w:widowControl/>
                    <w:jc w:val="center"/>
                    <w:textAlignment w:val="center"/>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0.24075</w:t>
                  </w:r>
                </w:p>
              </w:tc>
              <w:tc>
                <w:tcPr>
                  <w:tcW w:w="542" w:type="pct"/>
                  <w:noWrap w:val="0"/>
                  <w:vAlign w:val="center"/>
                </w:tcPr>
                <w:p>
                  <w:pPr>
                    <w:widowControl/>
                    <w:jc w:val="center"/>
                    <w:textAlignment w:val="center"/>
                    <w:rPr>
                      <w:rFonts w:hint="eastAsia" w:cs="Times New Roman"/>
                      <w:b w:val="0"/>
                      <w:bCs w:val="0"/>
                      <w:color w:val="auto"/>
                      <w:sz w:val="21"/>
                      <w:szCs w:val="21"/>
                      <w:lang w:val="en-US" w:eastAsia="zh-CN"/>
                    </w:rPr>
                  </w:pPr>
                  <w:r>
                    <w:rPr>
                      <w:rFonts w:hint="eastAsia" w:cs="Times New Roman"/>
                      <w:b w:val="0"/>
                      <w:bCs w:val="0"/>
                      <w:color w:val="auto"/>
                      <w:sz w:val="21"/>
                      <w:szCs w:val="21"/>
                      <w:lang w:val="en-US" w:eastAsia="zh-CN"/>
                    </w:rPr>
                    <w:t>2.675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68" w:type="pct"/>
                  <w:noWrap w:val="0"/>
                  <w:vAlign w:val="center"/>
                </w:tcPr>
                <w:p>
                  <w:pPr>
                    <w:widowControl/>
                    <w:jc w:val="center"/>
                    <w:textAlignment w:val="center"/>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丙二醇甲醚</w:t>
                  </w:r>
                </w:p>
              </w:tc>
              <w:tc>
                <w:tcPr>
                  <w:tcW w:w="608" w:type="pct"/>
                  <w:noWrap w:val="0"/>
                  <w:vAlign w:val="center"/>
                </w:tcPr>
                <w:p>
                  <w:pPr>
                    <w:widowControl/>
                    <w:jc w:val="center"/>
                    <w:textAlignment w:val="center"/>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2.1</w:t>
                  </w:r>
                </w:p>
              </w:tc>
              <w:tc>
                <w:tcPr>
                  <w:tcW w:w="652" w:type="pct"/>
                  <w:noWrap w:val="0"/>
                  <w:vAlign w:val="center"/>
                </w:tcPr>
                <w:p>
                  <w:pPr>
                    <w:widowControl/>
                    <w:jc w:val="center"/>
                    <w:textAlignment w:val="center"/>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0.21</w:t>
                  </w:r>
                </w:p>
              </w:tc>
              <w:tc>
                <w:tcPr>
                  <w:tcW w:w="786" w:type="pct"/>
                  <w:noWrap w:val="0"/>
                  <w:vAlign w:val="center"/>
                </w:tcPr>
                <w:p>
                  <w:pPr>
                    <w:widowControl/>
                    <w:jc w:val="center"/>
                    <w:textAlignment w:val="center"/>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1.5309</w:t>
                  </w:r>
                </w:p>
              </w:tc>
              <w:tc>
                <w:tcPr>
                  <w:tcW w:w="761" w:type="pct"/>
                  <w:noWrap w:val="0"/>
                  <w:vAlign w:val="center"/>
                </w:tcPr>
                <w:p>
                  <w:pPr>
                    <w:widowControl/>
                    <w:jc w:val="center"/>
                    <w:textAlignment w:val="center"/>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0.1701</w:t>
                  </w:r>
                </w:p>
              </w:tc>
              <w:tc>
                <w:tcPr>
                  <w:tcW w:w="779" w:type="pct"/>
                  <w:noWrap w:val="0"/>
                  <w:vAlign w:val="center"/>
                </w:tcPr>
                <w:p>
                  <w:pPr>
                    <w:widowControl/>
                    <w:jc w:val="center"/>
                    <w:textAlignment w:val="center"/>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0.189</w:t>
                  </w:r>
                </w:p>
              </w:tc>
              <w:tc>
                <w:tcPr>
                  <w:tcW w:w="542" w:type="pct"/>
                  <w:noWrap w:val="0"/>
                  <w:vAlign w:val="center"/>
                </w:tcPr>
                <w:p>
                  <w:pPr>
                    <w:widowControl/>
                    <w:jc w:val="center"/>
                    <w:textAlignment w:val="center"/>
                    <w:rPr>
                      <w:rFonts w:hint="eastAsia" w:cs="Times New Roman"/>
                      <w:b w:val="0"/>
                      <w:bCs w:val="0"/>
                      <w:color w:val="auto"/>
                      <w:sz w:val="21"/>
                      <w:szCs w:val="21"/>
                      <w:lang w:val="en-US" w:eastAsia="zh-CN"/>
                    </w:rPr>
                  </w:pPr>
                  <w:r>
                    <w:rPr>
                      <w:rFonts w:hint="eastAsia" w:cs="Times New Roman"/>
                      <w:b w:val="0"/>
                      <w:bCs w:val="0"/>
                      <w:color w:val="auto"/>
                      <w:sz w:val="21"/>
                      <w:szCs w:val="21"/>
                      <w:lang w:val="en-US" w:eastAsia="zh-CN"/>
                    </w:rPr>
                    <w:t>2.1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68" w:type="pct"/>
                  <w:noWrap w:val="0"/>
                  <w:vAlign w:val="center"/>
                </w:tcPr>
                <w:p>
                  <w:pPr>
                    <w:widowControl/>
                    <w:jc w:val="center"/>
                    <w:textAlignment w:val="center"/>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丙二醇苯醚</w:t>
                  </w:r>
                </w:p>
              </w:tc>
              <w:tc>
                <w:tcPr>
                  <w:tcW w:w="608" w:type="pct"/>
                  <w:noWrap w:val="0"/>
                  <w:vAlign w:val="center"/>
                </w:tcPr>
                <w:p>
                  <w:pPr>
                    <w:widowControl/>
                    <w:jc w:val="center"/>
                    <w:textAlignment w:val="center"/>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0.6</w:t>
                  </w:r>
                </w:p>
              </w:tc>
              <w:tc>
                <w:tcPr>
                  <w:tcW w:w="652" w:type="pct"/>
                  <w:noWrap w:val="0"/>
                  <w:vAlign w:val="center"/>
                </w:tcPr>
                <w:p>
                  <w:pPr>
                    <w:widowControl/>
                    <w:jc w:val="center"/>
                    <w:textAlignment w:val="center"/>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0.06</w:t>
                  </w:r>
                </w:p>
              </w:tc>
              <w:tc>
                <w:tcPr>
                  <w:tcW w:w="786" w:type="pct"/>
                  <w:noWrap w:val="0"/>
                  <w:vAlign w:val="center"/>
                </w:tcPr>
                <w:p>
                  <w:pPr>
                    <w:widowControl/>
                    <w:jc w:val="center"/>
                    <w:textAlignment w:val="center"/>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0.4374</w:t>
                  </w:r>
                </w:p>
              </w:tc>
              <w:tc>
                <w:tcPr>
                  <w:tcW w:w="761" w:type="pct"/>
                  <w:noWrap w:val="0"/>
                  <w:vAlign w:val="center"/>
                </w:tcPr>
                <w:p>
                  <w:pPr>
                    <w:widowControl/>
                    <w:jc w:val="center"/>
                    <w:textAlignment w:val="center"/>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0.0486</w:t>
                  </w:r>
                </w:p>
              </w:tc>
              <w:tc>
                <w:tcPr>
                  <w:tcW w:w="779" w:type="pct"/>
                  <w:noWrap w:val="0"/>
                  <w:vAlign w:val="center"/>
                </w:tcPr>
                <w:p>
                  <w:pPr>
                    <w:widowControl/>
                    <w:jc w:val="center"/>
                    <w:textAlignment w:val="center"/>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0.054</w:t>
                  </w:r>
                </w:p>
              </w:tc>
              <w:tc>
                <w:tcPr>
                  <w:tcW w:w="542" w:type="pct"/>
                  <w:noWrap w:val="0"/>
                  <w:vAlign w:val="center"/>
                </w:tcPr>
                <w:p>
                  <w:pPr>
                    <w:widowControl/>
                    <w:jc w:val="center"/>
                    <w:textAlignment w:val="center"/>
                    <w:rPr>
                      <w:rFonts w:hint="eastAsia" w:cs="Times New Roman"/>
                      <w:b w:val="0"/>
                      <w:bCs w:val="0"/>
                      <w:color w:val="auto"/>
                      <w:sz w:val="21"/>
                      <w:szCs w:val="21"/>
                      <w:lang w:val="en-US" w:eastAsia="zh-CN"/>
                    </w:rPr>
                  </w:pPr>
                  <w:r>
                    <w:rPr>
                      <w:rFonts w:hint="eastAsia" w:cs="Times New Roman"/>
                      <w:b w:val="0"/>
                      <w:bCs w:val="0"/>
                      <w:color w:val="auto"/>
                      <w:sz w:val="21"/>
                      <w:szCs w:val="21"/>
                      <w:lang w:val="en-US" w:eastAsia="zh-CN"/>
                    </w:rPr>
                    <w:t>0.6</w:t>
                  </w:r>
                </w:p>
              </w:tc>
            </w:tr>
          </w:tbl>
          <w:p>
            <w:pPr>
              <w:adjustRightInd w:val="0"/>
              <w:snapToGrid w:val="0"/>
              <w:jc w:val="center"/>
              <w:rPr>
                <w:rFonts w:hint="default" w:ascii="Times New Roman" w:hAnsi="Times New Roman" w:eastAsia="宋体" w:cs="Times New Roman"/>
                <w:b/>
                <w:color w:val="auto"/>
                <w:sz w:val="24"/>
                <w:szCs w:val="22"/>
                <w:lang w:val="en-US" w:eastAsia="zh-CN"/>
              </w:rPr>
            </w:pPr>
            <w:r>
              <w:rPr>
                <w:rFonts w:hint="default" w:ascii="Times New Roman" w:hAnsi="Times New Roman" w:eastAsia="宋体" w:cs="Times New Roman"/>
                <w:b/>
                <w:color w:val="auto"/>
                <w:sz w:val="24"/>
                <w:szCs w:val="22"/>
                <w:lang w:val="en-US" w:eastAsia="zh-CN"/>
              </w:rPr>
              <w:t>表2-</w:t>
            </w:r>
            <w:r>
              <w:rPr>
                <w:rFonts w:hint="eastAsia" w:ascii="Times New Roman" w:hAnsi="Times New Roman" w:eastAsia="宋体" w:cs="Times New Roman"/>
                <w:b/>
                <w:color w:val="auto"/>
                <w:sz w:val="24"/>
                <w:szCs w:val="22"/>
                <w:lang w:val="en-US" w:eastAsia="zh-CN"/>
              </w:rPr>
              <w:t>9</w:t>
            </w:r>
            <w:r>
              <w:rPr>
                <w:rFonts w:hint="default" w:ascii="Times New Roman" w:hAnsi="Times New Roman" w:eastAsia="宋体" w:cs="Times New Roman"/>
                <w:b/>
                <w:color w:val="auto"/>
                <w:sz w:val="24"/>
                <w:szCs w:val="22"/>
                <w:lang w:val="en-US" w:eastAsia="zh-CN"/>
              </w:rPr>
              <w:t xml:space="preserve"> </w:t>
            </w:r>
            <w:r>
              <w:rPr>
                <w:rFonts w:hint="eastAsia" w:ascii="Times New Roman" w:hAnsi="Times New Roman" w:eastAsia="宋体" w:cs="Times New Roman"/>
                <w:b/>
                <w:color w:val="auto"/>
                <w:sz w:val="24"/>
                <w:szCs w:val="22"/>
                <w:lang w:val="en-US" w:eastAsia="zh-CN"/>
              </w:rPr>
              <w:t>本项目氮元素</w:t>
            </w:r>
            <w:r>
              <w:rPr>
                <w:rFonts w:hint="default" w:ascii="Times New Roman" w:hAnsi="Times New Roman" w:eastAsia="宋体" w:cs="Times New Roman"/>
                <w:b/>
                <w:color w:val="auto"/>
                <w:sz w:val="24"/>
                <w:szCs w:val="22"/>
                <w:lang w:val="en-US" w:eastAsia="zh-CN"/>
              </w:rPr>
              <w:t>平衡表（单位：t/a）</w:t>
            </w:r>
          </w:p>
          <w:tbl>
            <w:tblPr>
              <w:tblStyle w:val="22"/>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12"/>
              <w:gridCol w:w="1159"/>
              <w:gridCol w:w="1014"/>
              <w:gridCol w:w="1112"/>
              <w:gridCol w:w="972"/>
              <w:gridCol w:w="1326"/>
              <w:gridCol w:w="222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14" w:hRule="atLeast"/>
                <w:jc w:val="center"/>
              </w:trPr>
              <w:tc>
                <w:tcPr>
                  <w:tcW w:w="364" w:type="pct"/>
                  <w:vMerge w:val="restart"/>
                  <w:noWrap w:val="0"/>
                  <w:vAlign w:val="center"/>
                </w:tcPr>
                <w:p>
                  <w:pPr>
                    <w:adjustRightInd w:val="0"/>
                    <w:snapToGrid w:val="0"/>
                    <w:jc w:val="center"/>
                    <w:rPr>
                      <w:rFonts w:hint="eastAsia" w:ascii="Times New Roman" w:hAnsi="Times New Roman" w:eastAsia="宋体" w:cs="Times New Roman"/>
                      <w:b/>
                      <w:color w:val="auto"/>
                      <w:sz w:val="21"/>
                      <w:szCs w:val="21"/>
                      <w:lang w:val="en-US" w:eastAsia="zh-CN"/>
                    </w:rPr>
                  </w:pPr>
                  <w:r>
                    <w:rPr>
                      <w:rFonts w:hint="eastAsia" w:ascii="Times New Roman" w:hAnsi="Times New Roman" w:eastAsia="宋体" w:cs="Times New Roman"/>
                      <w:b/>
                      <w:color w:val="auto"/>
                      <w:sz w:val="21"/>
                      <w:szCs w:val="21"/>
                      <w:lang w:val="en-US" w:eastAsia="zh-CN"/>
                    </w:rPr>
                    <w:t>序号</w:t>
                  </w:r>
                </w:p>
              </w:tc>
              <w:tc>
                <w:tcPr>
                  <w:tcW w:w="1290" w:type="pct"/>
                  <w:gridSpan w:val="2"/>
                  <w:noWrap w:val="0"/>
                  <w:vAlign w:val="center"/>
                </w:tcPr>
                <w:p>
                  <w:pPr>
                    <w:adjustRightInd w:val="0"/>
                    <w:snapToGrid w:val="0"/>
                    <w:jc w:val="center"/>
                    <w:rPr>
                      <w:rFonts w:hint="eastAsia" w:ascii="Times New Roman" w:hAnsi="Times New Roman" w:eastAsia="宋体" w:cs="Times New Roman"/>
                      <w:b/>
                      <w:color w:val="auto"/>
                      <w:sz w:val="21"/>
                      <w:szCs w:val="21"/>
                      <w:lang w:val="en-US" w:eastAsia="zh-CN"/>
                    </w:rPr>
                  </w:pPr>
                  <w:r>
                    <w:rPr>
                      <w:rFonts w:hint="eastAsia" w:ascii="Times New Roman" w:hAnsi="Times New Roman" w:eastAsia="宋体" w:cs="Times New Roman"/>
                      <w:b/>
                      <w:color w:val="auto"/>
                      <w:sz w:val="21"/>
                      <w:szCs w:val="21"/>
                      <w:lang w:val="en-US" w:eastAsia="zh-CN"/>
                    </w:rPr>
                    <w:t>入方</w:t>
                  </w:r>
                </w:p>
              </w:tc>
              <w:tc>
                <w:tcPr>
                  <w:tcW w:w="3345" w:type="pct"/>
                  <w:gridSpan w:val="4"/>
                  <w:noWrap w:val="0"/>
                  <w:vAlign w:val="center"/>
                </w:tcPr>
                <w:p>
                  <w:pPr>
                    <w:adjustRightInd w:val="0"/>
                    <w:snapToGrid w:val="0"/>
                    <w:jc w:val="center"/>
                    <w:rPr>
                      <w:rFonts w:hint="eastAsia" w:ascii="Times New Roman" w:hAnsi="Times New Roman" w:eastAsia="宋体" w:cs="Times New Roman"/>
                      <w:b/>
                      <w:color w:val="auto"/>
                      <w:sz w:val="21"/>
                      <w:szCs w:val="21"/>
                      <w:lang w:val="en-US" w:eastAsia="zh-CN"/>
                    </w:rPr>
                  </w:pPr>
                  <w:r>
                    <w:rPr>
                      <w:rFonts w:hint="eastAsia" w:ascii="Times New Roman" w:hAnsi="Times New Roman" w:eastAsia="宋体" w:cs="Times New Roman"/>
                      <w:b/>
                      <w:color w:val="auto"/>
                      <w:sz w:val="21"/>
                      <w:szCs w:val="21"/>
                      <w:lang w:val="en-US" w:eastAsia="zh-CN"/>
                    </w:rPr>
                    <w:t>出方</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51" w:hRule="atLeast"/>
                <w:jc w:val="center"/>
              </w:trPr>
              <w:tc>
                <w:tcPr>
                  <w:tcW w:w="364" w:type="pct"/>
                  <w:vMerge w:val="continue"/>
                  <w:noWrap w:val="0"/>
                  <w:vAlign w:val="center"/>
                </w:tcPr>
                <w:p>
                  <w:pPr>
                    <w:spacing w:line="240" w:lineRule="auto"/>
                    <w:jc w:val="center"/>
                    <w:rPr>
                      <w:rFonts w:hint="eastAsia"/>
                      <w:color w:val="auto"/>
                      <w:sz w:val="21"/>
                      <w:szCs w:val="21"/>
                    </w:rPr>
                  </w:pPr>
                </w:p>
              </w:tc>
              <w:tc>
                <w:tcPr>
                  <w:tcW w:w="688" w:type="pct"/>
                  <w:noWrap w:val="0"/>
                  <w:vAlign w:val="center"/>
                </w:tcPr>
                <w:p>
                  <w:pPr>
                    <w:spacing w:line="240" w:lineRule="auto"/>
                    <w:jc w:val="center"/>
                    <w:rPr>
                      <w:rFonts w:hint="eastAsia"/>
                      <w:b/>
                      <w:bCs/>
                      <w:color w:val="auto"/>
                      <w:sz w:val="21"/>
                      <w:szCs w:val="21"/>
                    </w:rPr>
                  </w:pPr>
                  <w:r>
                    <w:rPr>
                      <w:rFonts w:hint="eastAsia"/>
                      <w:b/>
                      <w:bCs/>
                      <w:color w:val="auto"/>
                      <w:sz w:val="21"/>
                      <w:szCs w:val="21"/>
                    </w:rPr>
                    <w:t>物料名称</w:t>
                  </w:r>
                </w:p>
              </w:tc>
              <w:tc>
                <w:tcPr>
                  <w:tcW w:w="602" w:type="pct"/>
                  <w:noWrap w:val="0"/>
                  <w:vAlign w:val="center"/>
                </w:tcPr>
                <w:p>
                  <w:pPr>
                    <w:spacing w:line="240" w:lineRule="auto"/>
                    <w:jc w:val="center"/>
                    <w:rPr>
                      <w:rFonts w:hint="eastAsia"/>
                      <w:b/>
                      <w:bCs/>
                      <w:color w:val="auto"/>
                      <w:sz w:val="21"/>
                      <w:szCs w:val="21"/>
                    </w:rPr>
                  </w:pPr>
                  <w:r>
                    <w:rPr>
                      <w:rFonts w:hint="eastAsia"/>
                      <w:b/>
                      <w:bCs/>
                      <w:color w:val="auto"/>
                      <w:sz w:val="21"/>
                      <w:szCs w:val="21"/>
                    </w:rPr>
                    <w:t>数量</w:t>
                  </w:r>
                </w:p>
              </w:tc>
              <w:tc>
                <w:tcPr>
                  <w:tcW w:w="660" w:type="pct"/>
                  <w:noWrap w:val="0"/>
                  <w:vAlign w:val="center"/>
                </w:tcPr>
                <w:p>
                  <w:pPr>
                    <w:spacing w:line="240" w:lineRule="auto"/>
                    <w:jc w:val="center"/>
                    <w:rPr>
                      <w:rFonts w:hint="eastAsia"/>
                      <w:b/>
                      <w:bCs/>
                      <w:color w:val="auto"/>
                      <w:sz w:val="21"/>
                      <w:szCs w:val="21"/>
                    </w:rPr>
                  </w:pPr>
                  <w:r>
                    <w:rPr>
                      <w:rFonts w:hint="eastAsia"/>
                      <w:b/>
                      <w:bCs/>
                      <w:color w:val="auto"/>
                      <w:sz w:val="21"/>
                      <w:szCs w:val="21"/>
                    </w:rPr>
                    <w:t>产品</w:t>
                  </w:r>
                </w:p>
              </w:tc>
              <w:tc>
                <w:tcPr>
                  <w:tcW w:w="577" w:type="pct"/>
                  <w:noWrap w:val="0"/>
                  <w:vAlign w:val="center"/>
                </w:tcPr>
                <w:p>
                  <w:pPr>
                    <w:spacing w:line="240" w:lineRule="auto"/>
                    <w:jc w:val="center"/>
                    <w:rPr>
                      <w:rFonts w:hint="eastAsia"/>
                      <w:b/>
                      <w:bCs/>
                      <w:color w:val="auto"/>
                      <w:sz w:val="21"/>
                      <w:szCs w:val="21"/>
                    </w:rPr>
                  </w:pPr>
                  <w:r>
                    <w:rPr>
                      <w:rFonts w:hint="eastAsia"/>
                      <w:b/>
                      <w:bCs/>
                      <w:color w:val="auto"/>
                      <w:sz w:val="21"/>
                      <w:szCs w:val="21"/>
                    </w:rPr>
                    <w:t>废气</w:t>
                  </w:r>
                </w:p>
              </w:tc>
              <w:tc>
                <w:tcPr>
                  <w:tcW w:w="787" w:type="pct"/>
                  <w:noWrap w:val="0"/>
                  <w:vAlign w:val="center"/>
                </w:tcPr>
                <w:p>
                  <w:pPr>
                    <w:spacing w:line="240" w:lineRule="auto"/>
                    <w:jc w:val="center"/>
                    <w:rPr>
                      <w:rFonts w:hint="eastAsia"/>
                      <w:b/>
                      <w:bCs/>
                      <w:color w:val="auto"/>
                      <w:sz w:val="21"/>
                      <w:szCs w:val="21"/>
                    </w:rPr>
                  </w:pPr>
                  <w:r>
                    <w:rPr>
                      <w:rFonts w:hint="eastAsia"/>
                      <w:b/>
                      <w:bCs/>
                      <w:color w:val="auto"/>
                      <w:sz w:val="21"/>
                      <w:szCs w:val="21"/>
                    </w:rPr>
                    <w:t>废水</w:t>
                  </w:r>
                </w:p>
              </w:tc>
              <w:tc>
                <w:tcPr>
                  <w:tcW w:w="1320" w:type="pct"/>
                  <w:noWrap w:val="0"/>
                  <w:vAlign w:val="center"/>
                </w:tcPr>
                <w:p>
                  <w:pPr>
                    <w:spacing w:line="240" w:lineRule="auto"/>
                    <w:jc w:val="center"/>
                    <w:rPr>
                      <w:rFonts w:hint="eastAsia"/>
                      <w:b/>
                      <w:bCs/>
                      <w:color w:val="auto"/>
                      <w:sz w:val="21"/>
                      <w:szCs w:val="21"/>
                      <w:lang w:val="en-US" w:eastAsia="zh-CN"/>
                    </w:rPr>
                  </w:pPr>
                  <w:r>
                    <w:rPr>
                      <w:rFonts w:hint="eastAsia"/>
                      <w:b/>
                      <w:bCs/>
                      <w:color w:val="auto"/>
                      <w:sz w:val="21"/>
                      <w:szCs w:val="21"/>
                      <w:lang w:val="en-US" w:eastAsia="zh-CN"/>
                    </w:rPr>
                    <w:t>超滤系统处理后回用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68" w:hRule="atLeast"/>
                <w:jc w:val="center"/>
              </w:trPr>
              <w:tc>
                <w:tcPr>
                  <w:tcW w:w="364" w:type="pct"/>
                  <w:noWrap w:val="0"/>
                  <w:vAlign w:val="center"/>
                </w:tcPr>
                <w:p>
                  <w:pPr>
                    <w:jc w:val="center"/>
                    <w:rPr>
                      <w:rFonts w:hint="eastAsia"/>
                      <w:color w:val="auto"/>
                      <w:sz w:val="21"/>
                      <w:szCs w:val="21"/>
                    </w:rPr>
                  </w:pPr>
                  <w:r>
                    <w:rPr>
                      <w:rFonts w:hint="eastAsia"/>
                      <w:color w:val="auto"/>
                      <w:sz w:val="21"/>
                      <w:szCs w:val="21"/>
                    </w:rPr>
                    <w:t>1</w:t>
                  </w:r>
                </w:p>
              </w:tc>
              <w:tc>
                <w:tcPr>
                  <w:tcW w:w="688" w:type="pct"/>
                  <w:noWrap w:val="0"/>
                  <w:vAlign w:val="center"/>
                </w:tcPr>
                <w:p>
                  <w:pPr>
                    <w:spacing w:line="240" w:lineRule="auto"/>
                    <w:jc w:val="center"/>
                    <w:rPr>
                      <w:rFonts w:hint="default" w:eastAsia="宋体"/>
                      <w:color w:val="auto"/>
                      <w:sz w:val="21"/>
                      <w:szCs w:val="21"/>
                      <w:lang w:val="en-US" w:eastAsia="zh-CN"/>
                    </w:rPr>
                  </w:pPr>
                  <w:r>
                    <w:rPr>
                      <w:rFonts w:hint="eastAsia"/>
                      <w:color w:val="auto"/>
                      <w:sz w:val="21"/>
                      <w:szCs w:val="21"/>
                      <w:lang w:val="en-US" w:eastAsia="zh-CN"/>
                    </w:rPr>
                    <w:t>色浆中聚酰胺树脂</w:t>
                  </w:r>
                </w:p>
              </w:tc>
              <w:tc>
                <w:tcPr>
                  <w:tcW w:w="602" w:type="pct"/>
                  <w:noWrap w:val="0"/>
                  <w:vAlign w:val="center"/>
                </w:tcPr>
                <w:p>
                  <w:pPr>
                    <w:spacing w:line="240" w:lineRule="auto"/>
                    <w:jc w:val="center"/>
                    <w:rPr>
                      <w:rFonts w:hint="default" w:eastAsia="宋体"/>
                      <w:color w:val="auto"/>
                      <w:sz w:val="21"/>
                      <w:szCs w:val="21"/>
                      <w:lang w:val="en-US" w:eastAsia="zh-CN"/>
                    </w:rPr>
                  </w:pPr>
                  <w:r>
                    <w:rPr>
                      <w:rFonts w:hint="eastAsia"/>
                      <w:color w:val="auto"/>
                      <w:sz w:val="21"/>
                      <w:szCs w:val="21"/>
                    </w:rPr>
                    <w:t>0.2</w:t>
                  </w:r>
                  <w:r>
                    <w:rPr>
                      <w:rFonts w:hint="eastAsia"/>
                      <w:color w:val="auto"/>
                      <w:sz w:val="21"/>
                      <w:szCs w:val="21"/>
                      <w:lang w:val="en-US" w:eastAsia="zh-CN"/>
                    </w:rPr>
                    <w:t>84</w:t>
                  </w:r>
                </w:p>
              </w:tc>
              <w:tc>
                <w:tcPr>
                  <w:tcW w:w="660" w:type="pct"/>
                  <w:noWrap w:val="0"/>
                  <w:vAlign w:val="center"/>
                </w:tcPr>
                <w:p>
                  <w:pPr>
                    <w:jc w:val="center"/>
                    <w:rPr>
                      <w:rFonts w:hint="default" w:eastAsia="宋体"/>
                      <w:color w:val="auto"/>
                      <w:sz w:val="21"/>
                      <w:szCs w:val="21"/>
                      <w:lang w:val="en-US" w:eastAsia="zh-CN"/>
                    </w:rPr>
                  </w:pPr>
                  <w:r>
                    <w:rPr>
                      <w:rFonts w:hint="eastAsia"/>
                      <w:color w:val="auto"/>
                      <w:sz w:val="21"/>
                      <w:szCs w:val="21"/>
                      <w:lang w:val="en-US" w:eastAsia="zh-CN"/>
                    </w:rPr>
                    <w:t>0.0284</w:t>
                  </w:r>
                </w:p>
              </w:tc>
              <w:tc>
                <w:tcPr>
                  <w:tcW w:w="577" w:type="pct"/>
                  <w:noWrap w:val="0"/>
                  <w:vAlign w:val="center"/>
                </w:tcPr>
                <w:p>
                  <w:pPr>
                    <w:jc w:val="center"/>
                    <w:rPr>
                      <w:rFonts w:hint="eastAsia"/>
                      <w:color w:val="auto"/>
                      <w:sz w:val="21"/>
                      <w:szCs w:val="21"/>
                    </w:rPr>
                  </w:pPr>
                  <w:r>
                    <w:rPr>
                      <w:rFonts w:hint="eastAsia"/>
                      <w:color w:val="auto"/>
                      <w:sz w:val="21"/>
                      <w:szCs w:val="21"/>
                    </w:rPr>
                    <w:t>/</w:t>
                  </w:r>
                </w:p>
              </w:tc>
              <w:tc>
                <w:tcPr>
                  <w:tcW w:w="787" w:type="pct"/>
                  <w:noWrap w:val="0"/>
                  <w:vAlign w:val="center"/>
                </w:tcPr>
                <w:p>
                  <w:pPr>
                    <w:jc w:val="center"/>
                    <w:rPr>
                      <w:rFonts w:hint="eastAsia" w:eastAsia="宋体"/>
                      <w:color w:val="auto"/>
                      <w:sz w:val="21"/>
                      <w:szCs w:val="21"/>
                      <w:lang w:eastAsia="zh-CN"/>
                    </w:rPr>
                  </w:pPr>
                  <w:r>
                    <w:rPr>
                      <w:rFonts w:hint="eastAsia"/>
                      <w:color w:val="auto"/>
                      <w:sz w:val="21"/>
                      <w:szCs w:val="21"/>
                      <w:lang w:val="en-US" w:eastAsia="zh-CN"/>
                    </w:rPr>
                    <w:t>0</w:t>
                  </w:r>
                </w:p>
              </w:tc>
              <w:tc>
                <w:tcPr>
                  <w:tcW w:w="1320" w:type="pct"/>
                  <w:noWrap w:val="0"/>
                  <w:vAlign w:val="center"/>
                </w:tcPr>
                <w:p>
                  <w:pPr>
                    <w:jc w:val="center"/>
                    <w:rPr>
                      <w:rFonts w:hint="default"/>
                      <w:color w:val="auto"/>
                      <w:sz w:val="21"/>
                      <w:szCs w:val="21"/>
                      <w:lang w:val="en-US" w:eastAsia="zh-CN"/>
                    </w:rPr>
                  </w:pPr>
                  <w:r>
                    <w:rPr>
                      <w:rFonts w:hint="eastAsia"/>
                      <w:color w:val="auto"/>
                      <w:sz w:val="21"/>
                      <w:szCs w:val="21"/>
                      <w:lang w:val="en-US" w:eastAsia="zh-CN"/>
                    </w:rPr>
                    <w:t>0.2556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68" w:hRule="atLeast"/>
                <w:jc w:val="center"/>
              </w:trPr>
              <w:tc>
                <w:tcPr>
                  <w:tcW w:w="364" w:type="pct"/>
                  <w:noWrap w:val="0"/>
                  <w:vAlign w:val="center"/>
                </w:tcPr>
                <w:p>
                  <w:pPr>
                    <w:jc w:val="center"/>
                    <w:rPr>
                      <w:rFonts w:hint="eastAsia" w:eastAsia="宋体"/>
                      <w:color w:val="auto"/>
                      <w:sz w:val="21"/>
                      <w:szCs w:val="21"/>
                      <w:lang w:val="en-US" w:eastAsia="zh-CN"/>
                    </w:rPr>
                  </w:pPr>
                  <w:r>
                    <w:rPr>
                      <w:rFonts w:hint="eastAsia"/>
                      <w:color w:val="auto"/>
                      <w:sz w:val="21"/>
                      <w:szCs w:val="21"/>
                      <w:lang w:val="en-US" w:eastAsia="zh-CN"/>
                    </w:rPr>
                    <w:t>2</w:t>
                  </w:r>
                </w:p>
              </w:tc>
              <w:tc>
                <w:tcPr>
                  <w:tcW w:w="688" w:type="pct"/>
                  <w:noWrap w:val="0"/>
                  <w:vAlign w:val="center"/>
                </w:tcPr>
                <w:p>
                  <w:pPr>
                    <w:spacing w:line="240" w:lineRule="auto"/>
                    <w:jc w:val="center"/>
                    <w:rPr>
                      <w:rFonts w:hint="default" w:eastAsia="宋体"/>
                      <w:color w:val="auto"/>
                      <w:sz w:val="21"/>
                      <w:szCs w:val="21"/>
                      <w:lang w:val="en-US" w:eastAsia="zh-CN"/>
                    </w:rPr>
                  </w:pPr>
                  <w:r>
                    <w:rPr>
                      <w:rFonts w:hint="eastAsia"/>
                      <w:color w:val="auto"/>
                      <w:sz w:val="21"/>
                      <w:szCs w:val="21"/>
                      <w:lang w:val="en-US" w:eastAsia="zh-CN"/>
                    </w:rPr>
                    <w:t>乳液中聚酰胺树脂</w:t>
                  </w:r>
                </w:p>
              </w:tc>
              <w:tc>
                <w:tcPr>
                  <w:tcW w:w="602" w:type="pct"/>
                  <w:noWrap w:val="0"/>
                  <w:vAlign w:val="center"/>
                </w:tcPr>
                <w:p>
                  <w:pPr>
                    <w:spacing w:line="240" w:lineRule="auto"/>
                    <w:jc w:val="center"/>
                    <w:rPr>
                      <w:rFonts w:hint="default" w:eastAsia="宋体"/>
                      <w:color w:val="auto"/>
                      <w:sz w:val="21"/>
                      <w:szCs w:val="21"/>
                      <w:lang w:val="en-US" w:eastAsia="zh-CN"/>
                    </w:rPr>
                  </w:pPr>
                  <w:r>
                    <w:rPr>
                      <w:rFonts w:hint="eastAsia"/>
                      <w:color w:val="auto"/>
                      <w:sz w:val="21"/>
                      <w:szCs w:val="21"/>
                      <w:lang w:val="en-US" w:eastAsia="zh-CN"/>
                    </w:rPr>
                    <w:t>1.135</w:t>
                  </w:r>
                </w:p>
              </w:tc>
              <w:tc>
                <w:tcPr>
                  <w:tcW w:w="660" w:type="pct"/>
                  <w:noWrap w:val="0"/>
                  <w:vAlign w:val="center"/>
                </w:tcPr>
                <w:p>
                  <w:pPr>
                    <w:jc w:val="center"/>
                    <w:rPr>
                      <w:rFonts w:hint="default" w:eastAsia="宋体"/>
                      <w:color w:val="auto"/>
                      <w:sz w:val="21"/>
                      <w:szCs w:val="21"/>
                      <w:lang w:val="en-US" w:eastAsia="zh-CN"/>
                    </w:rPr>
                  </w:pPr>
                  <w:r>
                    <w:rPr>
                      <w:rFonts w:hint="eastAsia"/>
                      <w:color w:val="auto"/>
                      <w:sz w:val="21"/>
                      <w:szCs w:val="21"/>
                      <w:lang w:val="en-US" w:eastAsia="zh-CN"/>
                    </w:rPr>
                    <w:t>0.1135</w:t>
                  </w:r>
                </w:p>
              </w:tc>
              <w:tc>
                <w:tcPr>
                  <w:tcW w:w="577" w:type="pct"/>
                  <w:noWrap w:val="0"/>
                  <w:vAlign w:val="center"/>
                </w:tcPr>
                <w:p>
                  <w:pPr>
                    <w:jc w:val="center"/>
                    <w:rPr>
                      <w:rFonts w:hint="eastAsia"/>
                      <w:color w:val="auto"/>
                      <w:sz w:val="21"/>
                      <w:szCs w:val="21"/>
                    </w:rPr>
                  </w:pPr>
                  <w:r>
                    <w:rPr>
                      <w:rFonts w:hint="eastAsia"/>
                      <w:color w:val="auto"/>
                      <w:sz w:val="21"/>
                      <w:szCs w:val="21"/>
                    </w:rPr>
                    <w:t>/</w:t>
                  </w:r>
                </w:p>
              </w:tc>
              <w:tc>
                <w:tcPr>
                  <w:tcW w:w="787" w:type="pct"/>
                  <w:noWrap w:val="0"/>
                  <w:vAlign w:val="center"/>
                </w:tcPr>
                <w:p>
                  <w:pPr>
                    <w:jc w:val="center"/>
                    <w:rPr>
                      <w:rFonts w:hint="eastAsia"/>
                      <w:color w:val="auto"/>
                      <w:sz w:val="21"/>
                      <w:szCs w:val="21"/>
                      <w:lang w:val="en-US" w:eastAsia="zh-CN"/>
                    </w:rPr>
                  </w:pPr>
                  <w:r>
                    <w:rPr>
                      <w:rFonts w:hint="eastAsia"/>
                      <w:color w:val="auto"/>
                      <w:sz w:val="21"/>
                      <w:szCs w:val="21"/>
                      <w:lang w:val="en-US" w:eastAsia="zh-CN"/>
                    </w:rPr>
                    <w:t>0</w:t>
                  </w:r>
                </w:p>
              </w:tc>
              <w:tc>
                <w:tcPr>
                  <w:tcW w:w="1320" w:type="pct"/>
                  <w:noWrap w:val="0"/>
                  <w:vAlign w:val="center"/>
                </w:tcPr>
                <w:p>
                  <w:pPr>
                    <w:jc w:val="center"/>
                    <w:rPr>
                      <w:rFonts w:hint="default"/>
                      <w:color w:val="auto"/>
                      <w:sz w:val="21"/>
                      <w:szCs w:val="21"/>
                      <w:lang w:val="en-US" w:eastAsia="zh-CN"/>
                    </w:rPr>
                  </w:pPr>
                  <w:r>
                    <w:rPr>
                      <w:rFonts w:hint="eastAsia"/>
                      <w:color w:val="auto"/>
                      <w:sz w:val="21"/>
                      <w:szCs w:val="21"/>
                      <w:lang w:val="en-US" w:eastAsia="zh-CN"/>
                    </w:rPr>
                    <w:t>1.0215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364" w:type="pct"/>
                  <w:noWrap w:val="0"/>
                  <w:vAlign w:val="center"/>
                </w:tcPr>
                <w:p>
                  <w:pPr>
                    <w:spacing w:line="240" w:lineRule="auto"/>
                    <w:jc w:val="center"/>
                    <w:rPr>
                      <w:rFonts w:hint="eastAsia"/>
                      <w:color w:val="auto"/>
                      <w:sz w:val="21"/>
                      <w:szCs w:val="21"/>
                    </w:rPr>
                  </w:pPr>
                  <w:r>
                    <w:rPr>
                      <w:rFonts w:hint="eastAsia"/>
                      <w:color w:val="auto"/>
                      <w:sz w:val="21"/>
                      <w:szCs w:val="21"/>
                    </w:rPr>
                    <w:t>合计</w:t>
                  </w:r>
                </w:p>
              </w:tc>
              <w:tc>
                <w:tcPr>
                  <w:tcW w:w="1290" w:type="pct"/>
                  <w:gridSpan w:val="2"/>
                  <w:noWrap w:val="0"/>
                  <w:vAlign w:val="center"/>
                </w:tcPr>
                <w:p>
                  <w:pPr>
                    <w:spacing w:line="240" w:lineRule="auto"/>
                    <w:jc w:val="center"/>
                    <w:rPr>
                      <w:rFonts w:hint="default" w:eastAsia="宋体"/>
                      <w:color w:val="auto"/>
                      <w:sz w:val="21"/>
                      <w:szCs w:val="21"/>
                      <w:lang w:val="en-US" w:eastAsia="zh-CN"/>
                    </w:rPr>
                  </w:pPr>
                  <w:r>
                    <w:rPr>
                      <w:rFonts w:hint="eastAsia"/>
                      <w:color w:val="auto"/>
                      <w:sz w:val="21"/>
                      <w:szCs w:val="21"/>
                      <w:lang w:val="en-US" w:eastAsia="zh-CN"/>
                    </w:rPr>
                    <w:t>1.419</w:t>
                  </w:r>
                </w:p>
              </w:tc>
              <w:tc>
                <w:tcPr>
                  <w:tcW w:w="3345" w:type="pct"/>
                  <w:gridSpan w:val="4"/>
                  <w:noWrap w:val="0"/>
                  <w:vAlign w:val="center"/>
                </w:tcPr>
                <w:p>
                  <w:pPr>
                    <w:spacing w:line="240" w:lineRule="auto"/>
                    <w:jc w:val="center"/>
                    <w:rPr>
                      <w:rFonts w:hint="default" w:eastAsia="宋体"/>
                      <w:color w:val="auto"/>
                      <w:sz w:val="21"/>
                      <w:szCs w:val="21"/>
                      <w:lang w:val="en-US" w:eastAsia="zh-CN"/>
                    </w:rPr>
                  </w:pPr>
                  <w:r>
                    <w:rPr>
                      <w:rFonts w:hint="eastAsia"/>
                      <w:color w:val="auto"/>
                      <w:sz w:val="21"/>
                      <w:szCs w:val="21"/>
                      <w:lang w:val="en-US" w:eastAsia="zh-CN"/>
                    </w:rPr>
                    <w:t>1.419</w:t>
                  </w:r>
                </w:p>
              </w:tc>
            </w:tr>
          </w:tbl>
          <w:p>
            <w:pPr>
              <w:snapToGrid w:val="0"/>
              <w:spacing w:line="360" w:lineRule="auto"/>
              <w:ind w:firstLine="480" w:firstLineChars="200"/>
              <w:rPr>
                <w:rFonts w:hint="default" w:ascii="Times New Roman" w:hAnsi="Times New Roman" w:eastAsia="宋体" w:cs="Times New Roman"/>
                <w:color w:val="auto"/>
                <w:sz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9" w:hRule="atLeast"/>
          <w:jc w:val="center"/>
        </w:trPr>
        <w:tc>
          <w:tcPr>
            <w:tcW w:w="392" w:type="dxa"/>
            <w:vAlign w:val="center"/>
          </w:tcPr>
          <w:p>
            <w:pPr>
              <w:pStyle w:val="18"/>
              <w:adjustRightInd w:val="0"/>
              <w:snapToGrid w:val="0"/>
              <w:spacing w:before="0" w:beforeAutospacing="0" w:after="0" w:afterAutospacing="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kern w:val="2"/>
                <w:sz w:val="21"/>
                <w:szCs w:val="21"/>
              </w:rPr>
              <w:t>与项目有关的原有环境污染问题</w:t>
            </w:r>
          </w:p>
        </w:tc>
        <w:tc>
          <w:tcPr>
            <w:tcW w:w="8668" w:type="dxa"/>
          </w:tcPr>
          <w:p>
            <w:pPr>
              <w:adjustRightInd w:val="0"/>
              <w:snapToGrid w:val="0"/>
              <w:spacing w:line="360" w:lineRule="auto"/>
              <w:jc w:val="left"/>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一、原有项目概况</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（1）公司原有环保手续情况</w:t>
            </w:r>
          </w:p>
          <w:p>
            <w:pPr>
              <w:adjustRightInd w:val="0"/>
              <w:snapToGrid w:val="0"/>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lang w:eastAsia="zh-CN"/>
              </w:rPr>
              <w:t>常州市共创商贸有限公司</w:t>
            </w:r>
            <w:r>
              <w:rPr>
                <w:rFonts w:hint="default" w:ascii="Times New Roman" w:hAnsi="Times New Roman" w:eastAsia="宋体" w:cs="Times New Roman"/>
                <w:bCs/>
                <w:color w:val="auto"/>
                <w:sz w:val="24"/>
              </w:rPr>
              <w:t>成立于</w:t>
            </w:r>
            <w:r>
              <w:rPr>
                <w:rFonts w:hint="default" w:ascii="Times New Roman" w:hAnsi="Times New Roman" w:eastAsia="宋体" w:cs="Times New Roman"/>
                <w:bCs/>
                <w:color w:val="auto"/>
                <w:sz w:val="24"/>
                <w:lang w:val="en-US" w:eastAsia="zh-CN"/>
              </w:rPr>
              <w:t>2003</w:t>
            </w:r>
            <w:r>
              <w:rPr>
                <w:rFonts w:hint="default" w:ascii="Times New Roman" w:hAnsi="Times New Roman" w:eastAsia="宋体" w:cs="Times New Roman"/>
                <w:bCs/>
                <w:color w:val="auto"/>
                <w:sz w:val="24"/>
              </w:rPr>
              <w:t>年6月</w:t>
            </w:r>
            <w:r>
              <w:rPr>
                <w:rFonts w:hint="default" w:ascii="Times New Roman" w:hAnsi="Times New Roman" w:eastAsia="宋体" w:cs="Times New Roman"/>
                <w:bCs/>
                <w:color w:val="auto"/>
                <w:sz w:val="24"/>
                <w:lang w:val="en-US" w:eastAsia="zh-CN"/>
              </w:rPr>
              <w:t>24</w:t>
            </w:r>
            <w:r>
              <w:rPr>
                <w:rFonts w:hint="default" w:ascii="Times New Roman" w:hAnsi="Times New Roman" w:eastAsia="宋体" w:cs="Times New Roman"/>
                <w:bCs/>
                <w:color w:val="auto"/>
                <w:sz w:val="24"/>
              </w:rPr>
              <w:t>日，原有项目环评手续及环评批复、验收情况对照表见下表。</w:t>
            </w:r>
          </w:p>
          <w:p>
            <w:pPr>
              <w:adjustRightInd w:val="0"/>
              <w:snapToGrid w:val="0"/>
              <w:jc w:val="center"/>
              <w:rPr>
                <w:rFonts w:hint="default" w:ascii="Times New Roman" w:hAnsi="Times New Roman" w:eastAsia="宋体" w:cs="Times New Roman"/>
                <w:color w:val="auto"/>
                <w:sz w:val="24"/>
              </w:rPr>
            </w:pPr>
            <w:r>
              <w:rPr>
                <w:rFonts w:hint="default" w:ascii="Times New Roman" w:hAnsi="Times New Roman" w:eastAsia="宋体" w:cs="Times New Roman"/>
                <w:b/>
                <w:color w:val="auto"/>
                <w:sz w:val="24"/>
                <w:szCs w:val="22"/>
              </w:rPr>
              <w:t>表2-</w:t>
            </w:r>
            <w:r>
              <w:rPr>
                <w:rFonts w:hint="eastAsia" w:cs="Times New Roman"/>
                <w:b/>
                <w:color w:val="auto"/>
                <w:sz w:val="24"/>
                <w:szCs w:val="22"/>
                <w:lang w:val="en-US" w:eastAsia="zh-CN"/>
              </w:rPr>
              <w:t>10</w:t>
            </w:r>
            <w:r>
              <w:rPr>
                <w:rFonts w:hint="default" w:ascii="Times New Roman" w:hAnsi="Times New Roman" w:eastAsia="宋体" w:cs="Times New Roman"/>
                <w:b/>
                <w:color w:val="auto"/>
                <w:sz w:val="24"/>
                <w:szCs w:val="22"/>
              </w:rPr>
              <w:t xml:space="preserve"> 公司原有环保手续一览表</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62"/>
              <w:gridCol w:w="1433"/>
              <w:gridCol w:w="1099"/>
              <w:gridCol w:w="2402"/>
              <w:gridCol w:w="1734"/>
              <w:gridCol w:w="109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93" w:type="pc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序号</w:t>
                  </w:r>
                </w:p>
              </w:tc>
              <w:tc>
                <w:tcPr>
                  <w:tcW w:w="850" w:type="pc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项目名称</w:t>
                  </w:r>
                </w:p>
              </w:tc>
              <w:tc>
                <w:tcPr>
                  <w:tcW w:w="652" w:type="pct"/>
                  <w:tcBorders>
                    <w:bottom w:val="single" w:color="auto" w:sz="4" w:space="0"/>
                  </w:tcBorders>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报告类型</w:t>
                  </w:r>
                </w:p>
              </w:tc>
              <w:tc>
                <w:tcPr>
                  <w:tcW w:w="1425" w:type="pc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审批部门及时间</w:t>
                  </w:r>
                </w:p>
              </w:tc>
              <w:tc>
                <w:tcPr>
                  <w:tcW w:w="1029" w:type="pc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验收部门及时间</w:t>
                  </w:r>
                </w:p>
              </w:tc>
              <w:tc>
                <w:tcPr>
                  <w:tcW w:w="648" w:type="pc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生产情况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393"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850"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r>
                    <w:rPr>
                      <w:rFonts w:hint="default" w:ascii="Times New Roman" w:hAnsi="Times New Roman" w:eastAsia="宋体" w:cs="Times New Roman"/>
                      <w:color w:val="auto"/>
                      <w:szCs w:val="21"/>
                      <w:lang w:val="en-US" w:eastAsia="zh-CN"/>
                    </w:rPr>
                    <w:t>常色粉加工项目</w:t>
                  </w:r>
                  <w:r>
                    <w:rPr>
                      <w:rFonts w:hint="default" w:ascii="Times New Roman" w:hAnsi="Times New Roman" w:eastAsia="宋体" w:cs="Times New Roman"/>
                      <w:color w:val="auto"/>
                      <w:szCs w:val="21"/>
                    </w:rPr>
                    <w:t>”</w:t>
                  </w:r>
                </w:p>
              </w:tc>
              <w:tc>
                <w:tcPr>
                  <w:tcW w:w="652" w:type="pct"/>
                  <w:tcBorders>
                    <w:top w:val="single" w:color="auto" w:sz="4" w:space="0"/>
                    <w:bottom w:val="single" w:color="auto"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登记表</w:t>
                  </w:r>
                </w:p>
              </w:tc>
              <w:tc>
                <w:tcPr>
                  <w:tcW w:w="1425"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200</w:t>
                  </w:r>
                  <w:r>
                    <w:rPr>
                      <w:rFonts w:hint="default" w:ascii="Times New Roman" w:hAnsi="Times New Roman" w:eastAsia="宋体" w:cs="Times New Roman"/>
                      <w:color w:val="auto"/>
                      <w:szCs w:val="21"/>
                      <w:lang w:val="en-US" w:eastAsia="zh-CN"/>
                    </w:rPr>
                    <w:t>3</w:t>
                  </w:r>
                  <w:r>
                    <w:rPr>
                      <w:rFonts w:hint="default" w:ascii="Times New Roman" w:hAnsi="Times New Roman" w:eastAsia="宋体" w:cs="Times New Roman"/>
                      <w:color w:val="auto"/>
                      <w:szCs w:val="21"/>
                    </w:rPr>
                    <w:t>年</w:t>
                  </w:r>
                  <w:r>
                    <w:rPr>
                      <w:rFonts w:hint="default" w:ascii="Times New Roman" w:hAnsi="Times New Roman" w:eastAsia="宋体" w:cs="Times New Roman"/>
                      <w:color w:val="auto"/>
                      <w:szCs w:val="21"/>
                      <w:lang w:val="en-US" w:eastAsia="zh-CN"/>
                    </w:rPr>
                    <w:t>5</w:t>
                  </w:r>
                  <w:r>
                    <w:rPr>
                      <w:rFonts w:hint="default" w:ascii="Times New Roman" w:hAnsi="Times New Roman" w:eastAsia="宋体" w:cs="Times New Roman"/>
                      <w:color w:val="auto"/>
                      <w:szCs w:val="21"/>
                    </w:rPr>
                    <w:t>月</w:t>
                  </w:r>
                  <w:r>
                    <w:rPr>
                      <w:rFonts w:hint="default" w:ascii="Times New Roman" w:hAnsi="Times New Roman" w:eastAsia="宋体" w:cs="Times New Roman"/>
                      <w:color w:val="auto"/>
                      <w:szCs w:val="21"/>
                      <w:lang w:val="en-US" w:eastAsia="zh-CN"/>
                    </w:rPr>
                    <w:t>22</w:t>
                  </w:r>
                  <w:r>
                    <w:rPr>
                      <w:rFonts w:hint="default" w:ascii="Times New Roman" w:hAnsi="Times New Roman" w:eastAsia="宋体" w:cs="Times New Roman"/>
                      <w:color w:val="auto"/>
                      <w:szCs w:val="21"/>
                    </w:rPr>
                    <w:t>日取得常州市武进区环境保护局批复</w:t>
                  </w:r>
                </w:p>
              </w:tc>
              <w:tc>
                <w:tcPr>
                  <w:tcW w:w="1029" w:type="pct"/>
                  <w:vAlign w:val="center"/>
                </w:tcPr>
                <w:p>
                  <w:pPr>
                    <w:adjustRightInd w:val="0"/>
                    <w:snapToGrid w:val="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val="en-US" w:eastAsia="zh-CN"/>
                    </w:rPr>
                    <w:t>/</w:t>
                  </w:r>
                </w:p>
              </w:tc>
              <w:tc>
                <w:tcPr>
                  <w:tcW w:w="648" w:type="pct"/>
                  <w:vAlign w:val="center"/>
                </w:tcPr>
                <w:p>
                  <w:pPr>
                    <w:adjustRightInd w:val="0"/>
                    <w:snapToGrid w:val="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val="en-US" w:eastAsia="zh-CN"/>
                    </w:rPr>
                    <w:t>已停产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634" w:hRule="atLeast"/>
                <w:jc w:val="center"/>
              </w:trPr>
              <w:tc>
                <w:tcPr>
                  <w:tcW w:w="393"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850"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r>
                    <w:rPr>
                      <w:rFonts w:hint="default" w:ascii="Times New Roman" w:hAnsi="Times New Roman" w:eastAsia="宋体" w:cs="Times New Roman"/>
                      <w:color w:val="auto"/>
                      <w:szCs w:val="21"/>
                      <w:lang w:val="en-US" w:eastAsia="zh-CN"/>
                    </w:rPr>
                    <w:t>柴油机消声器、机械零部件制造加工，工业氯化钠销售项目</w:t>
                  </w:r>
                  <w:r>
                    <w:rPr>
                      <w:rFonts w:hint="default" w:ascii="Times New Roman" w:hAnsi="Times New Roman" w:eastAsia="宋体" w:cs="Times New Roman"/>
                      <w:color w:val="auto"/>
                      <w:szCs w:val="21"/>
                    </w:rPr>
                    <w:t>”</w:t>
                  </w:r>
                </w:p>
              </w:tc>
              <w:tc>
                <w:tcPr>
                  <w:tcW w:w="652" w:type="pct"/>
                  <w:tcBorders>
                    <w:top w:val="single" w:color="auto" w:sz="4" w:space="0"/>
                    <w:bottom w:val="single" w:color="auto"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登记表</w:t>
                  </w:r>
                </w:p>
              </w:tc>
              <w:tc>
                <w:tcPr>
                  <w:tcW w:w="1425"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200</w:t>
                  </w:r>
                  <w:r>
                    <w:rPr>
                      <w:rFonts w:hint="default" w:ascii="Times New Roman" w:hAnsi="Times New Roman" w:eastAsia="宋体" w:cs="Times New Roman"/>
                      <w:color w:val="auto"/>
                      <w:szCs w:val="21"/>
                      <w:lang w:val="en-US" w:eastAsia="zh-CN"/>
                    </w:rPr>
                    <w:t>3</w:t>
                  </w:r>
                  <w:r>
                    <w:rPr>
                      <w:rFonts w:hint="default" w:ascii="Times New Roman" w:hAnsi="Times New Roman" w:eastAsia="宋体" w:cs="Times New Roman"/>
                      <w:color w:val="auto"/>
                      <w:szCs w:val="21"/>
                    </w:rPr>
                    <w:t>年</w:t>
                  </w:r>
                  <w:r>
                    <w:rPr>
                      <w:rFonts w:hint="default" w:ascii="Times New Roman" w:hAnsi="Times New Roman" w:eastAsia="宋体" w:cs="Times New Roman"/>
                      <w:color w:val="auto"/>
                      <w:szCs w:val="21"/>
                      <w:lang w:val="en-US" w:eastAsia="zh-CN"/>
                    </w:rPr>
                    <w:t>11</w:t>
                  </w:r>
                  <w:r>
                    <w:rPr>
                      <w:rFonts w:hint="default" w:ascii="Times New Roman" w:hAnsi="Times New Roman" w:eastAsia="宋体" w:cs="Times New Roman"/>
                      <w:color w:val="auto"/>
                      <w:szCs w:val="21"/>
                    </w:rPr>
                    <w:t>月</w:t>
                  </w:r>
                  <w:r>
                    <w:rPr>
                      <w:rFonts w:hint="default" w:ascii="Times New Roman" w:hAnsi="Times New Roman" w:eastAsia="宋体" w:cs="Times New Roman"/>
                      <w:color w:val="auto"/>
                      <w:szCs w:val="21"/>
                      <w:lang w:val="en-US" w:eastAsia="zh-CN"/>
                    </w:rPr>
                    <w:t>28</w:t>
                  </w:r>
                  <w:r>
                    <w:rPr>
                      <w:rFonts w:hint="default" w:ascii="Times New Roman" w:hAnsi="Times New Roman" w:eastAsia="宋体" w:cs="Times New Roman"/>
                      <w:color w:val="auto"/>
                      <w:szCs w:val="21"/>
                    </w:rPr>
                    <w:t>日取得常州市武进区环境保护局批复</w:t>
                  </w:r>
                </w:p>
              </w:tc>
              <w:tc>
                <w:tcPr>
                  <w:tcW w:w="1029"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w:t>
                  </w:r>
                </w:p>
              </w:tc>
              <w:tc>
                <w:tcPr>
                  <w:tcW w:w="648" w:type="pct"/>
                  <w:vAlign w:val="center"/>
                </w:tcPr>
                <w:p>
                  <w:pPr>
                    <w:adjustRightInd w:val="0"/>
                    <w:snapToGrid w:val="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szCs w:val="21"/>
                      <w:lang w:val="en-US" w:eastAsia="zh-CN"/>
                    </w:rPr>
                    <w:t>正常生产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393"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c>
                <w:tcPr>
                  <w:tcW w:w="850"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r>
                    <w:rPr>
                      <w:rFonts w:hint="default" w:ascii="Times New Roman" w:hAnsi="Times New Roman" w:eastAsia="宋体" w:cs="Times New Roman"/>
                      <w:color w:val="auto"/>
                      <w:szCs w:val="21"/>
                      <w:lang w:val="en-US" w:eastAsia="zh-CN"/>
                    </w:rPr>
                    <w:t>促染剂加工项目</w:t>
                  </w:r>
                  <w:r>
                    <w:rPr>
                      <w:rFonts w:hint="default" w:ascii="Times New Roman" w:hAnsi="Times New Roman" w:eastAsia="宋体" w:cs="Times New Roman"/>
                      <w:color w:val="auto"/>
                      <w:szCs w:val="21"/>
                    </w:rPr>
                    <w:t>”</w:t>
                  </w:r>
                </w:p>
              </w:tc>
              <w:tc>
                <w:tcPr>
                  <w:tcW w:w="652" w:type="pct"/>
                  <w:tcBorders>
                    <w:top w:val="single" w:color="auto" w:sz="4" w:space="0"/>
                    <w:bottom w:val="single" w:color="auto"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登记表</w:t>
                  </w:r>
                </w:p>
              </w:tc>
              <w:tc>
                <w:tcPr>
                  <w:tcW w:w="1425"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200</w:t>
                  </w:r>
                  <w:r>
                    <w:rPr>
                      <w:rFonts w:hint="default" w:ascii="Times New Roman" w:hAnsi="Times New Roman" w:eastAsia="宋体" w:cs="Times New Roman"/>
                      <w:color w:val="auto"/>
                      <w:szCs w:val="21"/>
                      <w:lang w:val="en-US" w:eastAsia="zh-CN"/>
                    </w:rPr>
                    <w:t>4</w:t>
                  </w:r>
                  <w:r>
                    <w:rPr>
                      <w:rFonts w:hint="default" w:ascii="Times New Roman" w:hAnsi="Times New Roman" w:eastAsia="宋体" w:cs="Times New Roman"/>
                      <w:color w:val="auto"/>
                      <w:szCs w:val="21"/>
                    </w:rPr>
                    <w:t>年</w:t>
                  </w:r>
                  <w:r>
                    <w:rPr>
                      <w:rFonts w:hint="default" w:ascii="Times New Roman" w:hAnsi="Times New Roman" w:eastAsia="宋体" w:cs="Times New Roman"/>
                      <w:color w:val="auto"/>
                      <w:szCs w:val="21"/>
                      <w:lang w:val="en-US" w:eastAsia="zh-CN"/>
                    </w:rPr>
                    <w:t>10</w:t>
                  </w:r>
                  <w:r>
                    <w:rPr>
                      <w:rFonts w:hint="default" w:ascii="Times New Roman" w:hAnsi="Times New Roman" w:eastAsia="宋体" w:cs="Times New Roman"/>
                      <w:color w:val="auto"/>
                      <w:szCs w:val="21"/>
                    </w:rPr>
                    <w:t>月</w:t>
                  </w:r>
                  <w:r>
                    <w:rPr>
                      <w:rFonts w:hint="default" w:ascii="Times New Roman" w:hAnsi="Times New Roman" w:eastAsia="宋体" w:cs="Times New Roman"/>
                      <w:color w:val="auto"/>
                      <w:szCs w:val="21"/>
                      <w:lang w:val="en-US" w:eastAsia="zh-CN"/>
                    </w:rPr>
                    <w:t>08</w:t>
                  </w:r>
                  <w:r>
                    <w:rPr>
                      <w:rFonts w:hint="default" w:ascii="Times New Roman" w:hAnsi="Times New Roman" w:eastAsia="宋体" w:cs="Times New Roman"/>
                      <w:color w:val="auto"/>
                      <w:szCs w:val="21"/>
                    </w:rPr>
                    <w:t>日取得常州市武进区环境保护局批复</w:t>
                  </w:r>
                </w:p>
              </w:tc>
              <w:tc>
                <w:tcPr>
                  <w:tcW w:w="1029"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w:t>
                  </w:r>
                </w:p>
              </w:tc>
              <w:tc>
                <w:tcPr>
                  <w:tcW w:w="648"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已停产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393"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w:t>
                  </w:r>
                </w:p>
              </w:tc>
              <w:tc>
                <w:tcPr>
                  <w:tcW w:w="850"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r>
                    <w:rPr>
                      <w:rFonts w:hint="default" w:ascii="Times New Roman" w:hAnsi="Times New Roman" w:eastAsia="宋体" w:cs="Times New Roman"/>
                      <w:color w:val="auto"/>
                      <w:szCs w:val="21"/>
                      <w:lang w:val="en-US" w:eastAsia="zh-CN"/>
                    </w:rPr>
                    <w:t>玻璃钢制品加工项目</w:t>
                  </w:r>
                  <w:r>
                    <w:rPr>
                      <w:rFonts w:hint="default" w:ascii="Times New Roman" w:hAnsi="Times New Roman" w:eastAsia="宋体" w:cs="Times New Roman"/>
                      <w:color w:val="auto"/>
                      <w:szCs w:val="21"/>
                    </w:rPr>
                    <w:t>”</w:t>
                  </w:r>
                </w:p>
              </w:tc>
              <w:tc>
                <w:tcPr>
                  <w:tcW w:w="652" w:type="pct"/>
                  <w:tcBorders>
                    <w:top w:val="single" w:color="auto" w:sz="4" w:space="0"/>
                    <w:bottom w:val="single" w:color="auto" w:sz="12"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登记表</w:t>
                  </w:r>
                </w:p>
              </w:tc>
              <w:tc>
                <w:tcPr>
                  <w:tcW w:w="1425"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200</w:t>
                  </w:r>
                  <w:r>
                    <w:rPr>
                      <w:rFonts w:hint="default" w:ascii="Times New Roman" w:hAnsi="Times New Roman" w:eastAsia="宋体" w:cs="Times New Roman"/>
                      <w:color w:val="auto"/>
                      <w:szCs w:val="21"/>
                      <w:lang w:val="en-US" w:eastAsia="zh-CN"/>
                    </w:rPr>
                    <w:t>9</w:t>
                  </w:r>
                  <w:r>
                    <w:rPr>
                      <w:rFonts w:hint="default" w:ascii="Times New Roman" w:hAnsi="Times New Roman" w:eastAsia="宋体" w:cs="Times New Roman"/>
                      <w:color w:val="auto"/>
                      <w:szCs w:val="21"/>
                    </w:rPr>
                    <w:t>年</w:t>
                  </w:r>
                  <w:r>
                    <w:rPr>
                      <w:rFonts w:hint="default" w:ascii="Times New Roman" w:hAnsi="Times New Roman" w:eastAsia="宋体" w:cs="Times New Roman"/>
                      <w:color w:val="auto"/>
                      <w:szCs w:val="21"/>
                      <w:lang w:val="en-US" w:eastAsia="zh-CN"/>
                    </w:rPr>
                    <w:t>2</w:t>
                  </w:r>
                  <w:r>
                    <w:rPr>
                      <w:rFonts w:hint="default" w:ascii="Times New Roman" w:hAnsi="Times New Roman" w:eastAsia="宋体" w:cs="Times New Roman"/>
                      <w:color w:val="auto"/>
                      <w:szCs w:val="21"/>
                    </w:rPr>
                    <w:t>月</w:t>
                  </w:r>
                  <w:r>
                    <w:rPr>
                      <w:rFonts w:hint="default" w:ascii="Times New Roman" w:hAnsi="Times New Roman" w:eastAsia="宋体" w:cs="Times New Roman"/>
                      <w:color w:val="auto"/>
                      <w:szCs w:val="21"/>
                      <w:lang w:val="en-US" w:eastAsia="zh-CN"/>
                    </w:rPr>
                    <w:t>27</w:t>
                  </w:r>
                  <w:r>
                    <w:rPr>
                      <w:rFonts w:hint="default" w:ascii="Times New Roman" w:hAnsi="Times New Roman" w:eastAsia="宋体" w:cs="Times New Roman"/>
                      <w:color w:val="auto"/>
                      <w:szCs w:val="21"/>
                    </w:rPr>
                    <w:t>日取得常州市武进区环境保护局批复</w:t>
                  </w:r>
                </w:p>
              </w:tc>
              <w:tc>
                <w:tcPr>
                  <w:tcW w:w="1029"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w:t>
                  </w:r>
                </w:p>
              </w:tc>
              <w:tc>
                <w:tcPr>
                  <w:tcW w:w="648"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已停产</w:t>
                  </w:r>
                </w:p>
              </w:tc>
            </w:tr>
          </w:tbl>
          <w:p>
            <w:pPr>
              <w:pStyle w:val="2"/>
              <w:spacing w:after="0" w:line="360" w:lineRule="auto"/>
              <w:ind w:left="0" w:leftChars="0" w:right="0" w:rightChars="0"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（2）排污许可证申领情况</w:t>
            </w:r>
          </w:p>
          <w:p>
            <w:pPr>
              <w:pStyle w:val="2"/>
              <w:spacing w:after="0" w:line="360" w:lineRule="auto"/>
              <w:ind w:left="0" w:leftChars="0" w:right="0" w:rightChars="0"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企业与2020年</w:t>
            </w:r>
            <w:r>
              <w:rPr>
                <w:rFonts w:hint="default"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rPr>
              <w:t>月</w:t>
            </w:r>
            <w:r>
              <w:rPr>
                <w:rFonts w:hint="default" w:ascii="Times New Roman" w:hAnsi="Times New Roman" w:eastAsia="宋体" w:cs="Times New Roman"/>
                <w:color w:val="auto"/>
                <w:sz w:val="24"/>
                <w:szCs w:val="24"/>
                <w:lang w:val="en-US" w:eastAsia="zh-CN"/>
              </w:rPr>
              <w:t>15</w:t>
            </w:r>
            <w:r>
              <w:rPr>
                <w:rFonts w:hint="default" w:ascii="Times New Roman" w:hAnsi="Times New Roman" w:eastAsia="宋体" w:cs="Times New Roman"/>
                <w:color w:val="auto"/>
                <w:sz w:val="24"/>
                <w:szCs w:val="24"/>
              </w:rPr>
              <w:t>日取得固定污染源排污登记回执（详见附件9），有效期为2020年0</w:t>
            </w:r>
            <w:r>
              <w:rPr>
                <w:rFonts w:hint="default"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rPr>
              <w:t>月</w:t>
            </w:r>
            <w:r>
              <w:rPr>
                <w:rFonts w:hint="default" w:ascii="Times New Roman" w:hAnsi="Times New Roman" w:eastAsia="宋体" w:cs="Times New Roman"/>
                <w:color w:val="auto"/>
                <w:sz w:val="24"/>
                <w:szCs w:val="24"/>
                <w:lang w:val="en-US" w:eastAsia="zh-CN"/>
              </w:rPr>
              <w:t>15</w:t>
            </w:r>
            <w:r>
              <w:rPr>
                <w:rFonts w:hint="default" w:ascii="Times New Roman" w:hAnsi="Times New Roman" w:eastAsia="宋体" w:cs="Times New Roman"/>
                <w:color w:val="auto"/>
                <w:sz w:val="24"/>
                <w:szCs w:val="24"/>
              </w:rPr>
              <w:t>日至2025年0</w:t>
            </w:r>
            <w:r>
              <w:rPr>
                <w:rFonts w:hint="default"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rPr>
              <w:t>月</w:t>
            </w:r>
            <w:r>
              <w:rPr>
                <w:rFonts w:hint="default" w:ascii="Times New Roman" w:hAnsi="Times New Roman" w:eastAsia="宋体" w:cs="Times New Roman"/>
                <w:color w:val="auto"/>
                <w:sz w:val="24"/>
                <w:szCs w:val="24"/>
                <w:lang w:val="en-US" w:eastAsia="zh-CN"/>
              </w:rPr>
              <w:t>14</w:t>
            </w:r>
            <w:r>
              <w:rPr>
                <w:rFonts w:hint="default" w:ascii="Times New Roman" w:hAnsi="Times New Roman" w:eastAsia="宋体" w:cs="Times New Roman"/>
                <w:color w:val="auto"/>
                <w:sz w:val="24"/>
                <w:szCs w:val="24"/>
              </w:rPr>
              <w:t>日。</w:t>
            </w:r>
          </w:p>
          <w:p>
            <w:pPr>
              <w:adjustRightInd w:val="0"/>
              <w:snapToGrid w:val="0"/>
              <w:spacing w:line="360" w:lineRule="auto"/>
              <w:rPr>
                <w:rFonts w:hint="default" w:ascii="Times New Roman" w:hAnsi="Times New Roman" w:eastAsia="宋体" w:cs="Times New Roman"/>
                <w:bCs/>
                <w:color w:val="auto"/>
                <w:szCs w:val="21"/>
              </w:rPr>
            </w:pPr>
            <w:r>
              <w:rPr>
                <w:rFonts w:hint="default" w:ascii="Times New Roman" w:hAnsi="Times New Roman" w:eastAsia="宋体" w:cs="Times New Roman"/>
                <w:b/>
                <w:color w:val="auto"/>
                <w:sz w:val="24"/>
              </w:rPr>
              <w:t>二、原有项目生产工艺</w:t>
            </w:r>
          </w:p>
          <w:p>
            <w:pPr>
              <w:pStyle w:val="2"/>
              <w:spacing w:after="0" w:line="360" w:lineRule="auto"/>
              <w:ind w:left="0" w:leftChars="0" w:right="0" w:rightChars="0"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原有项目生产工艺为</w:t>
            </w:r>
            <w:r>
              <w:rPr>
                <w:rFonts w:hint="default" w:ascii="Times New Roman" w:hAnsi="Times New Roman" w:eastAsia="宋体" w:cs="Times New Roman"/>
                <w:color w:val="auto"/>
                <w:sz w:val="24"/>
                <w:szCs w:val="24"/>
                <w:lang w:val="en-US" w:eastAsia="zh-CN"/>
              </w:rPr>
              <w:t>柴油机消声器、机械零部件制造</w:t>
            </w:r>
            <w:r>
              <w:rPr>
                <w:rFonts w:hint="default" w:ascii="Times New Roman" w:hAnsi="Times New Roman" w:eastAsia="宋体" w:cs="Times New Roman"/>
                <w:color w:val="auto"/>
                <w:sz w:val="24"/>
                <w:szCs w:val="24"/>
              </w:rPr>
              <w:t>工艺，</w:t>
            </w:r>
            <w:r>
              <w:rPr>
                <w:rFonts w:hint="default" w:ascii="Times New Roman" w:hAnsi="Times New Roman" w:eastAsia="宋体" w:cs="Times New Roman"/>
                <w:color w:val="auto"/>
                <w:sz w:val="24"/>
                <w:szCs w:val="24"/>
                <w:lang w:val="en-US" w:eastAsia="zh-CN"/>
              </w:rPr>
              <w:t>其中喷漆工段</w:t>
            </w:r>
            <w:r>
              <w:rPr>
                <w:rFonts w:hint="eastAsia" w:ascii="Times New Roman" w:hAnsi="Times New Roman" w:cs="Times New Roman"/>
                <w:color w:val="auto"/>
                <w:sz w:val="24"/>
                <w:szCs w:val="24"/>
                <w:lang w:val="en-US" w:eastAsia="zh-CN"/>
              </w:rPr>
              <w:t>实际委外生产</w:t>
            </w:r>
            <w:r>
              <w:rPr>
                <w:rFonts w:hint="default" w:ascii="Times New Roman" w:hAnsi="Times New Roman" w:eastAsia="宋体" w:cs="Times New Roman"/>
                <w:color w:val="auto"/>
                <w:sz w:val="24"/>
                <w:szCs w:val="24"/>
                <w:lang w:val="en-US" w:eastAsia="zh-CN"/>
              </w:rPr>
              <w:t>，其他</w:t>
            </w:r>
            <w:r>
              <w:rPr>
                <w:rFonts w:hint="default" w:ascii="Times New Roman" w:hAnsi="Times New Roman" w:eastAsia="宋体" w:cs="Times New Roman"/>
                <w:color w:val="auto"/>
                <w:sz w:val="24"/>
                <w:szCs w:val="24"/>
              </w:rPr>
              <w:t>生产工艺未发生变化。</w:t>
            </w:r>
          </w:p>
          <w:p>
            <w:pPr>
              <w:pStyle w:val="2"/>
              <w:spacing w:after="0" w:line="360" w:lineRule="auto"/>
              <w:ind w:left="0" w:leftChars="0" w:right="0" w:rightChars="0"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柴油机消声器加工</w:t>
            </w:r>
            <w:r>
              <w:rPr>
                <w:rFonts w:hint="default" w:ascii="Times New Roman" w:hAnsi="Times New Roman" w:eastAsia="宋体" w:cs="Times New Roman"/>
                <w:color w:val="auto"/>
                <w:sz w:val="24"/>
                <w:szCs w:val="24"/>
              </w:rPr>
              <w:t>工艺：</w:t>
            </w:r>
          </w:p>
          <w:p>
            <w:pPr>
              <w:pStyle w:val="2"/>
              <w:spacing w:after="0" w:line="360" w:lineRule="auto"/>
              <w:ind w:left="0" w:leftChars="0" w:right="0" w:rightChars="0" w:firstLine="422" w:firstLineChars="20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b/>
                <w:color w:val="auto"/>
                <w:szCs w:val="24"/>
              </w:rPr>
              <w:object>
                <v:shape id="_x0000_i1028" o:spt="75" type="#_x0000_t75" style="height:153.4pt;width:166.75pt;" o:ole="t" filled="f" o:preferrelative="t" stroked="f" coordsize="21600,21600">
                  <v:path/>
                  <v:fill on="f" focussize="0,0"/>
                  <v:stroke on="f"/>
                  <v:imagedata r:id="rId20" o:title=""/>
                  <o:lock v:ext="edit" aspectratio="f"/>
                  <w10:wrap type="none"/>
                  <w10:anchorlock/>
                </v:shape>
                <o:OLEObject Type="Embed" ProgID="Visio.Drawing.11" ShapeID="_x0000_i1028" DrawAspect="Content" ObjectID="_1468075728" r:id="rId19">
                  <o:LockedField>false</o:LockedField>
                </o:OLEObject>
              </w:object>
            </w:r>
          </w:p>
          <w:p>
            <w:pPr>
              <w:pStyle w:val="2"/>
              <w:spacing w:after="0" w:line="360" w:lineRule="auto"/>
              <w:ind w:left="0" w:leftChars="0" w:right="0" w:rightChars="0"/>
              <w:jc w:val="center"/>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图2-</w:t>
            </w:r>
            <w:r>
              <w:rPr>
                <w:rFonts w:hint="default" w:ascii="Times New Roman" w:hAnsi="Times New Roman" w:eastAsia="宋体" w:cs="Times New Roman"/>
                <w:b/>
                <w:color w:val="auto"/>
                <w:sz w:val="24"/>
                <w:szCs w:val="24"/>
                <w:lang w:val="en-US" w:eastAsia="zh-CN"/>
              </w:rPr>
              <w:t>4柴油机消声器加工</w:t>
            </w:r>
            <w:r>
              <w:rPr>
                <w:rFonts w:hint="default" w:ascii="Times New Roman" w:hAnsi="Times New Roman" w:eastAsia="宋体" w:cs="Times New Roman"/>
                <w:b/>
                <w:color w:val="auto"/>
                <w:sz w:val="24"/>
                <w:szCs w:val="24"/>
              </w:rPr>
              <w:t>工艺流程图</w:t>
            </w:r>
          </w:p>
          <w:p>
            <w:pPr>
              <w:pStyle w:val="2"/>
              <w:spacing w:after="0" w:line="360" w:lineRule="auto"/>
              <w:ind w:left="0" w:leftChars="0" w:right="0" w:rightChars="0" w:firstLine="482" w:firstLineChars="200"/>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工艺流程简述：</w:t>
            </w:r>
          </w:p>
          <w:p>
            <w:pPr>
              <w:spacing w:line="360" w:lineRule="auto"/>
              <w:ind w:firstLine="482" w:firstLineChars="200"/>
              <w:rPr>
                <w:rFonts w:hint="default" w:ascii="Times New Roman" w:hAnsi="Times New Roman" w:eastAsia="宋体" w:cs="Times New Roman"/>
                <w:color w:val="auto"/>
                <w:sz w:val="24"/>
                <w:szCs w:val="24"/>
                <w:shd w:val="clear" w:color="auto" w:fill="FFFFFF"/>
                <w:lang w:eastAsia="zh-CN"/>
              </w:rPr>
            </w:pPr>
            <w:r>
              <w:rPr>
                <w:rFonts w:hint="default" w:ascii="Times New Roman" w:hAnsi="Times New Roman" w:eastAsia="宋体" w:cs="Times New Roman"/>
                <w:b/>
                <w:color w:val="auto"/>
                <w:sz w:val="24"/>
                <w:lang w:val="en-US" w:eastAsia="zh-CN"/>
              </w:rPr>
              <w:t>冲压成型</w:t>
            </w:r>
            <w:r>
              <w:rPr>
                <w:rFonts w:hint="default" w:ascii="Times New Roman" w:hAnsi="Times New Roman" w:eastAsia="宋体" w:cs="Times New Roman"/>
                <w:b/>
                <w:color w:val="auto"/>
                <w:sz w:val="24"/>
              </w:rPr>
              <w:t>：</w:t>
            </w:r>
            <w:r>
              <w:rPr>
                <w:rFonts w:hint="default" w:ascii="Times New Roman" w:hAnsi="Times New Roman" w:eastAsia="宋体" w:cs="Times New Roman"/>
                <w:color w:val="auto"/>
                <w:sz w:val="24"/>
              </w:rPr>
              <w:t>根据</w:t>
            </w:r>
            <w:r>
              <w:rPr>
                <w:rFonts w:hint="default" w:ascii="Times New Roman" w:hAnsi="Times New Roman" w:eastAsia="宋体" w:cs="Times New Roman"/>
                <w:color w:val="auto"/>
                <w:sz w:val="24"/>
                <w:lang w:eastAsia="zh-CN"/>
              </w:rPr>
              <w:t>客户要求</w:t>
            </w:r>
            <w:r>
              <w:rPr>
                <w:rFonts w:hint="default" w:ascii="Times New Roman" w:hAnsi="Times New Roman" w:eastAsia="宋体" w:cs="Times New Roman"/>
                <w:bCs/>
                <w:color w:val="auto"/>
                <w:sz w:val="24"/>
                <w:szCs w:val="24"/>
              </w:rPr>
              <w:t>利用</w:t>
            </w:r>
            <w:r>
              <w:rPr>
                <w:rFonts w:hint="default" w:ascii="Times New Roman" w:hAnsi="Times New Roman" w:eastAsia="宋体" w:cs="Times New Roman"/>
                <w:bCs/>
                <w:color w:val="auto"/>
                <w:sz w:val="24"/>
                <w:szCs w:val="24"/>
                <w:lang w:val="en-US" w:eastAsia="zh-CN"/>
              </w:rPr>
              <w:t>冲床</w:t>
            </w:r>
            <w:r>
              <w:rPr>
                <w:rFonts w:hint="default" w:ascii="Times New Roman" w:hAnsi="Times New Roman" w:eastAsia="宋体" w:cs="Times New Roman"/>
                <w:bCs/>
                <w:color w:val="auto"/>
                <w:sz w:val="24"/>
                <w:szCs w:val="24"/>
              </w:rPr>
              <w:t>对</w:t>
            </w:r>
            <w:r>
              <w:rPr>
                <w:rFonts w:hint="default" w:ascii="Times New Roman" w:hAnsi="Times New Roman" w:eastAsia="宋体" w:cs="Times New Roman"/>
                <w:bCs/>
                <w:color w:val="auto"/>
                <w:sz w:val="24"/>
                <w:szCs w:val="24"/>
                <w:lang w:val="en-US" w:eastAsia="zh-CN"/>
              </w:rPr>
              <w:t>冷轧板</w:t>
            </w:r>
            <w:r>
              <w:rPr>
                <w:rFonts w:hint="default" w:ascii="Times New Roman" w:hAnsi="Times New Roman" w:eastAsia="宋体" w:cs="Times New Roman"/>
                <w:bCs/>
                <w:color w:val="auto"/>
                <w:sz w:val="24"/>
                <w:szCs w:val="24"/>
              </w:rPr>
              <w:t>进行</w:t>
            </w:r>
            <w:r>
              <w:rPr>
                <w:rFonts w:hint="default" w:ascii="Times New Roman" w:hAnsi="Times New Roman" w:eastAsia="宋体" w:cs="Times New Roman"/>
                <w:bCs/>
                <w:color w:val="auto"/>
                <w:sz w:val="24"/>
                <w:szCs w:val="24"/>
                <w:lang w:val="en-US" w:eastAsia="zh-CN"/>
              </w:rPr>
              <w:t>冲压</w:t>
            </w:r>
            <w:r>
              <w:rPr>
                <w:rFonts w:hint="default" w:ascii="Times New Roman" w:hAnsi="Times New Roman" w:eastAsia="宋体" w:cs="Times New Roman"/>
                <w:bCs/>
                <w:color w:val="auto"/>
                <w:sz w:val="24"/>
                <w:szCs w:val="24"/>
              </w:rPr>
              <w:t>加工，此工序生产过程中产生边角料</w:t>
            </w:r>
            <w:r>
              <w:rPr>
                <w:rFonts w:hint="default" w:ascii="Times New Roman" w:hAnsi="Times New Roman" w:eastAsia="宋体" w:cs="Times New Roman"/>
                <w:color w:val="auto"/>
                <w:sz w:val="24"/>
                <w:szCs w:val="24"/>
                <w:shd w:val="clear" w:color="auto" w:fill="FFFFFF"/>
              </w:rPr>
              <w:t>。</w:t>
            </w:r>
          </w:p>
          <w:p>
            <w:pPr>
              <w:spacing w:line="360" w:lineRule="auto"/>
              <w:ind w:firstLine="482" w:firstLineChars="200"/>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b/>
                <w:color w:val="auto"/>
                <w:sz w:val="24"/>
                <w:lang w:eastAsia="zh-CN"/>
              </w:rPr>
              <w:t>焊接</w:t>
            </w:r>
            <w:r>
              <w:rPr>
                <w:rFonts w:hint="default" w:ascii="Times New Roman" w:hAnsi="Times New Roman" w:eastAsia="宋体" w:cs="Times New Roman"/>
                <w:b/>
                <w:color w:val="auto"/>
                <w:sz w:val="24"/>
              </w:rPr>
              <w:t>：</w:t>
            </w:r>
            <w:r>
              <w:rPr>
                <w:rFonts w:hint="default" w:ascii="Times New Roman" w:hAnsi="Times New Roman" w:eastAsia="宋体" w:cs="Times New Roman"/>
                <w:color w:val="auto"/>
                <w:sz w:val="24"/>
                <w:szCs w:val="24"/>
                <w:u w:val="none"/>
              </w:rPr>
              <w:t>将工件</w:t>
            </w:r>
            <w:r>
              <w:rPr>
                <w:rFonts w:hint="default" w:ascii="Times New Roman" w:hAnsi="Times New Roman" w:eastAsia="宋体" w:cs="Times New Roman"/>
                <w:color w:val="auto"/>
                <w:sz w:val="24"/>
                <w:szCs w:val="24"/>
                <w:u w:val="none"/>
                <w:lang w:eastAsia="zh-CN"/>
              </w:rPr>
              <w:t>的</w:t>
            </w:r>
            <w:r>
              <w:rPr>
                <w:rFonts w:hint="default" w:ascii="Times New Roman" w:hAnsi="Times New Roman" w:eastAsia="宋体" w:cs="Times New Roman"/>
                <w:color w:val="auto"/>
                <w:sz w:val="24"/>
                <w:szCs w:val="24"/>
                <w:u w:val="none"/>
              </w:rPr>
              <w:t>部分连接处用</w:t>
            </w:r>
            <w:r>
              <w:rPr>
                <w:rFonts w:hint="default" w:ascii="Times New Roman" w:hAnsi="Times New Roman" w:eastAsia="宋体" w:cs="Times New Roman"/>
                <w:color w:val="auto"/>
                <w:sz w:val="24"/>
                <w:szCs w:val="24"/>
                <w:u w:val="none"/>
                <w:lang w:val="en-US" w:eastAsia="zh-CN"/>
              </w:rPr>
              <w:t>气保焊</w:t>
            </w:r>
            <w:r>
              <w:rPr>
                <w:rFonts w:hint="default" w:ascii="Times New Roman" w:hAnsi="Times New Roman" w:eastAsia="宋体" w:cs="Times New Roman"/>
                <w:color w:val="auto"/>
                <w:sz w:val="24"/>
                <w:szCs w:val="24"/>
                <w:u w:val="none"/>
              </w:rPr>
              <w:t>进行焊接</w:t>
            </w:r>
            <w:r>
              <w:rPr>
                <w:rFonts w:hint="default" w:ascii="Times New Roman" w:hAnsi="Times New Roman" w:eastAsia="宋体" w:cs="Times New Roman"/>
                <w:color w:val="auto"/>
                <w:sz w:val="24"/>
                <w:szCs w:val="24"/>
                <w:lang w:eastAsia="zh-CN"/>
              </w:rPr>
              <w:t>得到成品。此工序生产过程中会产生</w:t>
            </w:r>
            <w:r>
              <w:rPr>
                <w:rFonts w:hint="default" w:ascii="Times New Roman" w:hAnsi="Times New Roman" w:eastAsia="宋体" w:cs="Times New Roman"/>
                <w:color w:val="auto"/>
                <w:sz w:val="24"/>
                <w:szCs w:val="24"/>
                <w:lang w:val="en-US" w:eastAsia="zh-CN"/>
              </w:rPr>
              <w:t>烟尘</w:t>
            </w:r>
            <w:r>
              <w:rPr>
                <w:rFonts w:hint="default" w:ascii="Times New Roman" w:hAnsi="Times New Roman" w:eastAsia="宋体" w:cs="Times New Roman"/>
                <w:color w:val="auto"/>
                <w:sz w:val="24"/>
                <w:szCs w:val="24"/>
                <w:lang w:eastAsia="zh-CN"/>
              </w:rPr>
              <w:t>、噪声和焊渣。</w:t>
            </w:r>
          </w:p>
          <w:p>
            <w:pPr>
              <w:spacing w:line="360" w:lineRule="auto"/>
              <w:ind w:firstLine="482" w:firstLineChars="200"/>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b/>
                <w:color w:val="auto"/>
                <w:sz w:val="24"/>
                <w:lang w:val="en-US" w:eastAsia="zh-CN"/>
              </w:rPr>
              <w:t>喷漆：</w:t>
            </w:r>
            <w:r>
              <w:rPr>
                <w:rFonts w:hint="default" w:ascii="Times New Roman" w:hAnsi="Times New Roman" w:eastAsia="宋体" w:cs="Times New Roman"/>
                <w:color w:val="auto"/>
                <w:sz w:val="24"/>
                <w:szCs w:val="24"/>
                <w:u w:val="none"/>
                <w:lang w:val="en-US" w:eastAsia="zh-CN"/>
              </w:rPr>
              <w:t>喷漆委外加工</w:t>
            </w:r>
            <w:r>
              <w:rPr>
                <w:rFonts w:hint="default" w:ascii="Times New Roman" w:hAnsi="Times New Roman" w:eastAsia="宋体" w:cs="Times New Roman"/>
                <w:color w:val="auto"/>
                <w:sz w:val="24"/>
                <w:szCs w:val="24"/>
                <w:lang w:eastAsia="zh-CN"/>
              </w:rPr>
              <w:t>。</w:t>
            </w:r>
          </w:p>
          <w:p>
            <w:pPr>
              <w:pStyle w:val="2"/>
              <w:spacing w:after="0" w:line="360" w:lineRule="auto"/>
              <w:ind w:left="0" w:leftChars="0" w:right="0" w:rightChars="0"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机械零部件制造</w:t>
            </w:r>
            <w:r>
              <w:rPr>
                <w:rFonts w:hint="default" w:ascii="Times New Roman" w:hAnsi="Times New Roman" w:eastAsia="宋体" w:cs="Times New Roman"/>
                <w:color w:val="auto"/>
                <w:sz w:val="24"/>
                <w:szCs w:val="24"/>
              </w:rPr>
              <w:t>工艺：</w:t>
            </w:r>
          </w:p>
          <w:p>
            <w:pPr>
              <w:pStyle w:val="2"/>
              <w:spacing w:after="0" w:line="360" w:lineRule="auto"/>
              <w:ind w:left="0" w:leftChars="0" w:right="0" w:rightChars="0" w:firstLine="422" w:firstLineChars="20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b/>
                <w:color w:val="auto"/>
                <w:szCs w:val="24"/>
              </w:rPr>
              <w:object>
                <v:shape id="_x0000_i1029" o:spt="75" type="#_x0000_t75" style="height:139.65pt;width:171.7pt;" o:ole="t" filled="f" o:preferrelative="t" stroked="f" coordsize="21600,21600">
                  <v:path/>
                  <v:fill on="f" focussize="0,0"/>
                  <v:stroke on="f"/>
                  <v:imagedata r:id="rId22" o:title=""/>
                  <o:lock v:ext="edit" aspectratio="t"/>
                  <w10:wrap type="none"/>
                  <w10:anchorlock/>
                </v:shape>
                <o:OLEObject Type="Embed" ProgID="Visio.Drawing.11" ShapeID="_x0000_i1029" DrawAspect="Content" ObjectID="_1468075729" r:id="rId21">
                  <o:LockedField>false</o:LockedField>
                </o:OLEObject>
              </w:object>
            </w:r>
          </w:p>
          <w:p>
            <w:pPr>
              <w:pStyle w:val="2"/>
              <w:spacing w:after="0" w:line="360" w:lineRule="auto"/>
              <w:ind w:left="0" w:leftChars="0" w:right="0" w:rightChars="0"/>
              <w:jc w:val="center"/>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图2-</w:t>
            </w:r>
            <w:r>
              <w:rPr>
                <w:rFonts w:hint="default" w:ascii="Times New Roman" w:hAnsi="Times New Roman" w:eastAsia="宋体" w:cs="Times New Roman"/>
                <w:b/>
                <w:color w:val="auto"/>
                <w:sz w:val="24"/>
                <w:szCs w:val="24"/>
                <w:lang w:val="en-US" w:eastAsia="zh-CN"/>
              </w:rPr>
              <w:t>5机械零部件制造</w:t>
            </w:r>
            <w:r>
              <w:rPr>
                <w:rFonts w:hint="default" w:ascii="Times New Roman" w:hAnsi="Times New Roman" w:eastAsia="宋体" w:cs="Times New Roman"/>
                <w:b/>
                <w:color w:val="auto"/>
                <w:sz w:val="24"/>
                <w:szCs w:val="24"/>
              </w:rPr>
              <w:t>工艺流程图</w:t>
            </w:r>
          </w:p>
          <w:p>
            <w:pPr>
              <w:pStyle w:val="2"/>
              <w:spacing w:after="0" w:line="360" w:lineRule="auto"/>
              <w:ind w:left="0" w:leftChars="0" w:right="0" w:rightChars="0" w:firstLine="482" w:firstLineChars="200"/>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工艺流程简述：</w:t>
            </w:r>
          </w:p>
          <w:p>
            <w:pPr>
              <w:spacing w:line="360" w:lineRule="auto"/>
              <w:ind w:firstLine="482" w:firstLineChars="200"/>
              <w:rPr>
                <w:rFonts w:hint="default" w:ascii="Times New Roman" w:hAnsi="Times New Roman" w:eastAsia="宋体" w:cs="Times New Roman"/>
                <w:color w:val="auto"/>
                <w:sz w:val="24"/>
                <w:szCs w:val="24"/>
                <w:shd w:val="clear" w:color="auto" w:fill="FFFFFF"/>
                <w:lang w:eastAsia="zh-CN"/>
              </w:rPr>
            </w:pPr>
            <w:r>
              <w:rPr>
                <w:rFonts w:hint="default" w:ascii="Times New Roman" w:hAnsi="Times New Roman" w:eastAsia="宋体" w:cs="Times New Roman"/>
                <w:b/>
                <w:color w:val="auto"/>
                <w:sz w:val="24"/>
                <w:lang w:val="en-US" w:eastAsia="zh-CN"/>
              </w:rPr>
              <w:t>断料</w:t>
            </w:r>
            <w:r>
              <w:rPr>
                <w:rFonts w:hint="default" w:ascii="Times New Roman" w:hAnsi="Times New Roman" w:eastAsia="宋体" w:cs="Times New Roman"/>
                <w:b/>
                <w:color w:val="auto"/>
                <w:sz w:val="24"/>
              </w:rPr>
              <w:t>：</w:t>
            </w:r>
            <w:r>
              <w:rPr>
                <w:rFonts w:hint="default" w:ascii="Times New Roman" w:hAnsi="Times New Roman" w:eastAsia="宋体" w:cs="Times New Roman"/>
                <w:bCs/>
                <w:color w:val="auto"/>
                <w:sz w:val="24"/>
                <w:szCs w:val="24"/>
              </w:rPr>
              <w:t>本项目利用</w:t>
            </w:r>
            <w:r>
              <w:rPr>
                <w:rFonts w:hint="default" w:ascii="Times New Roman" w:hAnsi="Times New Roman" w:eastAsia="宋体" w:cs="Times New Roman"/>
                <w:bCs/>
                <w:color w:val="auto"/>
                <w:sz w:val="24"/>
                <w:szCs w:val="24"/>
                <w:lang w:val="en-US" w:eastAsia="zh-CN"/>
              </w:rPr>
              <w:t>剪板机</w:t>
            </w:r>
            <w:r>
              <w:rPr>
                <w:rFonts w:hint="default" w:ascii="Times New Roman" w:hAnsi="Times New Roman" w:eastAsia="宋体" w:cs="Times New Roman"/>
                <w:bCs/>
                <w:color w:val="auto"/>
                <w:sz w:val="24"/>
                <w:szCs w:val="24"/>
              </w:rPr>
              <w:t>对工件进行</w:t>
            </w:r>
            <w:r>
              <w:rPr>
                <w:rFonts w:hint="default" w:ascii="Times New Roman" w:hAnsi="Times New Roman" w:eastAsia="宋体" w:cs="Times New Roman"/>
                <w:bCs/>
                <w:color w:val="auto"/>
                <w:sz w:val="24"/>
                <w:szCs w:val="24"/>
                <w:lang w:val="en-US" w:eastAsia="zh-CN"/>
              </w:rPr>
              <w:t>断料加工</w:t>
            </w:r>
            <w:r>
              <w:rPr>
                <w:rFonts w:hint="default" w:ascii="Times New Roman" w:hAnsi="Times New Roman" w:eastAsia="宋体" w:cs="Times New Roman"/>
                <w:bCs/>
                <w:color w:val="auto"/>
                <w:sz w:val="24"/>
                <w:szCs w:val="24"/>
              </w:rPr>
              <w:t>，此工序生产过程中产生</w:t>
            </w:r>
            <w:r>
              <w:rPr>
                <w:rFonts w:hint="default" w:ascii="Times New Roman" w:hAnsi="Times New Roman" w:eastAsia="宋体" w:cs="Times New Roman"/>
                <w:bCs/>
                <w:color w:val="auto"/>
                <w:sz w:val="24"/>
                <w:szCs w:val="24"/>
                <w:lang w:val="en-US" w:eastAsia="zh-CN"/>
              </w:rPr>
              <w:t>废</w:t>
            </w:r>
            <w:r>
              <w:rPr>
                <w:rFonts w:hint="default" w:ascii="Times New Roman" w:hAnsi="Times New Roman" w:eastAsia="宋体" w:cs="Times New Roman"/>
                <w:bCs/>
                <w:color w:val="auto"/>
                <w:sz w:val="24"/>
                <w:szCs w:val="24"/>
                <w:lang w:eastAsia="zh-CN"/>
              </w:rPr>
              <w:t>边角料。</w:t>
            </w:r>
          </w:p>
          <w:p>
            <w:pPr>
              <w:spacing w:line="360" w:lineRule="auto"/>
              <w:ind w:firstLine="482" w:firstLineChars="200"/>
              <w:rPr>
                <w:rFonts w:hint="default" w:ascii="Times New Roman" w:hAnsi="Times New Roman" w:eastAsia="宋体" w:cs="Times New Roman"/>
                <w:color w:val="auto"/>
                <w:sz w:val="24"/>
                <w:szCs w:val="24"/>
                <w:shd w:val="clear" w:color="auto" w:fill="FFFFFF"/>
              </w:rPr>
            </w:pPr>
            <w:r>
              <w:rPr>
                <w:rFonts w:hint="default" w:ascii="Times New Roman" w:hAnsi="Times New Roman" w:eastAsia="宋体" w:cs="Times New Roman"/>
                <w:b/>
                <w:color w:val="auto"/>
                <w:sz w:val="24"/>
                <w:lang w:val="en-US" w:eastAsia="zh-CN"/>
              </w:rPr>
              <w:t>金</w:t>
            </w:r>
            <w:r>
              <w:rPr>
                <w:rFonts w:hint="default" w:ascii="Times New Roman" w:hAnsi="Times New Roman" w:eastAsia="宋体" w:cs="Times New Roman"/>
                <w:b/>
                <w:color w:val="auto"/>
                <w:sz w:val="24"/>
              </w:rPr>
              <w:t>加工：</w:t>
            </w:r>
            <w:r>
              <w:rPr>
                <w:rFonts w:hint="default" w:ascii="Times New Roman" w:hAnsi="Times New Roman" w:eastAsia="宋体" w:cs="Times New Roman"/>
                <w:bCs/>
                <w:color w:val="auto"/>
                <w:sz w:val="24"/>
                <w:szCs w:val="24"/>
              </w:rPr>
              <w:t>本项目利用</w:t>
            </w:r>
            <w:r>
              <w:rPr>
                <w:rFonts w:hint="default" w:ascii="Times New Roman" w:hAnsi="Times New Roman" w:eastAsia="宋体" w:cs="Times New Roman"/>
                <w:bCs/>
                <w:color w:val="auto"/>
                <w:sz w:val="24"/>
                <w:szCs w:val="24"/>
                <w:lang w:val="en-US" w:eastAsia="zh-CN"/>
              </w:rPr>
              <w:t>普通车床对工件</w:t>
            </w:r>
            <w:r>
              <w:rPr>
                <w:rFonts w:hint="default" w:ascii="Times New Roman" w:hAnsi="Times New Roman" w:eastAsia="宋体" w:cs="Times New Roman"/>
                <w:bCs/>
                <w:color w:val="auto"/>
                <w:sz w:val="24"/>
                <w:szCs w:val="24"/>
              </w:rPr>
              <w:t>进行</w:t>
            </w:r>
            <w:r>
              <w:rPr>
                <w:rFonts w:hint="default" w:ascii="Times New Roman" w:hAnsi="Times New Roman" w:eastAsia="宋体" w:cs="Times New Roman"/>
                <w:bCs/>
                <w:color w:val="auto"/>
                <w:sz w:val="24"/>
                <w:szCs w:val="24"/>
                <w:lang w:eastAsia="zh-CN"/>
              </w:rPr>
              <w:t>车加工</w:t>
            </w:r>
            <w:r>
              <w:rPr>
                <w:rFonts w:hint="default" w:ascii="Times New Roman" w:hAnsi="Times New Roman" w:eastAsia="宋体" w:cs="Times New Roman"/>
                <w:bCs/>
                <w:color w:val="auto"/>
                <w:sz w:val="24"/>
                <w:szCs w:val="24"/>
              </w:rPr>
              <w:t>，此工序生产过程中产生</w:t>
            </w:r>
            <w:r>
              <w:rPr>
                <w:rFonts w:hint="default" w:ascii="Times New Roman" w:hAnsi="Times New Roman" w:eastAsia="宋体" w:cs="Times New Roman"/>
                <w:bCs/>
                <w:color w:val="auto"/>
                <w:sz w:val="24"/>
                <w:szCs w:val="24"/>
                <w:lang w:val="en-US" w:eastAsia="zh-CN"/>
              </w:rPr>
              <w:t>废</w:t>
            </w:r>
            <w:r>
              <w:rPr>
                <w:rFonts w:hint="default" w:ascii="Times New Roman" w:hAnsi="Times New Roman" w:eastAsia="宋体" w:cs="Times New Roman"/>
                <w:bCs/>
                <w:color w:val="auto"/>
                <w:sz w:val="24"/>
                <w:szCs w:val="24"/>
              </w:rPr>
              <w:t>边角料</w:t>
            </w:r>
            <w:r>
              <w:rPr>
                <w:rFonts w:hint="default" w:ascii="Times New Roman" w:hAnsi="Times New Roman" w:eastAsia="宋体" w:cs="Times New Roman"/>
                <w:bCs/>
                <w:color w:val="auto"/>
                <w:sz w:val="24"/>
                <w:szCs w:val="24"/>
                <w:lang w:val="en-US" w:eastAsia="zh-CN"/>
              </w:rPr>
              <w:t>和颗粒物</w:t>
            </w:r>
            <w:r>
              <w:rPr>
                <w:rFonts w:hint="default" w:ascii="Times New Roman" w:hAnsi="Times New Roman" w:eastAsia="宋体" w:cs="Times New Roman"/>
                <w:color w:val="auto"/>
                <w:sz w:val="24"/>
                <w:szCs w:val="24"/>
                <w:shd w:val="clear" w:color="auto" w:fill="FFFFFF"/>
              </w:rPr>
              <w:t>。</w:t>
            </w:r>
          </w:p>
          <w:p>
            <w:pPr>
              <w:spacing w:line="360" w:lineRule="auto"/>
              <w:ind w:firstLine="482" w:firstLineChars="200"/>
              <w:rPr>
                <w:rFonts w:hint="default" w:ascii="Times New Roman" w:hAnsi="Times New Roman" w:eastAsia="宋体" w:cs="Times New Roman"/>
                <w:b/>
                <w:color w:val="auto"/>
                <w:sz w:val="24"/>
                <w:szCs w:val="24"/>
                <w:lang w:val="en-US" w:eastAsia="zh-CN"/>
              </w:rPr>
            </w:pPr>
            <w:r>
              <w:rPr>
                <w:rFonts w:hint="eastAsia" w:eastAsia="宋体" w:cs="Times New Roman"/>
                <w:b/>
                <w:color w:val="auto"/>
                <w:sz w:val="24"/>
                <w:lang w:val="en-US" w:eastAsia="zh-CN"/>
              </w:rPr>
              <w:t>检验</w:t>
            </w:r>
            <w:r>
              <w:rPr>
                <w:rFonts w:hint="default" w:ascii="Times New Roman" w:hAnsi="Times New Roman" w:eastAsia="宋体" w:cs="Times New Roman"/>
                <w:b/>
                <w:color w:val="auto"/>
                <w:sz w:val="24"/>
              </w:rPr>
              <w:t>：</w:t>
            </w:r>
            <w:r>
              <w:rPr>
                <w:rFonts w:hint="eastAsia" w:eastAsia="宋体" w:cs="Times New Roman"/>
                <w:bCs/>
                <w:color w:val="auto"/>
                <w:sz w:val="24"/>
                <w:szCs w:val="24"/>
                <w:lang w:val="en-US" w:eastAsia="zh-CN"/>
              </w:rPr>
              <w:t>对金加工后的产品人工检验。</w:t>
            </w:r>
          </w:p>
          <w:p>
            <w:pPr>
              <w:pStyle w:val="2"/>
              <w:spacing w:after="0" w:line="360" w:lineRule="auto"/>
              <w:ind w:left="0" w:leftChars="0" w:right="0" w:rightChars="0"/>
              <w:jc w:val="left"/>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三、原有项目污染物排放情况</w:t>
            </w:r>
          </w:p>
          <w:p>
            <w:pPr>
              <w:pStyle w:val="2"/>
              <w:spacing w:after="0" w:line="360" w:lineRule="auto"/>
              <w:ind w:left="0" w:leftChars="0" w:right="0" w:rightChars="0" w:firstLine="480" w:firstLineChars="20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原有项目污染物排放情况参照</w:t>
            </w:r>
            <w:r>
              <w:rPr>
                <w:rFonts w:hint="default" w:ascii="Times New Roman" w:hAnsi="Times New Roman" w:eastAsia="宋体" w:cs="Times New Roman"/>
                <w:color w:val="auto"/>
                <w:sz w:val="24"/>
                <w:szCs w:val="24"/>
                <w:lang w:val="en-US" w:eastAsia="zh-CN"/>
              </w:rPr>
              <w:t>原项目登记表</w:t>
            </w:r>
            <w:r>
              <w:rPr>
                <w:rFonts w:hint="eastAsia" w:ascii="Times New Roman" w:hAnsi="Times New Roman" w:cs="Times New Roman"/>
                <w:color w:val="auto"/>
                <w:sz w:val="24"/>
                <w:szCs w:val="24"/>
                <w:lang w:val="en-US" w:eastAsia="zh-CN"/>
              </w:rPr>
              <w:t>及</w:t>
            </w:r>
            <w:r>
              <w:rPr>
                <w:rFonts w:hint="eastAsia"/>
                <w:color w:val="auto"/>
                <w:sz w:val="24"/>
              </w:rPr>
              <w:t>实际生产情况</w:t>
            </w:r>
            <w:r>
              <w:rPr>
                <w:rFonts w:hint="default" w:ascii="Times New Roman" w:hAnsi="Times New Roman" w:eastAsia="宋体" w:cs="Times New Roman"/>
                <w:color w:val="auto"/>
                <w:sz w:val="24"/>
                <w:szCs w:val="24"/>
              </w:rPr>
              <w:t>进行描述。</w:t>
            </w:r>
          </w:p>
          <w:p>
            <w:pPr>
              <w:pStyle w:val="2"/>
              <w:spacing w:after="0" w:line="360" w:lineRule="auto"/>
              <w:ind w:left="0" w:leftChars="0" w:right="0" w:rightChars="0" w:firstLine="482" w:firstLineChars="200"/>
              <w:jc w:val="left"/>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1、废水</w:t>
            </w:r>
          </w:p>
          <w:p>
            <w:pPr>
              <w:pStyle w:val="2"/>
              <w:spacing w:after="0" w:line="360" w:lineRule="auto"/>
              <w:ind w:left="0" w:leftChars="0" w:right="0" w:rightChars="0" w:firstLine="480" w:firstLineChars="200"/>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原有环评正常生产时无工艺废水产生；生活污水</w:t>
            </w:r>
            <w:r>
              <w:rPr>
                <w:rFonts w:hint="eastAsia" w:ascii="Times New Roman" w:hAnsi="Times New Roman" w:cs="Times New Roman"/>
                <w:color w:val="auto"/>
                <w:kern w:val="2"/>
                <w:sz w:val="24"/>
                <w:szCs w:val="24"/>
                <w:lang w:val="en-US" w:eastAsia="zh-CN" w:bidi="ar-SA"/>
              </w:rPr>
              <w:t>经厂内污水管网排入武南污水处理厂处理</w:t>
            </w:r>
            <w:r>
              <w:rPr>
                <w:rFonts w:hint="default" w:ascii="Times New Roman" w:hAnsi="Times New Roman" w:eastAsia="宋体" w:cs="Times New Roman"/>
                <w:color w:val="auto"/>
                <w:kern w:val="2"/>
                <w:sz w:val="24"/>
                <w:szCs w:val="24"/>
                <w:lang w:val="en-US" w:eastAsia="zh-CN" w:bidi="ar-SA"/>
              </w:rPr>
              <w:t>。</w:t>
            </w:r>
          </w:p>
          <w:p>
            <w:pPr>
              <w:pStyle w:val="2"/>
              <w:spacing w:after="0" w:line="360" w:lineRule="auto"/>
              <w:ind w:left="0" w:leftChars="0" w:right="0" w:rightChars="0" w:firstLine="482" w:firstLineChars="200"/>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2、废气</w:t>
            </w:r>
          </w:p>
          <w:p>
            <w:pPr>
              <w:adjustRightInd w:val="0"/>
              <w:snapToGrid w:val="0"/>
              <w:spacing w:line="360" w:lineRule="auto"/>
              <w:ind w:firstLine="480" w:firstLineChars="200"/>
              <w:rPr>
                <w:rFonts w:hint="default" w:ascii="Times New Roman" w:hAnsi="Times New Roman" w:eastAsia="宋体" w:cs="Times New Roman"/>
                <w:bCs/>
                <w:color w:val="auto"/>
                <w:sz w:val="24"/>
                <w:lang w:val="en-US" w:eastAsia="zh-CN"/>
              </w:rPr>
            </w:pPr>
            <w:r>
              <w:rPr>
                <w:rFonts w:hint="default" w:ascii="Times New Roman" w:hAnsi="Times New Roman" w:eastAsia="宋体" w:cs="Times New Roman"/>
                <w:color w:val="auto"/>
                <w:sz w:val="24"/>
              </w:rPr>
              <w:t>原有项目</w:t>
            </w:r>
            <w:r>
              <w:rPr>
                <w:rFonts w:hint="default" w:ascii="Times New Roman" w:hAnsi="Times New Roman" w:eastAsia="宋体" w:cs="Times New Roman"/>
                <w:color w:val="auto"/>
                <w:sz w:val="24"/>
                <w:lang w:val="en-US" w:eastAsia="zh-CN"/>
              </w:rPr>
              <w:t>焊接过程中</w:t>
            </w:r>
            <w:r>
              <w:rPr>
                <w:rFonts w:hint="default" w:ascii="Times New Roman" w:hAnsi="Times New Roman" w:eastAsia="宋体" w:cs="Times New Roman"/>
                <w:color w:val="auto"/>
                <w:sz w:val="24"/>
              </w:rPr>
              <w:t>过程</w:t>
            </w:r>
            <w:r>
              <w:rPr>
                <w:rFonts w:hint="default" w:ascii="Times New Roman" w:hAnsi="Times New Roman" w:eastAsia="宋体" w:cs="Times New Roman"/>
                <w:color w:val="auto"/>
                <w:sz w:val="24"/>
                <w:lang w:val="en-US" w:eastAsia="zh-CN"/>
              </w:rPr>
              <w:t>会产生焊接烟尘，</w:t>
            </w:r>
            <w:r>
              <w:rPr>
                <w:rFonts w:hint="eastAsia" w:ascii="Times New Roman" w:hAnsi="Times New Roman" w:eastAsia="宋体" w:cs="Times New Roman"/>
                <w:color w:val="auto"/>
                <w:sz w:val="24"/>
                <w:lang w:val="en-US" w:eastAsia="zh-CN"/>
              </w:rPr>
              <w:t>焊接烟尘经厂内</w:t>
            </w:r>
            <w:r>
              <w:rPr>
                <w:rFonts w:hint="default" w:ascii="Times New Roman" w:hAnsi="Times New Roman" w:eastAsia="宋体" w:cs="Times New Roman"/>
                <w:color w:val="auto"/>
                <w:sz w:val="24"/>
                <w:lang w:val="en-US" w:eastAsia="zh-CN"/>
              </w:rPr>
              <w:t>移动式烟尘净化器收集处理后通过车间通风无组织排放</w:t>
            </w:r>
            <w:r>
              <w:rPr>
                <w:rFonts w:hint="eastAsia" w:ascii="Times New Roman" w:hAnsi="Times New Roman" w:eastAsia="宋体" w:cs="Times New Roman"/>
                <w:color w:val="auto"/>
                <w:sz w:val="24"/>
                <w:lang w:val="en-US" w:eastAsia="zh-CN"/>
              </w:rPr>
              <w:t>；</w:t>
            </w:r>
            <w:r>
              <w:rPr>
                <w:rFonts w:hint="default" w:ascii="Times New Roman" w:hAnsi="Times New Roman" w:eastAsia="宋体" w:cs="Times New Roman"/>
                <w:color w:val="auto"/>
                <w:sz w:val="24"/>
                <w:lang w:val="en-US" w:eastAsia="zh-CN"/>
              </w:rPr>
              <w:t>金加工过程中车床会产生微量颗粒物，通过车间沉降无组织排放</w:t>
            </w:r>
            <w:r>
              <w:rPr>
                <w:rFonts w:hint="eastAsia" w:ascii="Times New Roman" w:hAnsi="Times New Roman" w:eastAsia="宋体" w:cs="Times New Roman"/>
                <w:color w:val="auto"/>
                <w:sz w:val="24"/>
                <w:lang w:val="en-US" w:eastAsia="zh-CN"/>
              </w:rPr>
              <w:t>。</w:t>
            </w:r>
          </w:p>
          <w:p>
            <w:pPr>
              <w:spacing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3、噪声</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原有项目</w:t>
            </w:r>
            <w:r>
              <w:rPr>
                <w:rFonts w:hint="default" w:ascii="Times New Roman" w:hAnsi="Times New Roman" w:eastAsia="宋体" w:cs="Times New Roman"/>
                <w:color w:val="auto"/>
                <w:sz w:val="24"/>
                <w:lang w:val="en-US" w:eastAsia="zh-CN"/>
              </w:rPr>
              <w:t>采用隔音消声措施，厂界噪声</w:t>
            </w:r>
            <w:r>
              <w:rPr>
                <w:rFonts w:hint="eastAsia"/>
                <w:color w:val="auto"/>
                <w:sz w:val="24"/>
                <w:lang w:val="en-US" w:eastAsia="zh-CN"/>
              </w:rPr>
              <w:t>可</w:t>
            </w:r>
            <w:r>
              <w:rPr>
                <w:color w:val="auto"/>
                <w:sz w:val="24"/>
              </w:rPr>
              <w:t>达到《工业企业厂界环境噪声排放标准》（GB12348-2008）2类标准</w:t>
            </w:r>
            <w:r>
              <w:rPr>
                <w:rFonts w:hint="default" w:ascii="Times New Roman" w:hAnsi="Times New Roman" w:eastAsia="宋体" w:cs="Times New Roman"/>
                <w:color w:val="auto"/>
                <w:sz w:val="24"/>
              </w:rPr>
              <w:t>。</w:t>
            </w:r>
          </w:p>
          <w:p>
            <w:pPr>
              <w:pStyle w:val="2"/>
              <w:spacing w:after="0" w:line="360" w:lineRule="auto"/>
              <w:ind w:left="0" w:leftChars="0" w:right="0" w:rightChars="0" w:firstLine="482" w:firstLineChars="200"/>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4、固废</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原有项目固体废物100%处置，零排放。</w:t>
            </w:r>
          </w:p>
          <w:p>
            <w:pPr>
              <w:spacing w:line="360" w:lineRule="auto"/>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四、现有项目存在的主要问题</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val="en-US" w:eastAsia="zh-CN"/>
              </w:rPr>
              <w:t>“常色粉加工项目”、“促染剂加工项目”和“玻璃钢制品加工项目”已停产，后期不再建设</w:t>
            </w:r>
            <w:r>
              <w:rPr>
                <w:rFonts w:hint="default" w:ascii="Times New Roman" w:hAnsi="Times New Roman" w:eastAsia="宋体" w:cs="Times New Roman"/>
                <w:color w:val="auto"/>
                <w:sz w:val="24"/>
              </w:rPr>
              <w:t>。</w:t>
            </w:r>
          </w:p>
          <w:p>
            <w:pPr>
              <w:adjustRightInd w:val="0"/>
              <w:snapToGrid w:val="0"/>
              <w:spacing w:line="360" w:lineRule="auto"/>
              <w:ind w:firstLine="480" w:firstLineChars="200"/>
              <w:rPr>
                <w:rFonts w:hint="default" w:ascii="Times New Roman" w:hAnsi="Times New Roman" w:eastAsia="宋体" w:cs="Times New Roman"/>
                <w:color w:val="auto"/>
                <w:lang w:eastAsia="zh-CN"/>
              </w:rPr>
            </w:pPr>
            <w:r>
              <w:rPr>
                <w:rFonts w:hint="default" w:ascii="Times New Roman" w:hAnsi="Times New Roman" w:eastAsia="宋体" w:cs="Times New Roman"/>
                <w:color w:val="auto"/>
                <w:sz w:val="24"/>
                <w:lang w:val="en-US" w:eastAsia="zh-CN"/>
              </w:rPr>
              <w:t>“柴油机消声器、机械零部件制造加工，工业氯化钠销售项目”环评登记表编制较早，未正确考虑</w:t>
            </w:r>
            <w:r>
              <w:rPr>
                <w:rFonts w:hint="default" w:ascii="Times New Roman" w:hAnsi="Times New Roman" w:eastAsia="宋体" w:cs="Times New Roman"/>
                <w:color w:val="auto"/>
                <w:sz w:val="24"/>
                <w:highlight w:val="none"/>
              </w:rPr>
              <w:t>企业生产过程中的三废产生</w:t>
            </w:r>
            <w:r>
              <w:rPr>
                <w:rFonts w:hint="default" w:ascii="Times New Roman" w:hAnsi="Times New Roman" w:eastAsia="宋体" w:cs="Times New Roman"/>
                <w:color w:val="auto"/>
                <w:sz w:val="24"/>
                <w:highlight w:val="none"/>
                <w:lang w:val="en-US" w:eastAsia="zh-CN"/>
              </w:rPr>
              <w:t>及排放</w:t>
            </w:r>
            <w:r>
              <w:rPr>
                <w:rFonts w:hint="default" w:ascii="Times New Roman" w:hAnsi="Times New Roman" w:eastAsia="宋体" w:cs="Times New Roman"/>
                <w:color w:val="auto"/>
                <w:sz w:val="24"/>
                <w:highlight w:val="none"/>
              </w:rPr>
              <w:t>情况，</w:t>
            </w:r>
            <w:r>
              <w:rPr>
                <w:rFonts w:hint="default" w:ascii="Times New Roman" w:hAnsi="Times New Roman" w:eastAsia="宋体" w:cs="Times New Roman"/>
                <w:color w:val="auto"/>
                <w:sz w:val="24"/>
              </w:rPr>
              <w:t>且生产过程产生的</w:t>
            </w:r>
            <w:r>
              <w:rPr>
                <w:rFonts w:hint="default" w:ascii="Times New Roman" w:hAnsi="Times New Roman" w:eastAsia="宋体" w:cs="Times New Roman"/>
                <w:color w:val="auto"/>
                <w:sz w:val="24"/>
                <w:lang w:val="en-US" w:eastAsia="zh-CN"/>
              </w:rPr>
              <w:t>颗粒物的</w:t>
            </w:r>
            <w:r>
              <w:rPr>
                <w:rFonts w:hint="default" w:ascii="Times New Roman" w:hAnsi="Times New Roman" w:eastAsia="宋体" w:cs="Times New Roman"/>
                <w:color w:val="auto"/>
                <w:sz w:val="24"/>
              </w:rPr>
              <w:t>处理方法不满足现有环保要求</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本次以新带老重新核定排放量</w:t>
            </w:r>
            <w:r>
              <w:rPr>
                <w:rFonts w:hint="default" w:ascii="Times New Roman" w:hAnsi="Times New Roman" w:eastAsia="宋体" w:cs="Times New Roman"/>
                <w:color w:val="auto"/>
                <w:sz w:val="24"/>
                <w:lang w:eastAsia="zh-CN"/>
              </w:rPr>
              <w:t>。</w:t>
            </w:r>
          </w:p>
          <w:p>
            <w:pPr>
              <w:adjustRightInd w:val="0"/>
              <w:snapToGrid w:val="0"/>
              <w:spacing w:line="360" w:lineRule="auto"/>
              <w:rPr>
                <w:rFonts w:hint="default" w:ascii="Times New Roman" w:hAnsi="Times New Roman" w:eastAsia="宋体" w:cs="Times New Roman"/>
                <w:bCs/>
                <w:color w:val="auto"/>
                <w:sz w:val="24"/>
              </w:rPr>
            </w:pPr>
            <w:r>
              <w:rPr>
                <w:rFonts w:hint="default" w:ascii="Times New Roman" w:hAnsi="Times New Roman" w:eastAsia="宋体" w:cs="Times New Roman"/>
                <w:b/>
                <w:bCs/>
                <w:color w:val="auto"/>
                <w:sz w:val="24"/>
              </w:rPr>
              <w:t>五、</w:t>
            </w:r>
            <w:r>
              <w:rPr>
                <w:rFonts w:hint="default" w:ascii="Times New Roman" w:hAnsi="Times New Roman" w:eastAsia="宋体" w:cs="Times New Roman"/>
                <w:b/>
                <w:color w:val="auto"/>
                <w:sz w:val="24"/>
              </w:rPr>
              <w:t>“以新带老”措施</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本项目根据</w:t>
            </w:r>
            <w:r>
              <w:rPr>
                <w:rFonts w:hint="default" w:ascii="Times New Roman" w:hAnsi="Times New Roman" w:eastAsia="宋体" w:cs="Times New Roman"/>
                <w:color w:val="auto"/>
                <w:sz w:val="24"/>
                <w:lang w:val="en-US" w:eastAsia="zh-CN"/>
              </w:rPr>
              <w:t>“柴油机消声器、机械零部件制造加工，工业氯化钠销售项目”的环评登记表及实际生产情况</w:t>
            </w:r>
            <w:r>
              <w:rPr>
                <w:rFonts w:hint="default" w:ascii="Times New Roman" w:hAnsi="Times New Roman" w:eastAsia="宋体" w:cs="Times New Roman"/>
                <w:color w:val="auto"/>
                <w:sz w:val="24"/>
              </w:rPr>
              <w:t>对原有项目废气、废水和固废进行重新核算，具体核算结果如下：</w:t>
            </w:r>
          </w:p>
          <w:p>
            <w:pPr>
              <w:pStyle w:val="2"/>
              <w:spacing w:after="0" w:line="360" w:lineRule="auto"/>
              <w:ind w:left="0" w:leftChars="0" w:right="0" w:rightChars="0"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1、废水</w:t>
            </w:r>
          </w:p>
          <w:p>
            <w:pPr>
              <w:pStyle w:val="2"/>
              <w:spacing w:after="0" w:line="360" w:lineRule="auto"/>
              <w:ind w:left="0" w:leftChars="0" w:right="0" w:rightChars="0"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原</w:t>
            </w:r>
            <w:r>
              <w:rPr>
                <w:rFonts w:hint="default" w:ascii="Times New Roman" w:hAnsi="Times New Roman" w:eastAsia="宋体" w:cs="Times New Roman"/>
                <w:color w:val="auto"/>
                <w:sz w:val="24"/>
                <w:szCs w:val="24"/>
              </w:rPr>
              <w:t>项目无生产废水，主要为生活污水。生活污水接管至武南污水处理厂集中处理，达标尾水排入武南河。厂区员工为</w:t>
            </w:r>
            <w:r>
              <w:rPr>
                <w:rFonts w:hint="default" w:ascii="Times New Roman" w:hAnsi="Times New Roman" w:eastAsia="宋体" w:cs="Times New Roman"/>
                <w:color w:val="auto"/>
                <w:sz w:val="24"/>
                <w:szCs w:val="24"/>
                <w:lang w:val="en-US" w:eastAsia="zh-CN"/>
              </w:rPr>
              <w:t>25</w:t>
            </w:r>
            <w:r>
              <w:rPr>
                <w:rFonts w:hint="default" w:ascii="Times New Roman" w:hAnsi="Times New Roman" w:eastAsia="宋体" w:cs="Times New Roman"/>
                <w:color w:val="auto"/>
                <w:sz w:val="24"/>
                <w:szCs w:val="24"/>
              </w:rPr>
              <w:t>人，年工作300天，原有项目废水排放总量为</w:t>
            </w:r>
            <w:r>
              <w:rPr>
                <w:rFonts w:hint="eastAsia" w:ascii="Times New Roman" w:hAnsi="Times New Roman" w:cs="Times New Roman"/>
                <w:color w:val="auto"/>
                <w:sz w:val="24"/>
                <w:szCs w:val="24"/>
                <w:lang w:val="en-US" w:eastAsia="zh-CN"/>
              </w:rPr>
              <w:t>600</w:t>
            </w:r>
            <w:r>
              <w:rPr>
                <w:rFonts w:hint="default" w:ascii="Times New Roman" w:hAnsi="Times New Roman" w:eastAsia="宋体" w:cs="Times New Roman"/>
                <w:color w:val="auto"/>
                <w:sz w:val="24"/>
                <w:szCs w:val="24"/>
              </w:rPr>
              <w:t>t/a。</w:t>
            </w:r>
          </w:p>
          <w:p>
            <w:pPr>
              <w:jc w:val="center"/>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表</w:t>
            </w:r>
            <w:r>
              <w:rPr>
                <w:rFonts w:hint="default" w:ascii="Times New Roman" w:hAnsi="Times New Roman" w:eastAsia="宋体" w:cs="Times New Roman"/>
                <w:b/>
                <w:bCs/>
                <w:color w:val="auto"/>
                <w:sz w:val="24"/>
                <w:lang w:val="en-US" w:eastAsia="zh-CN"/>
              </w:rPr>
              <w:t>2</w:t>
            </w:r>
            <w:r>
              <w:rPr>
                <w:rFonts w:hint="default" w:ascii="Times New Roman" w:hAnsi="Times New Roman" w:eastAsia="宋体" w:cs="Times New Roman"/>
                <w:b/>
                <w:bCs/>
                <w:color w:val="auto"/>
                <w:sz w:val="24"/>
              </w:rPr>
              <w:t>-</w:t>
            </w:r>
            <w:r>
              <w:rPr>
                <w:rFonts w:hint="eastAsia" w:cs="Times New Roman"/>
                <w:b/>
                <w:bCs/>
                <w:color w:val="auto"/>
                <w:sz w:val="24"/>
                <w:lang w:val="en-US" w:eastAsia="zh-CN"/>
              </w:rPr>
              <w:t>11</w:t>
            </w:r>
            <w:r>
              <w:rPr>
                <w:rFonts w:hint="default" w:ascii="Times New Roman" w:hAnsi="Times New Roman" w:eastAsia="宋体" w:cs="Times New Roman"/>
                <w:b/>
                <w:bCs/>
                <w:color w:val="auto"/>
                <w:sz w:val="24"/>
              </w:rPr>
              <w:t xml:space="preserve"> </w:t>
            </w:r>
            <w:r>
              <w:rPr>
                <w:rFonts w:hint="default" w:ascii="Times New Roman" w:hAnsi="Times New Roman" w:eastAsia="宋体" w:cs="Times New Roman"/>
                <w:b/>
                <w:bCs/>
                <w:color w:val="auto"/>
                <w:sz w:val="24"/>
                <w:lang w:val="en-US" w:eastAsia="zh-CN"/>
              </w:rPr>
              <w:t>原有</w:t>
            </w:r>
            <w:r>
              <w:rPr>
                <w:rFonts w:hint="default" w:ascii="Times New Roman" w:hAnsi="Times New Roman" w:eastAsia="宋体" w:cs="Times New Roman"/>
                <w:b/>
                <w:bCs/>
                <w:color w:val="auto"/>
                <w:sz w:val="24"/>
              </w:rPr>
              <w:t>项目废水产生及排放情况</w:t>
            </w:r>
          </w:p>
          <w:tbl>
            <w:tblPr>
              <w:tblStyle w:val="22"/>
              <w:tblW w:w="8604" w:type="dxa"/>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708"/>
              <w:gridCol w:w="888"/>
              <w:gridCol w:w="775"/>
              <w:gridCol w:w="766"/>
              <w:gridCol w:w="899"/>
              <w:gridCol w:w="888"/>
              <w:gridCol w:w="731"/>
              <w:gridCol w:w="1304"/>
              <w:gridCol w:w="916"/>
              <w:gridCol w:w="729"/>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trPr>
              <w:tc>
                <w:tcPr>
                  <w:tcW w:w="708" w:type="dxa"/>
                  <w:vMerge w:val="restart"/>
                  <w:tcBorders>
                    <w:top w:val="single" w:color="000000" w:sz="12" w:space="0"/>
                    <w:left w:val="nil"/>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rPr>
                    <w:t>废水来源</w:t>
                  </w:r>
                </w:p>
              </w:tc>
              <w:tc>
                <w:tcPr>
                  <w:tcW w:w="888" w:type="dxa"/>
                  <w:vMerge w:val="restart"/>
                  <w:tcBorders>
                    <w:top w:val="single" w:color="000000" w:sz="12"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rPr>
                    <w:t>废水量m</w:t>
                  </w:r>
                  <w:r>
                    <w:rPr>
                      <w:rFonts w:hint="default" w:ascii="Times New Roman" w:hAnsi="Times New Roman" w:eastAsia="宋体" w:cs="Times New Roman"/>
                      <w:b/>
                      <w:bCs/>
                      <w:color w:val="auto"/>
                      <w:vertAlign w:val="superscript"/>
                    </w:rPr>
                    <w:t>3</w:t>
                  </w:r>
                  <w:r>
                    <w:rPr>
                      <w:rFonts w:hint="default" w:ascii="Times New Roman" w:hAnsi="Times New Roman" w:eastAsia="宋体" w:cs="Times New Roman"/>
                      <w:b/>
                      <w:bCs/>
                      <w:color w:val="auto"/>
                    </w:rPr>
                    <w:t>/a</w:t>
                  </w:r>
                </w:p>
              </w:tc>
              <w:tc>
                <w:tcPr>
                  <w:tcW w:w="2440" w:type="dxa"/>
                  <w:gridSpan w:val="3"/>
                  <w:tcBorders>
                    <w:top w:val="single" w:color="000000" w:sz="12"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rPr>
                    <w:t>污染物产生情况</w:t>
                  </w:r>
                </w:p>
              </w:tc>
              <w:tc>
                <w:tcPr>
                  <w:tcW w:w="888" w:type="dxa"/>
                  <w:vMerge w:val="restart"/>
                  <w:tcBorders>
                    <w:top w:val="single" w:color="000000" w:sz="12"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rPr>
                    <w:t>处理方法</w:t>
                  </w:r>
                </w:p>
              </w:tc>
              <w:tc>
                <w:tcPr>
                  <w:tcW w:w="2035" w:type="dxa"/>
                  <w:gridSpan w:val="2"/>
                  <w:tcBorders>
                    <w:top w:val="single" w:color="000000" w:sz="12"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rPr>
                    <w:t>排放情况</w:t>
                  </w:r>
                </w:p>
              </w:tc>
              <w:tc>
                <w:tcPr>
                  <w:tcW w:w="916" w:type="dxa"/>
                  <w:vMerge w:val="restart"/>
                  <w:tcBorders>
                    <w:top w:val="single" w:color="000000" w:sz="12"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污水厂接纳</w:t>
                  </w:r>
                </w:p>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rPr>
                    <w:t>标准</w:t>
                  </w:r>
                </w:p>
              </w:tc>
              <w:tc>
                <w:tcPr>
                  <w:tcW w:w="729" w:type="dxa"/>
                  <w:vMerge w:val="restart"/>
                  <w:tcBorders>
                    <w:top w:val="single" w:color="000000" w:sz="12" w:space="0"/>
                    <w:left w:val="single" w:color="000000" w:sz="4" w:space="0"/>
                    <w:right w:val="nil"/>
                  </w:tcBorders>
                  <w:vAlign w:val="center"/>
                </w:tcPr>
                <w:p>
                  <w:pPr>
                    <w:widowControl/>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rPr>
                    <w:t>排放方式与去向</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trPr>
              <w:tc>
                <w:tcPr>
                  <w:tcW w:w="708" w:type="dxa"/>
                  <w:vMerge w:val="continue"/>
                  <w:tcBorders>
                    <w:top w:val="single" w:color="000000" w:sz="12" w:space="0"/>
                    <w:left w:val="nil"/>
                    <w:bottom w:val="single" w:color="auto" w:sz="4" w:space="0"/>
                    <w:right w:val="single" w:color="000000" w:sz="4" w:space="0"/>
                  </w:tcBorders>
                  <w:vAlign w:val="center"/>
                </w:tcPr>
                <w:p>
                  <w:pPr>
                    <w:widowControl/>
                    <w:jc w:val="left"/>
                    <w:rPr>
                      <w:rFonts w:hint="default" w:ascii="Times New Roman" w:hAnsi="Times New Roman" w:eastAsia="宋体" w:cs="Times New Roman"/>
                      <w:b/>
                      <w:bCs/>
                      <w:color w:val="auto"/>
                      <w:szCs w:val="21"/>
                    </w:rPr>
                  </w:pPr>
                </w:p>
              </w:tc>
              <w:tc>
                <w:tcPr>
                  <w:tcW w:w="888" w:type="dxa"/>
                  <w:vMerge w:val="continue"/>
                  <w:tcBorders>
                    <w:top w:val="single" w:color="000000" w:sz="12" w:space="0"/>
                    <w:left w:val="single" w:color="000000" w:sz="4" w:space="0"/>
                    <w:bottom w:val="single" w:color="auto" w:sz="4" w:space="0"/>
                    <w:right w:val="single" w:color="000000" w:sz="4" w:space="0"/>
                  </w:tcBorders>
                  <w:vAlign w:val="center"/>
                </w:tcPr>
                <w:p>
                  <w:pPr>
                    <w:widowControl/>
                    <w:jc w:val="left"/>
                    <w:rPr>
                      <w:rFonts w:hint="default" w:ascii="Times New Roman" w:hAnsi="Times New Roman" w:eastAsia="宋体" w:cs="Times New Roman"/>
                      <w:b/>
                      <w:bCs/>
                      <w:color w:val="auto"/>
                      <w:szCs w:val="21"/>
                    </w:rPr>
                  </w:pPr>
                </w:p>
              </w:tc>
              <w:tc>
                <w:tcPr>
                  <w:tcW w:w="77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rPr>
                    <w:t>名称</w:t>
                  </w:r>
                </w:p>
              </w:tc>
              <w:tc>
                <w:tcPr>
                  <w:tcW w:w="76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rPr>
                    <w:t>浓度mg/L</w:t>
                  </w:r>
                </w:p>
              </w:tc>
              <w:tc>
                <w:tcPr>
                  <w:tcW w:w="89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rPr>
                    <w:t>产生量t/a</w:t>
                  </w:r>
                </w:p>
              </w:tc>
              <w:tc>
                <w:tcPr>
                  <w:tcW w:w="888" w:type="dxa"/>
                  <w:vMerge w:val="continue"/>
                  <w:tcBorders>
                    <w:top w:val="single" w:color="000000" w:sz="12" w:space="0"/>
                    <w:left w:val="single" w:color="000000" w:sz="4" w:space="0"/>
                    <w:bottom w:val="single" w:color="auto" w:sz="4" w:space="0"/>
                    <w:right w:val="single" w:color="000000" w:sz="4" w:space="0"/>
                  </w:tcBorders>
                  <w:vAlign w:val="center"/>
                </w:tcPr>
                <w:p>
                  <w:pPr>
                    <w:widowControl/>
                    <w:jc w:val="left"/>
                    <w:rPr>
                      <w:rFonts w:hint="default" w:ascii="Times New Roman" w:hAnsi="Times New Roman" w:eastAsia="宋体" w:cs="Times New Roman"/>
                      <w:b/>
                      <w:bCs/>
                      <w:color w:val="auto"/>
                      <w:szCs w:val="21"/>
                    </w:rPr>
                  </w:pPr>
                </w:p>
              </w:tc>
              <w:tc>
                <w:tcPr>
                  <w:tcW w:w="731"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rPr>
                    <w:t>浓度mg/L</w:t>
                  </w:r>
                </w:p>
              </w:tc>
              <w:tc>
                <w:tcPr>
                  <w:tcW w:w="130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rPr>
                    <w:t>排放量t/a</w:t>
                  </w:r>
                </w:p>
              </w:tc>
              <w:tc>
                <w:tcPr>
                  <w:tcW w:w="916" w:type="dxa"/>
                  <w:vMerge w:val="continue"/>
                  <w:tcBorders>
                    <w:top w:val="single" w:color="000000" w:sz="12" w:space="0"/>
                    <w:left w:val="single" w:color="000000" w:sz="4" w:space="0"/>
                    <w:bottom w:val="single" w:color="auto" w:sz="4" w:space="0"/>
                    <w:right w:val="single" w:color="000000" w:sz="4" w:space="0"/>
                  </w:tcBorders>
                  <w:vAlign w:val="center"/>
                </w:tcPr>
                <w:p>
                  <w:pPr>
                    <w:widowControl/>
                    <w:jc w:val="left"/>
                    <w:rPr>
                      <w:rFonts w:hint="default" w:ascii="Times New Roman" w:hAnsi="Times New Roman" w:eastAsia="宋体" w:cs="Times New Roman"/>
                      <w:b/>
                      <w:bCs/>
                      <w:color w:val="auto"/>
                      <w:szCs w:val="21"/>
                    </w:rPr>
                  </w:pPr>
                </w:p>
              </w:tc>
              <w:tc>
                <w:tcPr>
                  <w:tcW w:w="729" w:type="dxa"/>
                  <w:vMerge w:val="continue"/>
                  <w:tcBorders>
                    <w:left w:val="single" w:color="000000" w:sz="4" w:space="0"/>
                    <w:bottom w:val="single" w:color="auto" w:sz="4" w:space="0"/>
                    <w:right w:val="nil"/>
                  </w:tcBorders>
                  <w:vAlign w:val="center"/>
                </w:tcPr>
                <w:p>
                  <w:pPr>
                    <w:widowControl/>
                    <w:jc w:val="left"/>
                    <w:rPr>
                      <w:rFonts w:hint="default" w:ascii="Times New Roman" w:hAnsi="Times New Roman" w:eastAsia="宋体" w:cs="Times New Roman"/>
                      <w:b/>
                      <w:bCs/>
                      <w:color w:val="auto"/>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trPr>
              <w:tc>
                <w:tcPr>
                  <w:tcW w:w="708" w:type="dxa"/>
                  <w:vMerge w:val="restart"/>
                  <w:tcBorders>
                    <w:top w:val="single" w:color="000000" w:sz="4" w:space="0"/>
                    <w:left w:val="nil"/>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生活污水</w:t>
                  </w:r>
                </w:p>
              </w:tc>
              <w:tc>
                <w:tcPr>
                  <w:tcW w:w="888" w:type="dxa"/>
                  <w:vMerge w:val="restar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lang w:val="en-US" w:eastAsia="zh-CN"/>
                    </w:rPr>
                    <w:t>600</w:t>
                  </w:r>
                </w:p>
              </w:tc>
              <w:tc>
                <w:tcPr>
                  <w:tcW w:w="77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COD</w:t>
                  </w:r>
                </w:p>
              </w:tc>
              <w:tc>
                <w:tcPr>
                  <w:tcW w:w="76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400</w:t>
                  </w:r>
                </w:p>
              </w:tc>
              <w:tc>
                <w:tcPr>
                  <w:tcW w:w="89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i w:val="0"/>
                      <w:iCs w:val="0"/>
                      <w:color w:val="auto"/>
                      <w:kern w:val="0"/>
                      <w:sz w:val="21"/>
                      <w:szCs w:val="21"/>
                      <w:u w:val="none"/>
                      <w:lang w:val="en-US" w:eastAsia="zh-CN" w:bidi="ar"/>
                    </w:rPr>
                    <w:t>0.24</w:t>
                  </w:r>
                </w:p>
              </w:tc>
              <w:tc>
                <w:tcPr>
                  <w:tcW w:w="888" w:type="dxa"/>
                  <w:vMerge w:val="restart"/>
                  <w:tcBorders>
                    <w:left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接管</w:t>
                  </w:r>
                </w:p>
              </w:tc>
              <w:tc>
                <w:tcPr>
                  <w:tcW w:w="731"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400</w:t>
                  </w:r>
                </w:p>
              </w:tc>
              <w:tc>
                <w:tcPr>
                  <w:tcW w:w="13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i w:val="0"/>
                      <w:iCs w:val="0"/>
                      <w:color w:val="auto"/>
                      <w:kern w:val="0"/>
                      <w:sz w:val="21"/>
                      <w:szCs w:val="21"/>
                      <w:u w:val="none"/>
                      <w:lang w:val="en-US" w:eastAsia="zh-CN" w:bidi="ar"/>
                    </w:rPr>
                    <w:t>0.24</w:t>
                  </w:r>
                </w:p>
              </w:tc>
              <w:tc>
                <w:tcPr>
                  <w:tcW w:w="91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500</w:t>
                  </w:r>
                </w:p>
              </w:tc>
              <w:tc>
                <w:tcPr>
                  <w:tcW w:w="729" w:type="dxa"/>
                  <w:vMerge w:val="restart"/>
                  <w:tcBorders>
                    <w:top w:val="single" w:color="auto" w:sz="4" w:space="0"/>
                    <w:left w:val="single" w:color="000000" w:sz="4" w:space="0"/>
                    <w:right w:val="nil"/>
                  </w:tcBorders>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武南污水处理厂</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trPr>
              <w:tc>
                <w:tcPr>
                  <w:tcW w:w="708" w:type="dxa"/>
                  <w:vMerge w:val="continue"/>
                  <w:tcBorders>
                    <w:top w:val="single" w:color="000000" w:sz="4" w:space="0"/>
                    <w:left w:val="nil"/>
                    <w:bottom w:val="single" w:color="000000" w:sz="4" w:space="0"/>
                    <w:right w:val="single" w:color="000000" w:sz="4" w:space="0"/>
                  </w:tcBorders>
                  <w:vAlign w:val="center"/>
                </w:tcPr>
                <w:p>
                  <w:pPr>
                    <w:widowControl/>
                    <w:jc w:val="left"/>
                    <w:rPr>
                      <w:rFonts w:hint="default" w:ascii="Times New Roman" w:hAnsi="Times New Roman" w:eastAsia="宋体" w:cs="Times New Roman"/>
                      <w:color w:val="auto"/>
                      <w:szCs w:val="21"/>
                    </w:rPr>
                  </w:pPr>
                </w:p>
              </w:tc>
              <w:tc>
                <w:tcPr>
                  <w:tcW w:w="88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default" w:ascii="Times New Roman" w:hAnsi="Times New Roman" w:eastAsia="宋体" w:cs="Times New Roman"/>
                      <w:color w:val="auto"/>
                      <w:szCs w:val="21"/>
                    </w:rPr>
                  </w:pPr>
                </w:p>
              </w:tc>
              <w:tc>
                <w:tcPr>
                  <w:tcW w:w="77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SS</w:t>
                  </w:r>
                </w:p>
              </w:tc>
              <w:tc>
                <w:tcPr>
                  <w:tcW w:w="76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300</w:t>
                  </w:r>
                </w:p>
              </w:tc>
              <w:tc>
                <w:tcPr>
                  <w:tcW w:w="89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i w:val="0"/>
                      <w:iCs w:val="0"/>
                      <w:color w:val="auto"/>
                      <w:kern w:val="0"/>
                      <w:sz w:val="21"/>
                      <w:szCs w:val="21"/>
                      <w:u w:val="none"/>
                      <w:lang w:val="en-US" w:eastAsia="zh-CN" w:bidi="ar"/>
                    </w:rPr>
                    <w:t>0.18</w:t>
                  </w:r>
                </w:p>
              </w:tc>
              <w:tc>
                <w:tcPr>
                  <w:tcW w:w="888" w:type="dxa"/>
                  <w:vMerge w:val="continue"/>
                  <w:tcBorders>
                    <w:left w:val="single" w:color="000000" w:sz="4" w:space="0"/>
                    <w:right w:val="single" w:color="000000" w:sz="4" w:space="0"/>
                  </w:tcBorders>
                  <w:vAlign w:val="center"/>
                </w:tcPr>
                <w:p>
                  <w:pPr>
                    <w:widowControl/>
                    <w:jc w:val="left"/>
                    <w:rPr>
                      <w:rFonts w:hint="default" w:ascii="Times New Roman" w:hAnsi="Times New Roman" w:eastAsia="宋体" w:cs="Times New Roman"/>
                      <w:color w:val="auto"/>
                      <w:szCs w:val="21"/>
                    </w:rPr>
                  </w:pPr>
                </w:p>
              </w:tc>
              <w:tc>
                <w:tcPr>
                  <w:tcW w:w="731"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300</w:t>
                  </w:r>
                </w:p>
              </w:tc>
              <w:tc>
                <w:tcPr>
                  <w:tcW w:w="13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i w:val="0"/>
                      <w:iCs w:val="0"/>
                      <w:color w:val="auto"/>
                      <w:kern w:val="0"/>
                      <w:sz w:val="21"/>
                      <w:szCs w:val="21"/>
                      <w:u w:val="none"/>
                      <w:lang w:val="en-US" w:eastAsia="zh-CN" w:bidi="ar"/>
                    </w:rPr>
                    <w:t>0.18</w:t>
                  </w:r>
                </w:p>
              </w:tc>
              <w:tc>
                <w:tcPr>
                  <w:tcW w:w="91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400</w:t>
                  </w:r>
                </w:p>
              </w:tc>
              <w:tc>
                <w:tcPr>
                  <w:tcW w:w="729" w:type="dxa"/>
                  <w:vMerge w:val="continue"/>
                  <w:tcBorders>
                    <w:left w:val="single" w:color="000000" w:sz="4" w:space="0"/>
                    <w:right w:val="nil"/>
                  </w:tcBorders>
                  <w:vAlign w:val="center"/>
                </w:tcPr>
                <w:p>
                  <w:pPr>
                    <w:widowControl/>
                    <w:jc w:val="left"/>
                    <w:rPr>
                      <w:rFonts w:hint="default" w:ascii="Times New Roman" w:hAnsi="Times New Roman" w:eastAsia="宋体" w:cs="Times New Roman"/>
                      <w:color w:val="auto"/>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trPr>
              <w:tc>
                <w:tcPr>
                  <w:tcW w:w="708" w:type="dxa"/>
                  <w:vMerge w:val="continue"/>
                  <w:tcBorders>
                    <w:top w:val="single" w:color="000000" w:sz="4" w:space="0"/>
                    <w:left w:val="nil"/>
                    <w:bottom w:val="single" w:color="000000" w:sz="4" w:space="0"/>
                    <w:right w:val="single" w:color="000000" w:sz="4" w:space="0"/>
                  </w:tcBorders>
                  <w:vAlign w:val="center"/>
                </w:tcPr>
                <w:p>
                  <w:pPr>
                    <w:widowControl/>
                    <w:jc w:val="left"/>
                    <w:rPr>
                      <w:rFonts w:hint="default" w:ascii="Times New Roman" w:hAnsi="Times New Roman" w:eastAsia="宋体" w:cs="Times New Roman"/>
                      <w:color w:val="auto"/>
                      <w:szCs w:val="21"/>
                    </w:rPr>
                  </w:pPr>
                </w:p>
              </w:tc>
              <w:tc>
                <w:tcPr>
                  <w:tcW w:w="88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default" w:ascii="Times New Roman" w:hAnsi="Times New Roman" w:eastAsia="宋体" w:cs="Times New Roman"/>
                      <w:color w:val="auto"/>
                      <w:szCs w:val="21"/>
                    </w:rPr>
                  </w:pPr>
                </w:p>
              </w:tc>
              <w:tc>
                <w:tcPr>
                  <w:tcW w:w="77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氨氮</w:t>
                  </w:r>
                </w:p>
              </w:tc>
              <w:tc>
                <w:tcPr>
                  <w:tcW w:w="76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25</w:t>
                  </w:r>
                </w:p>
              </w:tc>
              <w:tc>
                <w:tcPr>
                  <w:tcW w:w="89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i w:val="0"/>
                      <w:iCs w:val="0"/>
                      <w:color w:val="auto"/>
                      <w:kern w:val="0"/>
                      <w:sz w:val="21"/>
                      <w:szCs w:val="21"/>
                      <w:u w:val="none"/>
                      <w:lang w:val="en-US" w:eastAsia="zh-CN" w:bidi="ar"/>
                    </w:rPr>
                    <w:t>0.015</w:t>
                  </w:r>
                </w:p>
              </w:tc>
              <w:tc>
                <w:tcPr>
                  <w:tcW w:w="888" w:type="dxa"/>
                  <w:vMerge w:val="continue"/>
                  <w:tcBorders>
                    <w:left w:val="single" w:color="000000" w:sz="4" w:space="0"/>
                    <w:right w:val="single" w:color="000000" w:sz="4" w:space="0"/>
                  </w:tcBorders>
                  <w:vAlign w:val="center"/>
                </w:tcPr>
                <w:p>
                  <w:pPr>
                    <w:widowControl/>
                    <w:jc w:val="left"/>
                    <w:rPr>
                      <w:rFonts w:hint="default" w:ascii="Times New Roman" w:hAnsi="Times New Roman" w:eastAsia="宋体" w:cs="Times New Roman"/>
                      <w:color w:val="auto"/>
                      <w:szCs w:val="21"/>
                    </w:rPr>
                  </w:pPr>
                </w:p>
              </w:tc>
              <w:tc>
                <w:tcPr>
                  <w:tcW w:w="731"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25</w:t>
                  </w:r>
                </w:p>
              </w:tc>
              <w:tc>
                <w:tcPr>
                  <w:tcW w:w="13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i w:val="0"/>
                      <w:iCs w:val="0"/>
                      <w:color w:val="auto"/>
                      <w:kern w:val="0"/>
                      <w:sz w:val="21"/>
                      <w:szCs w:val="21"/>
                      <w:u w:val="none"/>
                      <w:lang w:val="en-US" w:eastAsia="zh-CN" w:bidi="ar"/>
                    </w:rPr>
                    <w:t>0.015</w:t>
                  </w:r>
                </w:p>
              </w:tc>
              <w:tc>
                <w:tcPr>
                  <w:tcW w:w="91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45</w:t>
                  </w:r>
                </w:p>
              </w:tc>
              <w:tc>
                <w:tcPr>
                  <w:tcW w:w="729" w:type="dxa"/>
                  <w:vMerge w:val="continue"/>
                  <w:tcBorders>
                    <w:left w:val="single" w:color="000000" w:sz="4" w:space="0"/>
                    <w:right w:val="nil"/>
                  </w:tcBorders>
                  <w:vAlign w:val="center"/>
                </w:tcPr>
                <w:p>
                  <w:pPr>
                    <w:widowControl/>
                    <w:jc w:val="left"/>
                    <w:rPr>
                      <w:rFonts w:hint="default" w:ascii="Times New Roman" w:hAnsi="Times New Roman" w:eastAsia="宋体" w:cs="Times New Roman"/>
                      <w:color w:val="auto"/>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trPr>
              <w:tc>
                <w:tcPr>
                  <w:tcW w:w="708" w:type="dxa"/>
                  <w:vMerge w:val="continue"/>
                  <w:tcBorders>
                    <w:top w:val="single" w:color="000000" w:sz="4" w:space="0"/>
                    <w:left w:val="nil"/>
                    <w:bottom w:val="single" w:color="000000" w:sz="4" w:space="0"/>
                    <w:right w:val="single" w:color="000000" w:sz="4" w:space="0"/>
                  </w:tcBorders>
                  <w:vAlign w:val="center"/>
                </w:tcPr>
                <w:p>
                  <w:pPr>
                    <w:widowControl/>
                    <w:jc w:val="left"/>
                    <w:rPr>
                      <w:rFonts w:hint="default" w:ascii="Times New Roman" w:hAnsi="Times New Roman" w:eastAsia="宋体" w:cs="Times New Roman"/>
                      <w:color w:val="auto"/>
                      <w:szCs w:val="21"/>
                    </w:rPr>
                  </w:pPr>
                </w:p>
              </w:tc>
              <w:tc>
                <w:tcPr>
                  <w:tcW w:w="88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default" w:ascii="Times New Roman" w:hAnsi="Times New Roman" w:eastAsia="宋体" w:cs="Times New Roman"/>
                      <w:color w:val="auto"/>
                      <w:szCs w:val="21"/>
                    </w:rPr>
                  </w:pPr>
                </w:p>
              </w:tc>
              <w:tc>
                <w:tcPr>
                  <w:tcW w:w="77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TP</w:t>
                  </w:r>
                </w:p>
              </w:tc>
              <w:tc>
                <w:tcPr>
                  <w:tcW w:w="76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5</w:t>
                  </w:r>
                </w:p>
              </w:tc>
              <w:tc>
                <w:tcPr>
                  <w:tcW w:w="89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i w:val="0"/>
                      <w:iCs w:val="0"/>
                      <w:color w:val="auto"/>
                      <w:kern w:val="0"/>
                      <w:sz w:val="21"/>
                      <w:szCs w:val="21"/>
                      <w:u w:val="none"/>
                      <w:lang w:val="en-US" w:eastAsia="zh-CN" w:bidi="ar"/>
                    </w:rPr>
                    <w:t>0.003</w:t>
                  </w:r>
                </w:p>
              </w:tc>
              <w:tc>
                <w:tcPr>
                  <w:tcW w:w="888" w:type="dxa"/>
                  <w:vMerge w:val="continue"/>
                  <w:tcBorders>
                    <w:left w:val="single" w:color="000000" w:sz="4" w:space="0"/>
                    <w:right w:val="single" w:color="000000" w:sz="4" w:space="0"/>
                  </w:tcBorders>
                  <w:vAlign w:val="center"/>
                </w:tcPr>
                <w:p>
                  <w:pPr>
                    <w:widowControl/>
                    <w:jc w:val="left"/>
                    <w:rPr>
                      <w:rFonts w:hint="default" w:ascii="Times New Roman" w:hAnsi="Times New Roman" w:eastAsia="宋体" w:cs="Times New Roman"/>
                      <w:color w:val="auto"/>
                      <w:szCs w:val="21"/>
                    </w:rPr>
                  </w:pPr>
                </w:p>
              </w:tc>
              <w:tc>
                <w:tcPr>
                  <w:tcW w:w="731"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5</w:t>
                  </w:r>
                </w:p>
              </w:tc>
              <w:tc>
                <w:tcPr>
                  <w:tcW w:w="13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i w:val="0"/>
                      <w:iCs w:val="0"/>
                      <w:color w:val="auto"/>
                      <w:kern w:val="0"/>
                      <w:sz w:val="21"/>
                      <w:szCs w:val="21"/>
                      <w:u w:val="none"/>
                      <w:lang w:val="en-US" w:eastAsia="zh-CN" w:bidi="ar"/>
                    </w:rPr>
                    <w:t>0.003</w:t>
                  </w:r>
                </w:p>
              </w:tc>
              <w:tc>
                <w:tcPr>
                  <w:tcW w:w="91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8</w:t>
                  </w:r>
                </w:p>
              </w:tc>
              <w:tc>
                <w:tcPr>
                  <w:tcW w:w="729" w:type="dxa"/>
                  <w:vMerge w:val="continue"/>
                  <w:tcBorders>
                    <w:left w:val="single" w:color="000000" w:sz="4" w:space="0"/>
                    <w:right w:val="nil"/>
                  </w:tcBorders>
                  <w:vAlign w:val="center"/>
                </w:tcPr>
                <w:p>
                  <w:pPr>
                    <w:widowControl/>
                    <w:jc w:val="left"/>
                    <w:rPr>
                      <w:rFonts w:hint="default" w:ascii="Times New Roman" w:hAnsi="Times New Roman" w:eastAsia="宋体" w:cs="Times New Roman"/>
                      <w:color w:val="auto"/>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trPr>
              <w:tc>
                <w:tcPr>
                  <w:tcW w:w="708" w:type="dxa"/>
                  <w:vMerge w:val="continue"/>
                  <w:tcBorders>
                    <w:top w:val="single" w:color="000000" w:sz="4" w:space="0"/>
                    <w:left w:val="nil"/>
                    <w:bottom w:val="single" w:color="auto" w:sz="12" w:space="0"/>
                    <w:right w:val="single" w:color="000000" w:sz="4" w:space="0"/>
                  </w:tcBorders>
                  <w:vAlign w:val="center"/>
                </w:tcPr>
                <w:p>
                  <w:pPr>
                    <w:widowControl/>
                    <w:jc w:val="left"/>
                    <w:rPr>
                      <w:rFonts w:hint="default" w:ascii="Times New Roman" w:hAnsi="Times New Roman" w:eastAsia="宋体" w:cs="Times New Roman"/>
                      <w:color w:val="auto"/>
                      <w:szCs w:val="21"/>
                    </w:rPr>
                  </w:pPr>
                </w:p>
              </w:tc>
              <w:tc>
                <w:tcPr>
                  <w:tcW w:w="888" w:type="dxa"/>
                  <w:vMerge w:val="continue"/>
                  <w:tcBorders>
                    <w:top w:val="single" w:color="000000" w:sz="4" w:space="0"/>
                    <w:left w:val="single" w:color="000000" w:sz="4" w:space="0"/>
                    <w:bottom w:val="single" w:color="auto" w:sz="12" w:space="0"/>
                    <w:right w:val="single" w:color="000000" w:sz="4" w:space="0"/>
                  </w:tcBorders>
                  <w:vAlign w:val="center"/>
                </w:tcPr>
                <w:p>
                  <w:pPr>
                    <w:widowControl/>
                    <w:jc w:val="left"/>
                    <w:rPr>
                      <w:rFonts w:hint="default" w:ascii="Times New Roman" w:hAnsi="Times New Roman" w:eastAsia="宋体" w:cs="Times New Roman"/>
                      <w:color w:val="auto"/>
                      <w:szCs w:val="21"/>
                    </w:rPr>
                  </w:pPr>
                </w:p>
              </w:tc>
              <w:tc>
                <w:tcPr>
                  <w:tcW w:w="775" w:type="dxa"/>
                  <w:tcBorders>
                    <w:top w:val="single" w:color="000000" w:sz="4" w:space="0"/>
                    <w:left w:val="single" w:color="000000" w:sz="4" w:space="0"/>
                    <w:bottom w:val="single" w:color="auto" w:sz="12"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TN</w:t>
                  </w:r>
                </w:p>
              </w:tc>
              <w:tc>
                <w:tcPr>
                  <w:tcW w:w="766" w:type="dxa"/>
                  <w:tcBorders>
                    <w:top w:val="single" w:color="000000" w:sz="4" w:space="0"/>
                    <w:left w:val="single" w:color="000000" w:sz="4" w:space="0"/>
                    <w:bottom w:val="single" w:color="auto" w:sz="12"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50</w:t>
                  </w:r>
                </w:p>
              </w:tc>
              <w:tc>
                <w:tcPr>
                  <w:tcW w:w="899" w:type="dxa"/>
                  <w:tcBorders>
                    <w:top w:val="single" w:color="000000" w:sz="4" w:space="0"/>
                    <w:left w:val="single" w:color="000000" w:sz="4" w:space="0"/>
                    <w:bottom w:val="single" w:color="auto" w:sz="12"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rPr>
                  </w:pPr>
                  <w:r>
                    <w:rPr>
                      <w:rFonts w:hint="default" w:ascii="Times New Roman" w:hAnsi="Times New Roman" w:eastAsia="宋体" w:cs="Times New Roman"/>
                      <w:i w:val="0"/>
                      <w:iCs w:val="0"/>
                      <w:color w:val="auto"/>
                      <w:kern w:val="0"/>
                      <w:sz w:val="21"/>
                      <w:szCs w:val="21"/>
                      <w:u w:val="none"/>
                      <w:lang w:val="en-US" w:eastAsia="zh-CN" w:bidi="ar"/>
                    </w:rPr>
                    <w:t>0.03</w:t>
                  </w:r>
                </w:p>
              </w:tc>
              <w:tc>
                <w:tcPr>
                  <w:tcW w:w="888" w:type="dxa"/>
                  <w:vMerge w:val="continue"/>
                  <w:tcBorders>
                    <w:left w:val="single" w:color="000000" w:sz="4" w:space="0"/>
                    <w:bottom w:val="single" w:color="auto" w:sz="12" w:space="0"/>
                    <w:right w:val="single" w:color="000000" w:sz="4" w:space="0"/>
                  </w:tcBorders>
                  <w:vAlign w:val="center"/>
                </w:tcPr>
                <w:p>
                  <w:pPr>
                    <w:widowControl/>
                    <w:jc w:val="left"/>
                    <w:rPr>
                      <w:rFonts w:hint="default" w:ascii="Times New Roman" w:hAnsi="Times New Roman" w:eastAsia="宋体" w:cs="Times New Roman"/>
                      <w:color w:val="auto"/>
                      <w:szCs w:val="21"/>
                    </w:rPr>
                  </w:pPr>
                </w:p>
              </w:tc>
              <w:tc>
                <w:tcPr>
                  <w:tcW w:w="731" w:type="dxa"/>
                  <w:tcBorders>
                    <w:top w:val="single" w:color="000000" w:sz="4" w:space="0"/>
                    <w:left w:val="single" w:color="000000" w:sz="4" w:space="0"/>
                    <w:bottom w:val="single" w:color="auto" w:sz="12"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50</w:t>
                  </w:r>
                </w:p>
              </w:tc>
              <w:tc>
                <w:tcPr>
                  <w:tcW w:w="1304" w:type="dxa"/>
                  <w:tcBorders>
                    <w:top w:val="single" w:color="000000" w:sz="4" w:space="0"/>
                    <w:left w:val="single" w:color="000000" w:sz="4" w:space="0"/>
                    <w:bottom w:val="single" w:color="auto" w:sz="12"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rPr>
                  </w:pPr>
                  <w:r>
                    <w:rPr>
                      <w:rFonts w:hint="default" w:ascii="Times New Roman" w:hAnsi="Times New Roman" w:eastAsia="宋体" w:cs="Times New Roman"/>
                      <w:i w:val="0"/>
                      <w:iCs w:val="0"/>
                      <w:color w:val="auto"/>
                      <w:kern w:val="0"/>
                      <w:sz w:val="21"/>
                      <w:szCs w:val="21"/>
                      <w:u w:val="none"/>
                      <w:lang w:val="en-US" w:eastAsia="zh-CN" w:bidi="ar"/>
                    </w:rPr>
                    <w:t>0.03</w:t>
                  </w:r>
                </w:p>
              </w:tc>
              <w:tc>
                <w:tcPr>
                  <w:tcW w:w="916" w:type="dxa"/>
                  <w:tcBorders>
                    <w:top w:val="single" w:color="000000" w:sz="4" w:space="0"/>
                    <w:left w:val="single" w:color="000000" w:sz="4" w:space="0"/>
                    <w:bottom w:val="single" w:color="auto" w:sz="12"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70</w:t>
                  </w:r>
                </w:p>
              </w:tc>
              <w:tc>
                <w:tcPr>
                  <w:tcW w:w="729" w:type="dxa"/>
                  <w:vMerge w:val="continue"/>
                  <w:tcBorders>
                    <w:left w:val="single" w:color="000000" w:sz="4" w:space="0"/>
                    <w:bottom w:val="single" w:color="auto" w:sz="4" w:space="0"/>
                    <w:right w:val="nil"/>
                  </w:tcBorders>
                  <w:vAlign w:val="center"/>
                </w:tcPr>
                <w:p>
                  <w:pPr>
                    <w:widowControl/>
                    <w:jc w:val="left"/>
                    <w:rPr>
                      <w:rFonts w:hint="default" w:ascii="Times New Roman" w:hAnsi="Times New Roman" w:eastAsia="宋体" w:cs="Times New Roman"/>
                      <w:color w:val="auto"/>
                      <w:szCs w:val="21"/>
                    </w:rPr>
                  </w:pPr>
                </w:p>
              </w:tc>
            </w:tr>
          </w:tbl>
          <w:p>
            <w:pPr>
              <w:adjustRightInd w:val="0"/>
              <w:snapToGrid w:val="0"/>
              <w:spacing w:line="360" w:lineRule="auto"/>
              <w:ind w:firstLine="482" w:firstLineChars="200"/>
              <w:rPr>
                <w:rFonts w:hint="default" w:ascii="Times New Roman" w:hAnsi="Times New Roman" w:eastAsia="宋体" w:cs="Times New Roman"/>
                <w:b/>
                <w:bCs/>
                <w:color w:val="auto"/>
                <w:szCs w:val="21"/>
              </w:rPr>
            </w:pPr>
            <w:r>
              <w:rPr>
                <w:rFonts w:hint="default" w:ascii="Times New Roman" w:hAnsi="Times New Roman" w:eastAsia="宋体" w:cs="Times New Roman"/>
                <w:b/>
                <w:color w:val="auto"/>
                <w:sz w:val="24"/>
              </w:rPr>
              <w:t>重新核算</w:t>
            </w:r>
            <w:r>
              <w:rPr>
                <w:rFonts w:hint="default" w:ascii="Times New Roman" w:hAnsi="Times New Roman" w:eastAsia="宋体" w:cs="Times New Roman"/>
                <w:b/>
                <w:color w:val="auto"/>
                <w:sz w:val="24"/>
                <w:lang w:val="en-US" w:eastAsia="zh-CN"/>
              </w:rPr>
              <w:t>原有项目</w:t>
            </w:r>
            <w:r>
              <w:rPr>
                <w:rFonts w:hint="default" w:ascii="Times New Roman" w:hAnsi="Times New Roman" w:eastAsia="宋体" w:cs="Times New Roman"/>
                <w:b/>
                <w:color w:val="auto"/>
                <w:sz w:val="24"/>
              </w:rPr>
              <w:t>废水排放量和本项目一并申请污染物排放总量。</w:t>
            </w:r>
          </w:p>
          <w:p>
            <w:pPr>
              <w:spacing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2、废气</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原有项目</w:t>
            </w:r>
            <w:r>
              <w:rPr>
                <w:rFonts w:hint="default" w:ascii="Times New Roman" w:hAnsi="Times New Roman" w:eastAsia="宋体" w:cs="Times New Roman"/>
                <w:color w:val="auto"/>
                <w:sz w:val="24"/>
                <w:lang w:val="en-US" w:eastAsia="zh-CN"/>
              </w:rPr>
              <w:t>焊接过程中</w:t>
            </w:r>
            <w:r>
              <w:rPr>
                <w:rFonts w:hint="default" w:ascii="Times New Roman" w:hAnsi="Times New Roman" w:eastAsia="宋体" w:cs="Times New Roman"/>
                <w:color w:val="auto"/>
                <w:sz w:val="24"/>
              </w:rPr>
              <w:t>过程</w:t>
            </w:r>
            <w:r>
              <w:rPr>
                <w:rFonts w:hint="default" w:ascii="Times New Roman" w:hAnsi="Times New Roman" w:eastAsia="宋体" w:cs="Times New Roman"/>
                <w:color w:val="auto"/>
                <w:sz w:val="24"/>
                <w:lang w:val="en-US" w:eastAsia="zh-CN"/>
              </w:rPr>
              <w:t>会产生焊接烟尘，根据排放源统计调查产排污核算方法和系数手册，焊接</w:t>
            </w:r>
            <w:r>
              <w:rPr>
                <w:rFonts w:hint="default" w:ascii="Times New Roman" w:hAnsi="Times New Roman" w:eastAsia="宋体" w:cs="Times New Roman"/>
                <w:color w:val="auto"/>
                <w:sz w:val="24"/>
              </w:rPr>
              <w:t>产生的</w:t>
            </w:r>
            <w:r>
              <w:rPr>
                <w:rFonts w:hint="default" w:ascii="Times New Roman" w:hAnsi="Times New Roman" w:eastAsia="宋体" w:cs="Times New Roman"/>
                <w:color w:val="auto"/>
                <w:sz w:val="24"/>
                <w:lang w:val="en-US" w:eastAsia="zh-CN"/>
              </w:rPr>
              <w:t>烟尘</w:t>
            </w:r>
            <w:r>
              <w:rPr>
                <w:rFonts w:hint="default" w:ascii="Times New Roman" w:hAnsi="Times New Roman" w:eastAsia="宋体" w:cs="Times New Roman"/>
                <w:color w:val="auto"/>
                <w:sz w:val="24"/>
              </w:rPr>
              <w:t>量</w:t>
            </w:r>
            <w:r>
              <w:rPr>
                <w:rFonts w:hint="default" w:ascii="Times New Roman" w:hAnsi="Times New Roman" w:eastAsia="宋体" w:cs="Times New Roman"/>
                <w:color w:val="auto"/>
                <w:sz w:val="24"/>
                <w:lang w:val="en-US" w:eastAsia="zh-CN"/>
              </w:rPr>
              <w:t>按20.5</w:t>
            </w:r>
            <w:r>
              <w:rPr>
                <w:rFonts w:hint="default" w:ascii="Times New Roman" w:hAnsi="Times New Roman" w:eastAsia="宋体" w:cs="Times New Roman"/>
                <w:color w:val="auto"/>
                <w:sz w:val="24"/>
              </w:rPr>
              <w:t>kg/t计</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val="en-US" w:eastAsia="zh-CN"/>
              </w:rPr>
              <w:t>企业年使用焊条0.8t，因此焊接产生的烟尘量为0.0164t，由移动式烟尘净化器收集处理后通过车间通风无组织排放</w:t>
            </w:r>
            <w:r>
              <w:rPr>
                <w:rFonts w:hint="default" w:ascii="Times New Roman" w:hAnsi="Times New Roman" w:eastAsia="宋体" w:cs="Times New Roman"/>
                <w:color w:val="auto"/>
                <w:sz w:val="24"/>
              </w:rPr>
              <w:t>。收集效率为</w:t>
            </w:r>
            <w:r>
              <w:rPr>
                <w:rFonts w:hint="default" w:ascii="Times New Roman" w:hAnsi="Times New Roman" w:eastAsia="宋体" w:cs="Times New Roman"/>
                <w:color w:val="auto"/>
                <w:sz w:val="24"/>
                <w:lang w:val="en-US" w:eastAsia="zh-CN"/>
              </w:rPr>
              <w:t>90</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故</w:t>
            </w:r>
            <w:r>
              <w:rPr>
                <w:rFonts w:hint="default" w:ascii="Times New Roman" w:hAnsi="Times New Roman" w:eastAsia="宋体" w:cs="Times New Roman"/>
                <w:color w:val="auto"/>
                <w:sz w:val="24"/>
                <w:lang w:val="en-US" w:eastAsia="zh-CN"/>
              </w:rPr>
              <w:t>焊接过程中烟尘无组织</w:t>
            </w:r>
            <w:r>
              <w:rPr>
                <w:rFonts w:hint="default" w:ascii="Times New Roman" w:hAnsi="Times New Roman" w:eastAsia="宋体" w:cs="Times New Roman"/>
                <w:color w:val="auto"/>
                <w:sz w:val="24"/>
              </w:rPr>
              <w:t>排放量为0.00164t/a</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val="en-US" w:eastAsia="zh-CN"/>
              </w:rPr>
              <w:t>排放情况符合</w:t>
            </w:r>
            <w:r>
              <w:rPr>
                <w:rFonts w:hint="default" w:ascii="Times New Roman" w:hAnsi="Times New Roman" w:eastAsia="宋体" w:cs="Times New Roman"/>
                <w:color w:val="auto"/>
                <w:sz w:val="24"/>
              </w:rPr>
              <w:t>《大气污染物综合排放标准》（DB32/4041-2021）中标准。该工段年运行时间约为</w:t>
            </w:r>
            <w:r>
              <w:rPr>
                <w:rFonts w:hint="default" w:ascii="Times New Roman" w:hAnsi="Times New Roman" w:eastAsia="宋体" w:cs="Times New Roman"/>
                <w:color w:val="auto"/>
                <w:sz w:val="24"/>
                <w:lang w:val="en-US" w:eastAsia="zh-CN"/>
              </w:rPr>
              <w:t>2400</w:t>
            </w:r>
            <w:r>
              <w:rPr>
                <w:rFonts w:hint="default" w:ascii="Times New Roman" w:hAnsi="Times New Roman" w:eastAsia="宋体" w:cs="Times New Roman"/>
                <w:color w:val="auto"/>
                <w:sz w:val="24"/>
              </w:rPr>
              <w:t>h。</w:t>
            </w:r>
          </w:p>
          <w:p>
            <w:pPr>
              <w:spacing w:line="360" w:lineRule="auto"/>
              <w:ind w:firstLine="480" w:firstLineChars="200"/>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原有项目金加工过程中车床会产生微量颗粒物，通过车间沉降无组织排放。</w:t>
            </w:r>
          </w:p>
          <w:p>
            <w:pPr>
              <w:adjustRightInd w:val="0"/>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
                <w:color w:val="auto"/>
                <w:sz w:val="24"/>
              </w:rPr>
              <w:t>表2-1</w:t>
            </w:r>
            <w:r>
              <w:rPr>
                <w:rFonts w:hint="eastAsia" w:cs="Times New Roman"/>
                <w:b/>
                <w:color w:val="auto"/>
                <w:sz w:val="24"/>
                <w:lang w:val="en-US" w:eastAsia="zh-CN"/>
              </w:rPr>
              <w:t>2</w:t>
            </w:r>
            <w:r>
              <w:rPr>
                <w:rFonts w:hint="default" w:ascii="Times New Roman" w:hAnsi="Times New Roman" w:eastAsia="宋体" w:cs="Times New Roman"/>
                <w:b/>
                <w:color w:val="auto"/>
                <w:sz w:val="24"/>
              </w:rPr>
              <w:t xml:space="preserve"> 原有项目废气</w:t>
            </w:r>
            <w:r>
              <w:rPr>
                <w:rFonts w:hint="default" w:ascii="Times New Roman" w:hAnsi="Times New Roman" w:eastAsia="宋体" w:cs="Times New Roman"/>
                <w:b/>
                <w:color w:val="auto"/>
                <w:sz w:val="24"/>
                <w:lang w:val="en-US" w:eastAsia="zh-CN"/>
              </w:rPr>
              <w:t>无组织</w:t>
            </w:r>
            <w:r>
              <w:rPr>
                <w:rFonts w:hint="default" w:ascii="Times New Roman" w:hAnsi="Times New Roman" w:eastAsia="宋体" w:cs="Times New Roman"/>
                <w:b/>
                <w:color w:val="auto"/>
                <w:sz w:val="24"/>
              </w:rPr>
              <w:t>排放量</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872"/>
              <w:gridCol w:w="455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2298" w:type="pct"/>
                  <w:shd w:val="clear" w:color="auto" w:fill="auto"/>
                  <w:noWrap/>
                  <w:vAlign w:val="center"/>
                </w:tcPr>
                <w:p>
                  <w:pPr>
                    <w:widowControl/>
                    <w:adjustRightInd w:val="0"/>
                    <w:snapToGrid w:val="0"/>
                    <w:jc w:val="center"/>
                    <w:rPr>
                      <w:rFonts w:hint="default" w:ascii="Times New Roman" w:hAnsi="Times New Roman" w:eastAsia="宋体" w:cs="Times New Roman"/>
                      <w:b/>
                      <w:bCs/>
                      <w:color w:val="auto"/>
                      <w:kern w:val="0"/>
                      <w:szCs w:val="21"/>
                    </w:rPr>
                  </w:pPr>
                  <w:r>
                    <w:rPr>
                      <w:rFonts w:hint="default" w:ascii="Times New Roman" w:hAnsi="Times New Roman" w:eastAsia="宋体" w:cs="Times New Roman"/>
                      <w:b/>
                      <w:bCs/>
                      <w:color w:val="auto"/>
                      <w:kern w:val="0"/>
                      <w:szCs w:val="21"/>
                    </w:rPr>
                    <w:t>污染物</w:t>
                  </w:r>
                </w:p>
              </w:tc>
              <w:tc>
                <w:tcPr>
                  <w:tcW w:w="2701" w:type="pct"/>
                  <w:shd w:val="clear" w:color="auto" w:fill="auto"/>
                  <w:noWrap/>
                  <w:vAlign w:val="center"/>
                </w:tcPr>
                <w:p>
                  <w:pPr>
                    <w:widowControl/>
                    <w:adjustRightInd w:val="0"/>
                    <w:snapToGrid w:val="0"/>
                    <w:jc w:val="center"/>
                    <w:rPr>
                      <w:rFonts w:hint="default" w:ascii="Times New Roman" w:hAnsi="Times New Roman" w:eastAsia="宋体" w:cs="Times New Roman"/>
                      <w:b/>
                      <w:bCs/>
                      <w:color w:val="auto"/>
                      <w:kern w:val="0"/>
                      <w:szCs w:val="21"/>
                    </w:rPr>
                  </w:pPr>
                  <w:r>
                    <w:rPr>
                      <w:rFonts w:hint="default" w:ascii="Times New Roman" w:hAnsi="Times New Roman" w:eastAsia="宋体" w:cs="Times New Roman"/>
                      <w:b/>
                      <w:bCs/>
                      <w:color w:val="auto"/>
                      <w:kern w:val="0"/>
                      <w:szCs w:val="21"/>
                      <w:lang w:val="en-US" w:eastAsia="zh-CN"/>
                    </w:rPr>
                    <w:t>无组织</w:t>
                  </w:r>
                  <w:r>
                    <w:rPr>
                      <w:rFonts w:hint="default" w:ascii="Times New Roman" w:hAnsi="Times New Roman" w:eastAsia="宋体" w:cs="Times New Roman"/>
                      <w:b/>
                      <w:bCs/>
                      <w:color w:val="auto"/>
                      <w:kern w:val="0"/>
                      <w:szCs w:val="21"/>
                    </w:rPr>
                    <w:t>排放量</w:t>
                  </w:r>
                  <w:r>
                    <w:rPr>
                      <w:rFonts w:hint="default" w:ascii="Times New Roman" w:hAnsi="Times New Roman" w:eastAsia="宋体" w:cs="Times New Roman"/>
                      <w:b/>
                      <w:bCs/>
                      <w:color w:val="auto"/>
                      <w:szCs w:val="21"/>
                    </w:rPr>
                    <w:t>(t/a)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2298" w:type="pct"/>
                  <w:shd w:val="clear" w:color="auto" w:fill="auto"/>
                  <w:noWrap/>
                  <w:vAlign w:val="center"/>
                </w:tcPr>
                <w:p>
                  <w:pPr>
                    <w:widowControl/>
                    <w:adjustRightInd w:val="0"/>
                    <w:snapToGrid w:val="0"/>
                    <w:jc w:val="center"/>
                    <w:rPr>
                      <w:rFonts w:hint="default" w:ascii="Times New Roman" w:hAnsi="Times New Roman" w:eastAsia="宋体" w:cs="Times New Roman"/>
                      <w:color w:val="auto"/>
                      <w:kern w:val="0"/>
                      <w:szCs w:val="21"/>
                      <w:lang w:eastAsia="zh-CN"/>
                    </w:rPr>
                  </w:pPr>
                  <w:r>
                    <w:rPr>
                      <w:rFonts w:hint="default" w:ascii="Times New Roman" w:hAnsi="Times New Roman" w:eastAsia="宋体" w:cs="Times New Roman"/>
                      <w:color w:val="auto"/>
                      <w:kern w:val="0"/>
                      <w:szCs w:val="21"/>
                      <w:lang w:val="en-US" w:eastAsia="zh-CN"/>
                    </w:rPr>
                    <w:t>颗粒物</w:t>
                  </w:r>
                </w:p>
              </w:tc>
              <w:tc>
                <w:tcPr>
                  <w:tcW w:w="2701" w:type="pct"/>
                  <w:shd w:val="clear" w:color="auto" w:fill="auto"/>
                  <w:noWrap/>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0.00164</w:t>
                  </w:r>
                </w:p>
              </w:tc>
            </w:tr>
          </w:tbl>
          <w:p>
            <w:pPr>
              <w:adjustRightInd w:val="0"/>
              <w:snapToGrid w:val="0"/>
              <w:spacing w:line="360" w:lineRule="auto"/>
              <w:ind w:firstLine="482" w:firstLineChars="200"/>
              <w:rPr>
                <w:rFonts w:hint="default" w:ascii="Times New Roman" w:hAnsi="Times New Roman" w:eastAsia="宋体" w:cs="Times New Roman"/>
                <w:b/>
                <w:bCs/>
                <w:color w:val="auto"/>
                <w:szCs w:val="21"/>
              </w:rPr>
            </w:pPr>
            <w:r>
              <w:rPr>
                <w:rFonts w:hint="default" w:ascii="Times New Roman" w:hAnsi="Times New Roman" w:eastAsia="宋体" w:cs="Times New Roman"/>
                <w:b/>
                <w:color w:val="auto"/>
                <w:sz w:val="24"/>
                <w:lang w:val="en-US" w:eastAsia="zh-CN"/>
              </w:rPr>
              <w:t>原有项目不涉及废气有组织排放。</w:t>
            </w:r>
          </w:p>
          <w:p>
            <w:pPr>
              <w:spacing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3、固废</w:t>
            </w:r>
          </w:p>
          <w:p>
            <w:pPr>
              <w:spacing w:line="360" w:lineRule="auto"/>
              <w:ind w:firstLine="480" w:firstLineChars="200"/>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边角料：原有项目机加工过程中有少量金属边角料产生，为一般工业固废，年产量约10t/a，收集后外售</w:t>
            </w:r>
            <w:r>
              <w:rPr>
                <w:rFonts w:hint="eastAsia" w:cs="Times New Roman"/>
                <w:color w:val="auto"/>
                <w:sz w:val="24"/>
                <w:lang w:val="en-US" w:eastAsia="zh-CN"/>
              </w:rPr>
              <w:t>综合利用</w:t>
            </w:r>
            <w:r>
              <w:rPr>
                <w:rFonts w:hint="default" w:ascii="Times New Roman" w:hAnsi="Times New Roman" w:eastAsia="宋体" w:cs="Times New Roman"/>
                <w:color w:val="auto"/>
                <w:sz w:val="24"/>
                <w:lang w:val="en-US" w:eastAsia="zh-CN"/>
              </w:rPr>
              <w:t>。</w:t>
            </w:r>
          </w:p>
          <w:p>
            <w:pPr>
              <w:pStyle w:val="5"/>
              <w:adjustRightInd w:val="0"/>
              <w:snapToGrid w:val="0"/>
              <w:spacing w:line="360" w:lineRule="auto"/>
              <w:ind w:firstLine="506" w:firstLineChars="211"/>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焊渣：企业焊接过程中会有少量焊渣产生，为一般工业固废，年产量约0.1t/a，收集后外售</w:t>
            </w:r>
            <w:r>
              <w:rPr>
                <w:rFonts w:hint="eastAsia" w:cs="Times New Roman"/>
                <w:color w:val="auto"/>
                <w:sz w:val="24"/>
                <w:lang w:val="en-US" w:eastAsia="zh-CN"/>
              </w:rPr>
              <w:t>综合利用</w:t>
            </w:r>
            <w:r>
              <w:rPr>
                <w:rFonts w:hint="default" w:ascii="Times New Roman" w:hAnsi="Times New Roman" w:eastAsia="宋体" w:cs="Times New Roman"/>
                <w:color w:val="auto"/>
                <w:sz w:val="24"/>
                <w:lang w:val="en-US" w:eastAsia="zh-CN"/>
              </w:rPr>
              <w:t>。</w:t>
            </w:r>
          </w:p>
          <w:p>
            <w:pPr>
              <w:pStyle w:val="5"/>
              <w:adjustRightInd w:val="0"/>
              <w:snapToGrid w:val="0"/>
              <w:spacing w:line="360" w:lineRule="auto"/>
              <w:ind w:firstLine="506" w:firstLineChars="211"/>
              <w:rPr>
                <w:rFonts w:hint="default" w:ascii="Times New Roman" w:hAnsi="Times New Roman" w:eastAsia="宋体" w:cs="Times New Roman"/>
                <w:color w:val="auto"/>
                <w:sz w:val="24"/>
                <w:lang w:eastAsia="zh-CN"/>
              </w:rPr>
            </w:pPr>
            <w:r>
              <w:rPr>
                <w:rFonts w:hint="default" w:ascii="Times New Roman" w:hAnsi="Times New Roman" w:eastAsia="宋体" w:cs="Times New Roman"/>
                <w:color w:val="auto"/>
                <w:sz w:val="24"/>
                <w:lang w:val="en-US" w:eastAsia="zh-CN"/>
              </w:rPr>
              <w:t>生活垃圾：</w:t>
            </w:r>
            <w:r>
              <w:rPr>
                <w:rFonts w:hint="default" w:ascii="Times New Roman" w:hAnsi="Times New Roman" w:eastAsia="宋体" w:cs="Times New Roman"/>
                <w:color w:val="auto"/>
                <w:sz w:val="24"/>
              </w:rPr>
              <w:t>员工日常生活会产生生活垃圾，</w:t>
            </w:r>
            <w:r>
              <w:rPr>
                <w:rFonts w:hint="default" w:ascii="Times New Roman" w:hAnsi="Times New Roman" w:eastAsia="宋体" w:cs="Times New Roman"/>
                <w:color w:val="auto"/>
                <w:sz w:val="24"/>
                <w:lang w:val="en-US" w:eastAsia="zh-CN"/>
              </w:rPr>
              <w:t>原有项目有</w:t>
            </w:r>
            <w:r>
              <w:rPr>
                <w:rFonts w:hint="default" w:ascii="Times New Roman" w:hAnsi="Times New Roman" w:eastAsia="宋体" w:cs="Times New Roman"/>
                <w:color w:val="auto"/>
                <w:sz w:val="24"/>
              </w:rPr>
              <w:t>员工</w:t>
            </w:r>
            <w:r>
              <w:rPr>
                <w:rFonts w:hint="default" w:ascii="Times New Roman" w:hAnsi="Times New Roman" w:eastAsia="宋体" w:cs="Times New Roman"/>
                <w:color w:val="auto"/>
                <w:sz w:val="24"/>
                <w:lang w:val="en-US" w:eastAsia="zh-CN"/>
              </w:rPr>
              <w:t>25</w:t>
            </w:r>
            <w:r>
              <w:rPr>
                <w:rFonts w:hint="default" w:ascii="Times New Roman" w:hAnsi="Times New Roman" w:eastAsia="宋体" w:cs="Times New Roman"/>
                <w:color w:val="auto"/>
                <w:sz w:val="24"/>
              </w:rPr>
              <w:t>人，日产生量按1kg/人计，年工作300天，则生活垃圾产生量为</w:t>
            </w:r>
            <w:r>
              <w:rPr>
                <w:rFonts w:hint="default" w:ascii="Times New Roman" w:hAnsi="Times New Roman" w:eastAsia="宋体" w:cs="Times New Roman"/>
                <w:color w:val="auto"/>
                <w:sz w:val="24"/>
                <w:lang w:val="en-US" w:eastAsia="zh-CN"/>
              </w:rPr>
              <w:t>7.5t</w:t>
            </w:r>
            <w:r>
              <w:rPr>
                <w:rFonts w:hint="default" w:ascii="Times New Roman" w:hAnsi="Times New Roman" w:eastAsia="宋体" w:cs="Times New Roman"/>
                <w:color w:val="auto"/>
                <w:sz w:val="24"/>
              </w:rPr>
              <w:t>/a</w:t>
            </w:r>
            <w:r>
              <w:rPr>
                <w:rFonts w:hint="default" w:ascii="Times New Roman" w:hAnsi="Times New Roman" w:eastAsia="宋体" w:cs="Times New Roman"/>
                <w:color w:val="auto"/>
                <w:sz w:val="24"/>
                <w:lang w:eastAsia="zh-CN"/>
              </w:rPr>
              <w:t>。</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val="en-US" w:eastAsia="zh-CN"/>
              </w:rPr>
              <w:t>企业在厂区西侧</w:t>
            </w:r>
            <w:r>
              <w:rPr>
                <w:rFonts w:hint="default" w:ascii="Times New Roman" w:hAnsi="Times New Roman" w:eastAsia="宋体" w:cs="Times New Roman"/>
                <w:color w:val="auto"/>
                <w:sz w:val="24"/>
              </w:rPr>
              <w:t>已设置1个</w:t>
            </w:r>
            <w:r>
              <w:rPr>
                <w:rFonts w:hint="default" w:ascii="Times New Roman" w:hAnsi="Times New Roman" w:eastAsia="宋体" w:cs="Times New Roman"/>
                <w:color w:val="auto"/>
                <w:sz w:val="24"/>
                <w:lang w:val="en-US" w:eastAsia="zh-CN"/>
              </w:rPr>
              <w:t>3</w:t>
            </w:r>
            <w:r>
              <w:rPr>
                <w:rFonts w:hint="default" w:ascii="Times New Roman" w:hAnsi="Times New Roman" w:eastAsia="宋体" w:cs="Times New Roman"/>
                <w:color w:val="auto"/>
                <w:sz w:val="24"/>
              </w:rPr>
              <w:t>0m</w:t>
            </w:r>
            <w:r>
              <w:rPr>
                <w:rFonts w:hint="default" w:ascii="Times New Roman" w:hAnsi="Times New Roman" w:eastAsia="宋体" w:cs="Times New Roman"/>
                <w:color w:val="auto"/>
                <w:sz w:val="24"/>
                <w:vertAlign w:val="superscript"/>
              </w:rPr>
              <w:t>2</w:t>
            </w:r>
            <w:r>
              <w:rPr>
                <w:rFonts w:hint="default" w:ascii="Times New Roman" w:hAnsi="Times New Roman" w:eastAsia="宋体" w:cs="Times New Roman"/>
                <w:color w:val="auto"/>
                <w:sz w:val="24"/>
              </w:rPr>
              <w:t>的固废</w:t>
            </w:r>
            <w:r>
              <w:rPr>
                <w:rFonts w:hint="default" w:ascii="Times New Roman" w:hAnsi="Times New Roman" w:eastAsia="宋体" w:cs="Times New Roman"/>
                <w:color w:val="auto"/>
                <w:sz w:val="24"/>
                <w:lang w:val="en-US" w:eastAsia="zh-CN"/>
              </w:rPr>
              <w:t>堆场</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val="en-US" w:eastAsia="zh-CN"/>
              </w:rPr>
              <w:t>用于存放原有项目的金属边角料及焊渣。</w:t>
            </w:r>
            <w:r>
              <w:rPr>
                <w:rFonts w:hint="default" w:ascii="Times New Roman" w:hAnsi="Times New Roman" w:eastAsia="宋体" w:cs="Times New Roman"/>
                <w:color w:val="auto"/>
                <w:sz w:val="24"/>
              </w:rPr>
              <w:t>原有项目固体废物利用处置方式见下表。</w:t>
            </w:r>
          </w:p>
          <w:p>
            <w:pPr>
              <w:jc w:val="center"/>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表2-1</w:t>
            </w:r>
            <w:r>
              <w:rPr>
                <w:rFonts w:hint="eastAsia" w:cs="Times New Roman"/>
                <w:b/>
                <w:color w:val="auto"/>
                <w:sz w:val="24"/>
                <w:lang w:val="en-US" w:eastAsia="zh-CN"/>
              </w:rPr>
              <w:t>3</w:t>
            </w:r>
            <w:r>
              <w:rPr>
                <w:rFonts w:hint="default" w:ascii="Times New Roman" w:hAnsi="Times New Roman" w:eastAsia="宋体" w:cs="Times New Roman"/>
                <w:b/>
                <w:color w:val="auto"/>
                <w:sz w:val="24"/>
              </w:rPr>
              <w:t xml:space="preserve"> 原有项目固废一览表</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837"/>
              <w:gridCol w:w="3129"/>
              <w:gridCol w:w="1727"/>
              <w:gridCol w:w="173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2947" w:type="pct"/>
                  <w:gridSpan w:val="2"/>
                  <w:vAlign w:val="center"/>
                </w:tcPr>
                <w:p>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名称</w:t>
                  </w:r>
                </w:p>
              </w:tc>
              <w:tc>
                <w:tcPr>
                  <w:tcW w:w="1025" w:type="pct"/>
                  <w:vAlign w:val="center"/>
                </w:tcPr>
                <w:p>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实际产生量（t/a）</w:t>
                  </w:r>
                </w:p>
              </w:tc>
              <w:tc>
                <w:tcPr>
                  <w:tcW w:w="1026" w:type="pct"/>
                  <w:vAlign w:val="center"/>
                </w:tcPr>
                <w:p>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实际处理方式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090" w:type="pct"/>
                  <w:vMerge w:val="restar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一般固废</w:t>
                  </w:r>
                </w:p>
              </w:tc>
              <w:tc>
                <w:tcPr>
                  <w:tcW w:w="1856"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边角料</w:t>
                  </w:r>
                </w:p>
              </w:tc>
              <w:tc>
                <w:tcPr>
                  <w:tcW w:w="1025" w:type="pct"/>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10</w:t>
                  </w:r>
                </w:p>
              </w:tc>
              <w:tc>
                <w:tcPr>
                  <w:tcW w:w="1026"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外售综合利用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090"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1856" w:type="pct"/>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焊渣</w:t>
                  </w:r>
                </w:p>
              </w:tc>
              <w:tc>
                <w:tcPr>
                  <w:tcW w:w="1025" w:type="pct"/>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0.1</w:t>
                  </w:r>
                </w:p>
              </w:tc>
              <w:tc>
                <w:tcPr>
                  <w:tcW w:w="1026"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外售综合利用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2947" w:type="pct"/>
                  <w:gridSpan w:val="2"/>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生活垃圾</w:t>
                  </w:r>
                </w:p>
              </w:tc>
              <w:tc>
                <w:tcPr>
                  <w:tcW w:w="1025"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7.5</w:t>
                  </w:r>
                </w:p>
              </w:tc>
              <w:tc>
                <w:tcPr>
                  <w:tcW w:w="1026"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环卫清运</w:t>
                  </w:r>
                </w:p>
              </w:tc>
            </w:tr>
          </w:tbl>
          <w:p>
            <w:pPr>
              <w:spacing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固体废物100%处置，零排放。</w:t>
            </w:r>
          </w:p>
          <w:p>
            <w:pPr>
              <w:adjustRightInd w:val="0"/>
              <w:snapToGrid w:val="0"/>
              <w:spacing w:line="360" w:lineRule="auto"/>
              <w:ind w:firstLine="482" w:firstLineChars="200"/>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综上，原有项目重新核算废水和固废排放情况见下表。</w:t>
            </w:r>
          </w:p>
          <w:p>
            <w:pPr>
              <w:adjustRightInd w:val="0"/>
              <w:snapToGrid w:val="0"/>
              <w:jc w:val="center"/>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表2-1</w:t>
            </w:r>
            <w:r>
              <w:rPr>
                <w:rFonts w:hint="eastAsia" w:cs="Times New Roman"/>
                <w:b/>
                <w:bCs/>
                <w:color w:val="auto"/>
                <w:sz w:val="24"/>
                <w:lang w:val="en-US" w:eastAsia="zh-CN"/>
              </w:rPr>
              <w:t>4</w:t>
            </w:r>
            <w:r>
              <w:rPr>
                <w:rFonts w:hint="default" w:ascii="Times New Roman" w:hAnsi="Times New Roman" w:eastAsia="宋体" w:cs="Times New Roman"/>
                <w:b/>
                <w:bCs/>
                <w:color w:val="auto"/>
                <w:sz w:val="24"/>
              </w:rPr>
              <w:t xml:space="preserve"> 原有项目污染物排放情况一览表（t/a）</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217"/>
              <w:gridCol w:w="3822"/>
              <w:gridCol w:w="238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6" w:type="pct"/>
                  <w:vAlign w:val="center"/>
                </w:tcPr>
                <w:p>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种类</w:t>
                  </w:r>
                </w:p>
              </w:tc>
              <w:tc>
                <w:tcPr>
                  <w:tcW w:w="2268" w:type="pct"/>
                  <w:vAlign w:val="center"/>
                </w:tcPr>
                <w:p>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污染物名称</w:t>
                  </w:r>
                </w:p>
              </w:tc>
              <w:tc>
                <w:tcPr>
                  <w:tcW w:w="1415" w:type="pct"/>
                  <w:vAlign w:val="center"/>
                </w:tcPr>
                <w:p>
                  <w:pPr>
                    <w:widowControl/>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实际排放量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6" w:type="pct"/>
                  <w:vMerge w:val="restar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废水</w:t>
                  </w:r>
                </w:p>
              </w:tc>
              <w:tc>
                <w:tcPr>
                  <w:tcW w:w="2268"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水量</w:t>
                  </w:r>
                </w:p>
              </w:tc>
              <w:tc>
                <w:tcPr>
                  <w:tcW w:w="1415"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600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6"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2268"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COD</w:t>
                  </w:r>
                </w:p>
              </w:tc>
              <w:tc>
                <w:tcPr>
                  <w:tcW w:w="2392" w:type="dxa"/>
                  <w:vAlign w:val="center"/>
                </w:tcPr>
                <w:p>
                  <w:pPr>
                    <w:keepNext w:val="0"/>
                    <w:keepLines w:val="0"/>
                    <w:widowControl/>
                    <w:suppressLineNumbers w:val="0"/>
                    <w:jc w:val="center"/>
                    <w:textAlignment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i w:val="0"/>
                      <w:iCs w:val="0"/>
                      <w:color w:val="auto"/>
                      <w:kern w:val="0"/>
                      <w:sz w:val="21"/>
                      <w:szCs w:val="21"/>
                      <w:u w:val="none"/>
                      <w:lang w:val="en-US" w:eastAsia="zh-CN" w:bidi="ar"/>
                    </w:rPr>
                    <w:t>0.24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6"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2268"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SS</w:t>
                  </w:r>
                </w:p>
              </w:tc>
              <w:tc>
                <w:tcPr>
                  <w:tcW w:w="2392" w:type="dxa"/>
                  <w:vAlign w:val="center"/>
                </w:tcPr>
                <w:p>
                  <w:pPr>
                    <w:keepNext w:val="0"/>
                    <w:keepLines w:val="0"/>
                    <w:widowControl/>
                    <w:suppressLineNumbers w:val="0"/>
                    <w:jc w:val="center"/>
                    <w:textAlignment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i w:val="0"/>
                      <w:iCs w:val="0"/>
                      <w:color w:val="auto"/>
                      <w:kern w:val="0"/>
                      <w:sz w:val="21"/>
                      <w:szCs w:val="21"/>
                      <w:u w:val="none"/>
                      <w:lang w:val="en-US" w:eastAsia="zh-CN" w:bidi="ar"/>
                    </w:rPr>
                    <w:t>0.18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6"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2268"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氨氮</w:t>
                  </w:r>
                </w:p>
              </w:tc>
              <w:tc>
                <w:tcPr>
                  <w:tcW w:w="2392" w:type="dxa"/>
                  <w:vAlign w:val="center"/>
                </w:tcPr>
                <w:p>
                  <w:pPr>
                    <w:keepNext w:val="0"/>
                    <w:keepLines w:val="0"/>
                    <w:widowControl/>
                    <w:suppressLineNumbers w:val="0"/>
                    <w:jc w:val="center"/>
                    <w:textAlignment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i w:val="0"/>
                      <w:iCs w:val="0"/>
                      <w:color w:val="auto"/>
                      <w:kern w:val="0"/>
                      <w:sz w:val="21"/>
                      <w:szCs w:val="21"/>
                      <w:u w:val="none"/>
                      <w:lang w:val="en-US" w:eastAsia="zh-CN" w:bidi="ar"/>
                    </w:rPr>
                    <w:t>0.015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6"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2268"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TP</w:t>
                  </w:r>
                </w:p>
              </w:tc>
              <w:tc>
                <w:tcPr>
                  <w:tcW w:w="2392" w:type="dxa"/>
                  <w:vAlign w:val="center"/>
                </w:tcPr>
                <w:p>
                  <w:pPr>
                    <w:keepNext w:val="0"/>
                    <w:keepLines w:val="0"/>
                    <w:widowControl/>
                    <w:suppressLineNumbers w:val="0"/>
                    <w:jc w:val="center"/>
                    <w:textAlignment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i w:val="0"/>
                      <w:iCs w:val="0"/>
                      <w:color w:val="auto"/>
                      <w:kern w:val="0"/>
                      <w:sz w:val="21"/>
                      <w:szCs w:val="21"/>
                      <w:u w:val="none"/>
                      <w:lang w:val="en-US" w:eastAsia="zh-CN" w:bidi="ar"/>
                    </w:rPr>
                    <w:t>0.003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6"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2268"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TN</w:t>
                  </w:r>
                </w:p>
              </w:tc>
              <w:tc>
                <w:tcPr>
                  <w:tcW w:w="2392" w:type="dxa"/>
                  <w:vAlign w:val="center"/>
                </w:tcPr>
                <w:p>
                  <w:pPr>
                    <w:keepNext w:val="0"/>
                    <w:keepLines w:val="0"/>
                    <w:widowControl/>
                    <w:suppressLineNumbers w:val="0"/>
                    <w:jc w:val="center"/>
                    <w:textAlignment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i w:val="0"/>
                      <w:iCs w:val="0"/>
                      <w:color w:val="auto"/>
                      <w:kern w:val="0"/>
                      <w:sz w:val="21"/>
                      <w:szCs w:val="21"/>
                      <w:u w:val="none"/>
                      <w:lang w:val="en-US" w:eastAsia="zh-CN" w:bidi="ar"/>
                    </w:rPr>
                    <w:t>0.03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6" w:type="pct"/>
                  <w:vMerge w:val="restar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固废</w:t>
                  </w:r>
                </w:p>
              </w:tc>
              <w:tc>
                <w:tcPr>
                  <w:tcW w:w="2268"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一般固废</w:t>
                  </w:r>
                </w:p>
              </w:tc>
              <w:tc>
                <w:tcPr>
                  <w:tcW w:w="1415"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6"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2268"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生活垃圾</w:t>
                  </w:r>
                </w:p>
              </w:tc>
              <w:tc>
                <w:tcPr>
                  <w:tcW w:w="1415"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w:t>
                  </w:r>
                </w:p>
              </w:tc>
            </w:tr>
          </w:tbl>
          <w:p>
            <w:pPr>
              <w:adjustRightInd w:val="0"/>
              <w:snapToGrid w:val="0"/>
              <w:spacing w:line="360" w:lineRule="auto"/>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注：重新核算污染物排放量和本项目一并申请污染物排放总量。</w:t>
            </w:r>
          </w:p>
          <w:p>
            <w:pPr>
              <w:adjustRightInd w:val="0"/>
              <w:snapToGrid w:val="0"/>
              <w:spacing w:line="360" w:lineRule="auto"/>
              <w:rPr>
                <w:rFonts w:hint="default" w:ascii="Times New Roman" w:hAnsi="Times New Roman" w:eastAsia="宋体" w:cs="Times New Roman"/>
                <w:b/>
                <w:bCs/>
                <w:color w:val="auto"/>
                <w:szCs w:val="21"/>
              </w:rPr>
            </w:pPr>
          </w:p>
          <w:p>
            <w:pPr>
              <w:adjustRightInd w:val="0"/>
              <w:snapToGrid w:val="0"/>
              <w:spacing w:line="360" w:lineRule="auto"/>
              <w:rPr>
                <w:rFonts w:hint="default" w:ascii="Times New Roman" w:hAnsi="Times New Roman" w:eastAsia="宋体" w:cs="Times New Roman"/>
                <w:b/>
                <w:bCs/>
                <w:color w:val="auto"/>
                <w:szCs w:val="21"/>
              </w:rPr>
            </w:pPr>
          </w:p>
          <w:p>
            <w:pPr>
              <w:adjustRightInd w:val="0"/>
              <w:snapToGrid w:val="0"/>
              <w:spacing w:line="360" w:lineRule="auto"/>
              <w:rPr>
                <w:rFonts w:hint="default" w:ascii="Times New Roman" w:hAnsi="Times New Roman" w:eastAsia="宋体" w:cs="Times New Roman"/>
                <w:b/>
                <w:bCs/>
                <w:color w:val="auto"/>
                <w:szCs w:val="21"/>
              </w:rPr>
            </w:pPr>
          </w:p>
          <w:p>
            <w:pPr>
              <w:adjustRightInd w:val="0"/>
              <w:snapToGrid w:val="0"/>
              <w:spacing w:line="360" w:lineRule="auto"/>
              <w:rPr>
                <w:rFonts w:hint="eastAsia" w:cs="Times New Roman"/>
                <w:b/>
                <w:bCs/>
                <w:color w:val="auto"/>
                <w:szCs w:val="21"/>
                <w:lang w:val="en-US" w:eastAsia="zh-CN"/>
              </w:rPr>
            </w:pPr>
          </w:p>
          <w:p>
            <w:pPr>
              <w:adjustRightInd w:val="0"/>
              <w:snapToGrid w:val="0"/>
              <w:spacing w:line="360" w:lineRule="auto"/>
              <w:rPr>
                <w:rFonts w:hint="eastAsia" w:cs="Times New Roman"/>
                <w:b/>
                <w:bCs/>
                <w:color w:val="auto"/>
                <w:szCs w:val="21"/>
                <w:lang w:val="en-US" w:eastAsia="zh-CN"/>
              </w:rPr>
            </w:pPr>
          </w:p>
          <w:p>
            <w:pPr>
              <w:adjustRightInd w:val="0"/>
              <w:snapToGrid w:val="0"/>
              <w:spacing w:line="360" w:lineRule="auto"/>
              <w:rPr>
                <w:rFonts w:hint="eastAsia" w:cs="Times New Roman"/>
                <w:b/>
                <w:bCs/>
                <w:color w:val="auto"/>
                <w:szCs w:val="21"/>
                <w:lang w:val="en-US" w:eastAsia="zh-CN"/>
              </w:rPr>
            </w:pPr>
          </w:p>
          <w:p>
            <w:pPr>
              <w:adjustRightInd w:val="0"/>
              <w:snapToGrid w:val="0"/>
              <w:spacing w:line="360" w:lineRule="auto"/>
              <w:rPr>
                <w:rFonts w:hint="eastAsia" w:cs="Times New Roman"/>
                <w:b/>
                <w:bCs/>
                <w:color w:val="auto"/>
                <w:szCs w:val="21"/>
                <w:lang w:val="en-US" w:eastAsia="zh-CN"/>
              </w:rPr>
            </w:pPr>
          </w:p>
          <w:p>
            <w:pPr>
              <w:adjustRightInd w:val="0"/>
              <w:snapToGrid w:val="0"/>
              <w:spacing w:line="360" w:lineRule="auto"/>
              <w:rPr>
                <w:rFonts w:hint="eastAsia" w:cs="Times New Roman"/>
                <w:b/>
                <w:bCs/>
                <w:color w:val="auto"/>
                <w:szCs w:val="21"/>
                <w:lang w:val="en-US" w:eastAsia="zh-CN"/>
              </w:rPr>
            </w:pPr>
          </w:p>
          <w:p>
            <w:pPr>
              <w:adjustRightInd w:val="0"/>
              <w:snapToGrid w:val="0"/>
              <w:spacing w:line="360" w:lineRule="auto"/>
              <w:rPr>
                <w:rFonts w:hint="eastAsia" w:cs="Times New Roman"/>
                <w:b/>
                <w:bCs/>
                <w:color w:val="auto"/>
                <w:szCs w:val="21"/>
                <w:lang w:val="en-US" w:eastAsia="zh-CN"/>
              </w:rPr>
            </w:pPr>
          </w:p>
          <w:p>
            <w:pPr>
              <w:adjustRightInd w:val="0"/>
              <w:snapToGrid w:val="0"/>
              <w:spacing w:line="360" w:lineRule="auto"/>
              <w:rPr>
                <w:rFonts w:hint="eastAsia" w:cs="Times New Roman"/>
                <w:b/>
                <w:bCs/>
                <w:color w:val="auto"/>
                <w:szCs w:val="21"/>
                <w:lang w:val="en-US" w:eastAsia="zh-CN"/>
              </w:rPr>
            </w:pPr>
          </w:p>
          <w:p>
            <w:pPr>
              <w:adjustRightInd w:val="0"/>
              <w:snapToGrid w:val="0"/>
              <w:spacing w:line="360" w:lineRule="auto"/>
              <w:rPr>
                <w:rFonts w:hint="eastAsia" w:cs="Times New Roman"/>
                <w:b/>
                <w:bCs/>
                <w:color w:val="auto"/>
                <w:szCs w:val="21"/>
                <w:lang w:val="en-US" w:eastAsia="zh-CN"/>
              </w:rPr>
            </w:pPr>
          </w:p>
          <w:p>
            <w:pPr>
              <w:adjustRightInd w:val="0"/>
              <w:snapToGrid w:val="0"/>
              <w:spacing w:line="360" w:lineRule="auto"/>
              <w:rPr>
                <w:rFonts w:hint="eastAsia" w:cs="Times New Roman"/>
                <w:b/>
                <w:bCs/>
                <w:color w:val="auto"/>
                <w:szCs w:val="21"/>
                <w:lang w:val="en-US" w:eastAsia="zh-CN"/>
              </w:rPr>
            </w:pPr>
          </w:p>
          <w:p>
            <w:pPr>
              <w:adjustRightInd w:val="0"/>
              <w:snapToGrid w:val="0"/>
              <w:spacing w:line="360" w:lineRule="auto"/>
              <w:rPr>
                <w:rFonts w:hint="eastAsia" w:cs="Times New Roman"/>
                <w:b/>
                <w:bCs/>
                <w:color w:val="auto"/>
                <w:szCs w:val="21"/>
                <w:lang w:val="en-US" w:eastAsia="zh-CN"/>
              </w:rPr>
            </w:pPr>
          </w:p>
          <w:p>
            <w:pPr>
              <w:adjustRightInd w:val="0"/>
              <w:snapToGrid w:val="0"/>
              <w:spacing w:line="360" w:lineRule="auto"/>
              <w:rPr>
                <w:rFonts w:hint="eastAsia" w:cs="Times New Roman"/>
                <w:b/>
                <w:bCs/>
                <w:color w:val="auto"/>
                <w:szCs w:val="21"/>
                <w:lang w:val="en-US" w:eastAsia="zh-CN"/>
              </w:rPr>
            </w:pPr>
          </w:p>
          <w:p>
            <w:pPr>
              <w:adjustRightInd w:val="0"/>
              <w:snapToGrid w:val="0"/>
              <w:spacing w:line="360" w:lineRule="auto"/>
              <w:rPr>
                <w:rFonts w:hint="eastAsia" w:cs="Times New Roman"/>
                <w:b/>
                <w:bCs/>
                <w:color w:val="auto"/>
                <w:szCs w:val="21"/>
                <w:lang w:val="en-US" w:eastAsia="zh-CN"/>
              </w:rPr>
            </w:pPr>
          </w:p>
          <w:p>
            <w:pPr>
              <w:adjustRightInd w:val="0"/>
              <w:snapToGrid w:val="0"/>
              <w:spacing w:line="360" w:lineRule="auto"/>
              <w:rPr>
                <w:rFonts w:hint="eastAsia" w:cs="Times New Roman"/>
                <w:b/>
                <w:bCs/>
                <w:color w:val="auto"/>
                <w:szCs w:val="21"/>
                <w:lang w:val="en-US" w:eastAsia="zh-CN"/>
              </w:rPr>
            </w:pPr>
          </w:p>
          <w:p>
            <w:pPr>
              <w:adjustRightInd w:val="0"/>
              <w:snapToGrid w:val="0"/>
              <w:spacing w:line="360" w:lineRule="auto"/>
              <w:rPr>
                <w:rFonts w:hint="eastAsia" w:cs="Times New Roman"/>
                <w:b/>
                <w:bCs/>
                <w:color w:val="auto"/>
                <w:szCs w:val="21"/>
                <w:lang w:val="en-US" w:eastAsia="zh-CN"/>
              </w:rPr>
            </w:pPr>
          </w:p>
          <w:p>
            <w:pPr>
              <w:adjustRightInd w:val="0"/>
              <w:snapToGrid w:val="0"/>
              <w:spacing w:line="360" w:lineRule="auto"/>
              <w:rPr>
                <w:rFonts w:hint="default" w:ascii="Times New Roman" w:hAnsi="Times New Roman" w:eastAsia="宋体" w:cs="Times New Roman"/>
                <w:b/>
                <w:bCs/>
                <w:color w:val="auto"/>
                <w:szCs w:val="21"/>
              </w:rPr>
            </w:pPr>
          </w:p>
          <w:p>
            <w:pPr>
              <w:adjustRightInd w:val="0"/>
              <w:snapToGrid w:val="0"/>
              <w:spacing w:line="360" w:lineRule="auto"/>
              <w:rPr>
                <w:rFonts w:hint="default" w:ascii="Times New Roman" w:hAnsi="Times New Roman" w:eastAsia="宋体" w:cs="Times New Roman"/>
                <w:b/>
                <w:bCs/>
                <w:color w:val="auto"/>
                <w:szCs w:val="21"/>
              </w:rPr>
            </w:pPr>
          </w:p>
          <w:p>
            <w:pPr>
              <w:adjustRightInd w:val="0"/>
              <w:snapToGrid w:val="0"/>
              <w:spacing w:line="360" w:lineRule="auto"/>
              <w:rPr>
                <w:rFonts w:hint="default" w:ascii="Times New Roman" w:hAnsi="Times New Roman" w:eastAsia="宋体" w:cs="Times New Roman"/>
                <w:b/>
                <w:bCs/>
                <w:color w:val="auto"/>
                <w:szCs w:val="21"/>
              </w:rPr>
            </w:pPr>
          </w:p>
          <w:p>
            <w:pPr>
              <w:adjustRightInd w:val="0"/>
              <w:snapToGrid w:val="0"/>
              <w:spacing w:line="360" w:lineRule="auto"/>
              <w:rPr>
                <w:rFonts w:hint="eastAsia" w:ascii="Times New Roman" w:hAnsi="Times New Roman" w:eastAsia="宋体" w:cs="Times New Roman"/>
                <w:bCs/>
                <w:color w:val="auto"/>
                <w:szCs w:val="21"/>
                <w:lang w:val="en-US" w:eastAsia="zh-CN"/>
              </w:rPr>
            </w:pPr>
          </w:p>
        </w:tc>
      </w:tr>
    </w:tbl>
    <w:p>
      <w:pPr>
        <w:widowControl/>
        <w:jc w:val="left"/>
        <w:rPr>
          <w:rFonts w:hint="default" w:ascii="Times New Roman" w:hAnsi="Times New Roman" w:eastAsia="宋体" w:cs="Times New Roman"/>
          <w:snapToGrid w:val="0"/>
          <w:color w:val="auto"/>
          <w:sz w:val="36"/>
          <w:szCs w:val="36"/>
        </w:rPr>
        <w:sectPr>
          <w:footerReference r:id="rId9" w:type="default"/>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pPr>
        <w:pStyle w:val="18"/>
        <w:adjustRightInd w:val="0"/>
        <w:snapToGrid w:val="0"/>
        <w:spacing w:before="0" w:beforeAutospacing="0" w:after="0" w:afterAutospacing="0" w:line="14" w:lineRule="auto"/>
        <w:jc w:val="center"/>
        <w:outlineLvl w:val="9"/>
        <w:rPr>
          <w:rFonts w:hint="default" w:ascii="Times New Roman" w:hAnsi="Times New Roman" w:eastAsia="宋体" w:cs="Times New Roman"/>
          <w:snapToGrid w:val="0"/>
          <w:color w:val="auto"/>
          <w:sz w:val="30"/>
          <w:szCs w:val="30"/>
        </w:rPr>
      </w:pPr>
    </w:p>
    <w:p>
      <w:pPr>
        <w:pStyle w:val="18"/>
        <w:spacing w:before="0" w:beforeAutospacing="0" w:after="0" w:afterAutospacing="0"/>
        <w:jc w:val="center"/>
        <w:outlineLvl w:val="0"/>
        <w:rPr>
          <w:rFonts w:hint="default" w:ascii="Times New Roman" w:hAnsi="Times New Roman" w:eastAsia="宋体" w:cs="Times New Roman"/>
          <w:snapToGrid w:val="0"/>
          <w:color w:val="auto"/>
          <w:sz w:val="30"/>
          <w:szCs w:val="30"/>
        </w:rPr>
      </w:pPr>
      <w:r>
        <w:rPr>
          <w:rFonts w:hint="default" w:ascii="Times New Roman" w:hAnsi="Times New Roman" w:eastAsia="宋体" w:cs="Times New Roman"/>
          <w:snapToGrid w:val="0"/>
          <w:color w:val="auto"/>
          <w:sz w:val="30"/>
          <w:szCs w:val="30"/>
        </w:rPr>
        <w:t>三、区域环境质量现状、环境保护目标及评价标准</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5"/>
        <w:gridCol w:w="85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0" w:hRule="atLeast"/>
          <w:jc w:val="center"/>
        </w:trPr>
        <w:tc>
          <w:tcPr>
            <w:tcW w:w="426" w:type="dxa"/>
            <w:vAlign w:val="center"/>
          </w:tcPr>
          <w:p>
            <w:pPr>
              <w:adjustRightInd w:val="0"/>
              <w:snapToGri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区域</w:t>
            </w:r>
          </w:p>
          <w:p>
            <w:pPr>
              <w:adjustRightInd w:val="0"/>
              <w:snapToGri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环境</w:t>
            </w:r>
          </w:p>
          <w:p>
            <w:pPr>
              <w:adjustRightInd w:val="0"/>
              <w:snapToGri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质量</w:t>
            </w:r>
          </w:p>
          <w:p>
            <w:pPr>
              <w:adjustRightInd w:val="0"/>
              <w:snapToGri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现状</w:t>
            </w:r>
          </w:p>
        </w:tc>
        <w:tc>
          <w:tcPr>
            <w:tcW w:w="8633" w:type="dxa"/>
            <w:vAlign w:val="center"/>
          </w:tcPr>
          <w:p>
            <w:pPr>
              <w:spacing w:line="360" w:lineRule="auto"/>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1、环境空气质量现状</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（1）区域达标判定</w:t>
            </w:r>
          </w:p>
          <w:p>
            <w:pPr>
              <w:spacing w:line="360" w:lineRule="auto"/>
              <w:ind w:firstLine="480" w:firstLineChars="200"/>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根据《环境影响评价技术导则大气环境》（HJ2.2-2018），项目所在区域达标情况判定优先采用国家或地方生态环境主管部门公开发布的环境质量报告或环境质量报告书中的数据或结论。</w:t>
            </w:r>
          </w:p>
          <w:p>
            <w:pPr>
              <w:spacing w:line="360" w:lineRule="auto"/>
              <w:ind w:firstLine="480" w:firstLineChars="200"/>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本次评价选取2020年作为评价基准年，根据《2020年常州市生态环境状况公报》项目所在区域常州市各评价因子数据见表3-1。</w:t>
            </w:r>
          </w:p>
          <w:p>
            <w:pPr>
              <w:jc w:val="center"/>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表3-1 环境空气质量现状</w:t>
            </w:r>
          </w:p>
          <w:tbl>
            <w:tblPr>
              <w:tblStyle w:val="22"/>
              <w:tblW w:w="4997" w:type="pct"/>
              <w:jc w:val="center"/>
              <w:tblBorders>
                <w:top w:val="single" w:color="auto" w:sz="4"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11"/>
              <w:gridCol w:w="877"/>
              <w:gridCol w:w="1856"/>
              <w:gridCol w:w="1333"/>
              <w:gridCol w:w="1253"/>
              <w:gridCol w:w="1173"/>
              <w:gridCol w:w="1154"/>
            </w:tblGrid>
            <w:tr>
              <w:tblPrEx>
                <w:tblBorders>
                  <w:top w:val="single" w:color="auto" w:sz="4"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1" w:type="dxa"/>
                  <w:tcBorders>
                    <w:top w:val="single" w:color="auto" w:sz="12" w:space="0"/>
                  </w:tcBorders>
                  <w:vAlign w:val="center"/>
                </w:tcPr>
                <w:p>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区域</w:t>
                  </w:r>
                </w:p>
              </w:tc>
              <w:tc>
                <w:tcPr>
                  <w:tcW w:w="877" w:type="dxa"/>
                  <w:tcBorders>
                    <w:top w:val="single" w:color="auto" w:sz="12" w:space="0"/>
                  </w:tcBorders>
                  <w:vAlign w:val="center"/>
                </w:tcPr>
                <w:p>
                  <w:pPr>
                    <w:adjustRightInd w:val="0"/>
                    <w:snapToGrid w:val="0"/>
                    <w:jc w:val="center"/>
                    <w:rPr>
                      <w:rFonts w:hint="default" w:ascii="Times New Roman" w:hAnsi="Times New Roman" w:eastAsia="宋体" w:cs="Times New Roman"/>
                      <w:b/>
                      <w:color w:val="auto"/>
                      <w:szCs w:val="21"/>
                      <w:vertAlign w:val="subscript"/>
                    </w:rPr>
                  </w:pPr>
                  <w:r>
                    <w:rPr>
                      <w:rFonts w:hint="default" w:ascii="Times New Roman" w:hAnsi="Times New Roman" w:eastAsia="宋体" w:cs="Times New Roman"/>
                      <w:b/>
                      <w:color w:val="auto"/>
                      <w:szCs w:val="21"/>
                    </w:rPr>
                    <w:t>评价因子</w:t>
                  </w:r>
                </w:p>
              </w:tc>
              <w:tc>
                <w:tcPr>
                  <w:tcW w:w="1856" w:type="dxa"/>
                  <w:tcBorders>
                    <w:top w:val="single" w:color="auto" w:sz="12" w:space="0"/>
                  </w:tcBorders>
                  <w:vAlign w:val="center"/>
                </w:tcPr>
                <w:p>
                  <w:pPr>
                    <w:adjustRightInd w:val="0"/>
                    <w:snapToGrid w:val="0"/>
                    <w:ind w:right="92"/>
                    <w:jc w:val="center"/>
                    <w:rPr>
                      <w:rFonts w:hint="default" w:ascii="Times New Roman" w:hAnsi="Times New Roman" w:eastAsia="宋体" w:cs="Times New Roman"/>
                      <w:b/>
                      <w:color w:val="auto"/>
                      <w:szCs w:val="21"/>
                      <w:vertAlign w:val="subscript"/>
                    </w:rPr>
                  </w:pPr>
                  <w:r>
                    <w:rPr>
                      <w:rFonts w:hint="default" w:ascii="Times New Roman" w:hAnsi="Times New Roman" w:eastAsia="宋体" w:cs="Times New Roman"/>
                      <w:b/>
                      <w:color w:val="auto"/>
                      <w:szCs w:val="21"/>
                    </w:rPr>
                    <w:t>平均时段</w:t>
                  </w:r>
                </w:p>
              </w:tc>
              <w:tc>
                <w:tcPr>
                  <w:tcW w:w="1333" w:type="dxa"/>
                  <w:tcBorders>
                    <w:top w:val="single" w:color="auto" w:sz="12" w:space="0"/>
                  </w:tcBorders>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现状浓度（ug/m</w:t>
                  </w:r>
                  <w:r>
                    <w:rPr>
                      <w:rFonts w:hint="default" w:ascii="Times New Roman" w:hAnsi="Times New Roman" w:eastAsia="宋体" w:cs="Times New Roman"/>
                      <w:b/>
                      <w:color w:val="auto"/>
                      <w:szCs w:val="21"/>
                      <w:vertAlign w:val="superscript"/>
                    </w:rPr>
                    <w:t>3</w:t>
                  </w:r>
                  <w:r>
                    <w:rPr>
                      <w:rFonts w:hint="default" w:ascii="Times New Roman" w:hAnsi="Times New Roman" w:eastAsia="宋体" w:cs="Times New Roman"/>
                      <w:b/>
                      <w:color w:val="auto"/>
                      <w:szCs w:val="21"/>
                    </w:rPr>
                    <w:t>）</w:t>
                  </w:r>
                </w:p>
              </w:tc>
              <w:tc>
                <w:tcPr>
                  <w:tcW w:w="1253" w:type="dxa"/>
                  <w:tcBorders>
                    <w:top w:val="single" w:color="auto" w:sz="12" w:space="0"/>
                  </w:tcBorders>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标准值（ug/m</w:t>
                  </w:r>
                  <w:r>
                    <w:rPr>
                      <w:rFonts w:hint="default" w:ascii="Times New Roman" w:hAnsi="Times New Roman" w:eastAsia="宋体" w:cs="Times New Roman"/>
                      <w:b/>
                      <w:color w:val="auto"/>
                      <w:szCs w:val="21"/>
                      <w:vertAlign w:val="superscript"/>
                    </w:rPr>
                    <w:t>3</w:t>
                  </w:r>
                  <w:r>
                    <w:rPr>
                      <w:rFonts w:hint="default" w:ascii="Times New Roman" w:hAnsi="Times New Roman" w:eastAsia="宋体" w:cs="Times New Roman"/>
                      <w:b/>
                      <w:color w:val="auto"/>
                      <w:szCs w:val="21"/>
                    </w:rPr>
                    <w:t>）</w:t>
                  </w:r>
                </w:p>
              </w:tc>
              <w:tc>
                <w:tcPr>
                  <w:tcW w:w="1173" w:type="dxa"/>
                  <w:tcBorders>
                    <w:top w:val="single" w:color="auto" w:sz="12" w:space="0"/>
                  </w:tcBorders>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超标倍数</w:t>
                  </w:r>
                </w:p>
              </w:tc>
              <w:tc>
                <w:tcPr>
                  <w:tcW w:w="1153" w:type="dxa"/>
                  <w:tcBorders>
                    <w:top w:val="single" w:color="auto" w:sz="12" w:space="0"/>
                  </w:tcBorders>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达标情况</w:t>
                  </w:r>
                </w:p>
              </w:tc>
            </w:tr>
            <w:tr>
              <w:tblPrEx>
                <w:tblBorders>
                  <w:top w:val="single" w:color="auto" w:sz="4"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1" w:type="dxa"/>
                  <w:vMerge w:val="restart"/>
                  <w:vAlign w:val="center"/>
                </w:tcPr>
                <w:p>
                  <w:pPr>
                    <w:adjustRightInd w:val="0"/>
                    <w:snapToGrid w:val="0"/>
                    <w:ind w:right="92"/>
                    <w:jc w:val="center"/>
                    <w:rPr>
                      <w:rFonts w:hint="default" w:ascii="Times New Roman" w:hAnsi="Times New Roman" w:eastAsia="宋体" w:cs="Times New Roman"/>
                      <w:color w:val="auto"/>
                    </w:rPr>
                  </w:pPr>
                  <w:r>
                    <w:rPr>
                      <w:rFonts w:hint="default" w:ascii="Times New Roman" w:hAnsi="Times New Roman" w:eastAsia="宋体" w:cs="Times New Roman"/>
                      <w:color w:val="auto"/>
                    </w:rPr>
                    <w:t>常州全市</w:t>
                  </w:r>
                </w:p>
                <w:p>
                  <w:pPr>
                    <w:pStyle w:val="2"/>
                    <w:ind w:left="1470" w:right="1470"/>
                    <w:jc w:val="center"/>
                    <w:rPr>
                      <w:rFonts w:hint="default" w:ascii="Times New Roman" w:hAnsi="Times New Roman" w:eastAsia="宋体" w:cs="Times New Roman"/>
                      <w:color w:val="auto"/>
                    </w:rPr>
                  </w:pPr>
                </w:p>
              </w:tc>
              <w:tc>
                <w:tcPr>
                  <w:tcW w:w="877" w:type="dxa"/>
                  <w:vMerge w:val="restart"/>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SO</w:t>
                  </w:r>
                  <w:r>
                    <w:rPr>
                      <w:rFonts w:hint="default" w:ascii="Times New Roman" w:hAnsi="Times New Roman" w:eastAsia="宋体" w:cs="Times New Roman"/>
                      <w:bCs/>
                      <w:color w:val="auto"/>
                      <w:szCs w:val="21"/>
                      <w:vertAlign w:val="subscript"/>
                    </w:rPr>
                    <w:t>2</w:t>
                  </w:r>
                </w:p>
              </w:tc>
              <w:tc>
                <w:tcPr>
                  <w:tcW w:w="1856" w:type="dxa"/>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年平均浓度</w:t>
                  </w:r>
                </w:p>
              </w:tc>
              <w:tc>
                <w:tcPr>
                  <w:tcW w:w="1333" w:type="dxa"/>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9</w:t>
                  </w:r>
                </w:p>
              </w:tc>
              <w:tc>
                <w:tcPr>
                  <w:tcW w:w="1253" w:type="dxa"/>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60</w:t>
                  </w:r>
                </w:p>
              </w:tc>
              <w:tc>
                <w:tcPr>
                  <w:tcW w:w="1173" w:type="dxa"/>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w:t>
                  </w:r>
                </w:p>
              </w:tc>
              <w:tc>
                <w:tcPr>
                  <w:tcW w:w="1153" w:type="dxa"/>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达标</w:t>
                  </w:r>
                </w:p>
              </w:tc>
            </w:tr>
            <w:tr>
              <w:tblPrEx>
                <w:tblBorders>
                  <w:top w:val="single" w:color="auto" w:sz="4"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1" w:type="dxa"/>
                  <w:vMerge w:val="continue"/>
                  <w:vAlign w:val="center"/>
                </w:tcPr>
                <w:p>
                  <w:pPr>
                    <w:pStyle w:val="2"/>
                    <w:ind w:left="1470" w:right="1470"/>
                    <w:jc w:val="center"/>
                    <w:rPr>
                      <w:rFonts w:hint="default" w:ascii="Times New Roman" w:hAnsi="Times New Roman" w:eastAsia="宋体" w:cs="Times New Roman"/>
                      <w:color w:val="auto"/>
                    </w:rPr>
                  </w:pPr>
                </w:p>
              </w:tc>
              <w:tc>
                <w:tcPr>
                  <w:tcW w:w="877" w:type="dxa"/>
                  <w:vMerge w:val="continue"/>
                  <w:vAlign w:val="center"/>
                </w:tcPr>
                <w:p>
                  <w:pPr>
                    <w:adjustRightInd w:val="0"/>
                    <w:snapToGrid w:val="0"/>
                    <w:ind w:right="92"/>
                    <w:jc w:val="center"/>
                    <w:rPr>
                      <w:rFonts w:hint="default" w:ascii="Times New Roman" w:hAnsi="Times New Roman" w:eastAsia="宋体" w:cs="Times New Roman"/>
                      <w:bCs/>
                      <w:color w:val="auto"/>
                      <w:szCs w:val="21"/>
                    </w:rPr>
                  </w:pPr>
                </w:p>
              </w:tc>
              <w:tc>
                <w:tcPr>
                  <w:tcW w:w="1856" w:type="dxa"/>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日平均浓度范围</w:t>
                  </w:r>
                </w:p>
              </w:tc>
              <w:tc>
                <w:tcPr>
                  <w:tcW w:w="1333" w:type="dxa"/>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6～18</w:t>
                  </w:r>
                </w:p>
              </w:tc>
              <w:tc>
                <w:tcPr>
                  <w:tcW w:w="1253" w:type="dxa"/>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150</w:t>
                  </w:r>
                </w:p>
              </w:tc>
              <w:tc>
                <w:tcPr>
                  <w:tcW w:w="1173" w:type="dxa"/>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w:t>
                  </w:r>
                </w:p>
              </w:tc>
              <w:tc>
                <w:tcPr>
                  <w:tcW w:w="1153" w:type="dxa"/>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达标</w:t>
                  </w:r>
                </w:p>
              </w:tc>
            </w:tr>
            <w:tr>
              <w:tblPrEx>
                <w:tblBorders>
                  <w:top w:val="single" w:color="auto" w:sz="4"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1" w:type="dxa"/>
                  <w:vMerge w:val="continue"/>
                  <w:vAlign w:val="center"/>
                </w:tcPr>
                <w:p>
                  <w:pPr>
                    <w:adjustRightInd w:val="0"/>
                    <w:snapToGrid w:val="0"/>
                    <w:ind w:right="92"/>
                    <w:jc w:val="center"/>
                    <w:rPr>
                      <w:rFonts w:hint="default" w:ascii="Times New Roman" w:hAnsi="Times New Roman" w:eastAsia="宋体" w:cs="Times New Roman"/>
                      <w:bCs/>
                      <w:color w:val="auto"/>
                      <w:szCs w:val="21"/>
                    </w:rPr>
                  </w:pPr>
                </w:p>
              </w:tc>
              <w:tc>
                <w:tcPr>
                  <w:tcW w:w="877" w:type="dxa"/>
                  <w:vMerge w:val="restart"/>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NO</w:t>
                  </w:r>
                  <w:r>
                    <w:rPr>
                      <w:rFonts w:hint="default" w:ascii="Times New Roman" w:hAnsi="Times New Roman" w:eastAsia="宋体" w:cs="Times New Roman"/>
                      <w:bCs/>
                      <w:color w:val="auto"/>
                      <w:szCs w:val="21"/>
                      <w:vertAlign w:val="subscript"/>
                    </w:rPr>
                    <w:t>2</w:t>
                  </w:r>
                </w:p>
              </w:tc>
              <w:tc>
                <w:tcPr>
                  <w:tcW w:w="1856" w:type="dxa"/>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年平均浓度</w:t>
                  </w:r>
                </w:p>
              </w:tc>
              <w:tc>
                <w:tcPr>
                  <w:tcW w:w="1333" w:type="dxa"/>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35</w:t>
                  </w:r>
                </w:p>
              </w:tc>
              <w:tc>
                <w:tcPr>
                  <w:tcW w:w="1253" w:type="dxa"/>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40</w:t>
                  </w:r>
                </w:p>
              </w:tc>
              <w:tc>
                <w:tcPr>
                  <w:tcW w:w="1173" w:type="dxa"/>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w:t>
                  </w:r>
                </w:p>
              </w:tc>
              <w:tc>
                <w:tcPr>
                  <w:tcW w:w="1153" w:type="dxa"/>
                  <w:vAlign w:val="center"/>
                </w:tcPr>
                <w:p>
                  <w:pPr>
                    <w:adjustRightInd w:val="0"/>
                    <w:snapToGrid w:val="0"/>
                    <w:ind w:right="92"/>
                    <w:jc w:val="center"/>
                    <w:rPr>
                      <w:rFonts w:hint="default" w:ascii="Times New Roman" w:hAnsi="Times New Roman" w:eastAsia="宋体" w:cs="Times New Roman"/>
                      <w:bCs/>
                      <w:color w:val="auto"/>
                      <w:szCs w:val="21"/>
                      <w:highlight w:val="yellow"/>
                    </w:rPr>
                  </w:pPr>
                  <w:r>
                    <w:rPr>
                      <w:rFonts w:hint="default" w:ascii="Times New Roman" w:hAnsi="Times New Roman" w:eastAsia="宋体" w:cs="Times New Roman"/>
                      <w:bCs/>
                      <w:color w:val="auto"/>
                      <w:szCs w:val="21"/>
                    </w:rPr>
                    <w:t>达标</w:t>
                  </w:r>
                </w:p>
              </w:tc>
            </w:tr>
            <w:tr>
              <w:tblPrEx>
                <w:tblBorders>
                  <w:top w:val="single" w:color="auto" w:sz="4"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1" w:type="dxa"/>
                  <w:vMerge w:val="continue"/>
                  <w:vAlign w:val="center"/>
                </w:tcPr>
                <w:p>
                  <w:pPr>
                    <w:adjustRightInd w:val="0"/>
                    <w:snapToGrid w:val="0"/>
                    <w:ind w:right="92"/>
                    <w:jc w:val="center"/>
                    <w:rPr>
                      <w:rFonts w:hint="default" w:ascii="Times New Roman" w:hAnsi="Times New Roman" w:eastAsia="宋体" w:cs="Times New Roman"/>
                      <w:bCs/>
                      <w:color w:val="auto"/>
                      <w:szCs w:val="21"/>
                    </w:rPr>
                  </w:pPr>
                </w:p>
              </w:tc>
              <w:tc>
                <w:tcPr>
                  <w:tcW w:w="877" w:type="dxa"/>
                  <w:vMerge w:val="continue"/>
                  <w:vAlign w:val="center"/>
                </w:tcPr>
                <w:p>
                  <w:pPr>
                    <w:adjustRightInd w:val="0"/>
                    <w:snapToGrid w:val="0"/>
                    <w:ind w:right="92"/>
                    <w:jc w:val="center"/>
                    <w:rPr>
                      <w:rFonts w:hint="default" w:ascii="Times New Roman" w:hAnsi="Times New Roman" w:eastAsia="宋体" w:cs="Times New Roman"/>
                      <w:bCs/>
                      <w:color w:val="auto"/>
                      <w:szCs w:val="21"/>
                    </w:rPr>
                  </w:pPr>
                </w:p>
              </w:tc>
              <w:tc>
                <w:tcPr>
                  <w:tcW w:w="1856" w:type="dxa"/>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日平均浓度范围</w:t>
                  </w:r>
                </w:p>
              </w:tc>
              <w:tc>
                <w:tcPr>
                  <w:tcW w:w="1333" w:type="dxa"/>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10～100</w:t>
                  </w:r>
                </w:p>
              </w:tc>
              <w:tc>
                <w:tcPr>
                  <w:tcW w:w="1253" w:type="dxa"/>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80</w:t>
                  </w:r>
                </w:p>
              </w:tc>
              <w:tc>
                <w:tcPr>
                  <w:tcW w:w="1173" w:type="dxa"/>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0.25</w:t>
                  </w:r>
                </w:p>
              </w:tc>
              <w:tc>
                <w:tcPr>
                  <w:tcW w:w="1153" w:type="dxa"/>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超标</w:t>
                  </w:r>
                </w:p>
              </w:tc>
            </w:tr>
            <w:tr>
              <w:tblPrEx>
                <w:tblBorders>
                  <w:top w:val="single" w:color="auto" w:sz="4"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1" w:type="dxa"/>
                  <w:vMerge w:val="continue"/>
                  <w:vAlign w:val="center"/>
                </w:tcPr>
                <w:p>
                  <w:pPr>
                    <w:adjustRightInd w:val="0"/>
                    <w:snapToGrid w:val="0"/>
                    <w:ind w:right="92"/>
                    <w:jc w:val="center"/>
                    <w:rPr>
                      <w:rFonts w:hint="default" w:ascii="Times New Roman" w:hAnsi="Times New Roman" w:eastAsia="宋体" w:cs="Times New Roman"/>
                      <w:bCs/>
                      <w:color w:val="auto"/>
                      <w:szCs w:val="21"/>
                    </w:rPr>
                  </w:pPr>
                </w:p>
              </w:tc>
              <w:tc>
                <w:tcPr>
                  <w:tcW w:w="877" w:type="dxa"/>
                  <w:vMerge w:val="restart"/>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PM</w:t>
                  </w:r>
                  <w:r>
                    <w:rPr>
                      <w:rFonts w:hint="default" w:ascii="Times New Roman" w:hAnsi="Times New Roman" w:eastAsia="宋体" w:cs="Times New Roman"/>
                      <w:bCs/>
                      <w:color w:val="auto"/>
                      <w:szCs w:val="21"/>
                      <w:vertAlign w:val="subscript"/>
                    </w:rPr>
                    <w:t>10</w:t>
                  </w:r>
                </w:p>
              </w:tc>
              <w:tc>
                <w:tcPr>
                  <w:tcW w:w="1856" w:type="dxa"/>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年平均浓度</w:t>
                  </w:r>
                </w:p>
              </w:tc>
              <w:tc>
                <w:tcPr>
                  <w:tcW w:w="1333" w:type="dxa"/>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61</w:t>
                  </w:r>
                </w:p>
              </w:tc>
              <w:tc>
                <w:tcPr>
                  <w:tcW w:w="1253" w:type="dxa"/>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70</w:t>
                  </w:r>
                </w:p>
              </w:tc>
              <w:tc>
                <w:tcPr>
                  <w:tcW w:w="1173" w:type="dxa"/>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w:t>
                  </w:r>
                </w:p>
              </w:tc>
              <w:tc>
                <w:tcPr>
                  <w:tcW w:w="1153" w:type="dxa"/>
                  <w:vAlign w:val="center"/>
                </w:tcPr>
                <w:p>
                  <w:pPr>
                    <w:adjustRightInd w:val="0"/>
                    <w:snapToGrid w:val="0"/>
                    <w:ind w:right="92"/>
                    <w:jc w:val="center"/>
                    <w:rPr>
                      <w:rFonts w:hint="default" w:ascii="Times New Roman" w:hAnsi="Times New Roman" w:eastAsia="宋体" w:cs="Times New Roman"/>
                      <w:bCs/>
                      <w:color w:val="auto"/>
                      <w:szCs w:val="21"/>
                      <w:highlight w:val="yellow"/>
                    </w:rPr>
                  </w:pPr>
                  <w:r>
                    <w:rPr>
                      <w:rFonts w:hint="default" w:ascii="Times New Roman" w:hAnsi="Times New Roman" w:eastAsia="宋体" w:cs="Times New Roman"/>
                      <w:bCs/>
                      <w:color w:val="auto"/>
                      <w:szCs w:val="21"/>
                    </w:rPr>
                    <w:t>达标</w:t>
                  </w:r>
                </w:p>
              </w:tc>
            </w:tr>
            <w:tr>
              <w:tblPrEx>
                <w:tblBorders>
                  <w:top w:val="single" w:color="auto" w:sz="4"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1" w:type="dxa"/>
                  <w:vMerge w:val="continue"/>
                  <w:vAlign w:val="center"/>
                </w:tcPr>
                <w:p>
                  <w:pPr>
                    <w:adjustRightInd w:val="0"/>
                    <w:snapToGrid w:val="0"/>
                    <w:ind w:right="92"/>
                    <w:jc w:val="center"/>
                    <w:rPr>
                      <w:rFonts w:hint="default" w:ascii="Times New Roman" w:hAnsi="Times New Roman" w:eastAsia="宋体" w:cs="Times New Roman"/>
                      <w:bCs/>
                      <w:color w:val="auto"/>
                      <w:szCs w:val="21"/>
                    </w:rPr>
                  </w:pPr>
                </w:p>
              </w:tc>
              <w:tc>
                <w:tcPr>
                  <w:tcW w:w="877" w:type="dxa"/>
                  <w:vMerge w:val="continue"/>
                  <w:vAlign w:val="center"/>
                </w:tcPr>
                <w:p>
                  <w:pPr>
                    <w:adjustRightInd w:val="0"/>
                    <w:snapToGrid w:val="0"/>
                    <w:ind w:right="92"/>
                    <w:jc w:val="center"/>
                    <w:rPr>
                      <w:rFonts w:hint="default" w:ascii="Times New Roman" w:hAnsi="Times New Roman" w:eastAsia="宋体" w:cs="Times New Roman"/>
                      <w:bCs/>
                      <w:color w:val="auto"/>
                      <w:szCs w:val="21"/>
                    </w:rPr>
                  </w:pPr>
                </w:p>
              </w:tc>
              <w:tc>
                <w:tcPr>
                  <w:tcW w:w="1856" w:type="dxa"/>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日平均浓度范围</w:t>
                  </w:r>
                </w:p>
              </w:tc>
              <w:tc>
                <w:tcPr>
                  <w:tcW w:w="1333" w:type="dxa"/>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11～201</w:t>
                  </w:r>
                </w:p>
              </w:tc>
              <w:tc>
                <w:tcPr>
                  <w:tcW w:w="1253" w:type="dxa"/>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150</w:t>
                  </w:r>
                </w:p>
              </w:tc>
              <w:tc>
                <w:tcPr>
                  <w:tcW w:w="1173" w:type="dxa"/>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0.34</w:t>
                  </w:r>
                </w:p>
              </w:tc>
              <w:tc>
                <w:tcPr>
                  <w:tcW w:w="1153" w:type="dxa"/>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超标</w:t>
                  </w:r>
                </w:p>
              </w:tc>
            </w:tr>
            <w:tr>
              <w:tblPrEx>
                <w:tblBorders>
                  <w:top w:val="single" w:color="auto" w:sz="4"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1" w:type="dxa"/>
                  <w:vMerge w:val="continue"/>
                  <w:vAlign w:val="center"/>
                </w:tcPr>
                <w:p>
                  <w:pPr>
                    <w:adjustRightInd w:val="0"/>
                    <w:snapToGrid w:val="0"/>
                    <w:ind w:right="92"/>
                    <w:jc w:val="center"/>
                    <w:rPr>
                      <w:rFonts w:hint="default" w:ascii="Times New Roman" w:hAnsi="Times New Roman" w:eastAsia="宋体" w:cs="Times New Roman"/>
                      <w:bCs/>
                      <w:color w:val="auto"/>
                      <w:szCs w:val="21"/>
                    </w:rPr>
                  </w:pPr>
                </w:p>
              </w:tc>
              <w:tc>
                <w:tcPr>
                  <w:tcW w:w="877" w:type="dxa"/>
                  <w:vMerge w:val="restart"/>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PM</w:t>
                  </w:r>
                  <w:r>
                    <w:rPr>
                      <w:rFonts w:hint="default" w:ascii="Times New Roman" w:hAnsi="Times New Roman" w:eastAsia="宋体" w:cs="Times New Roman"/>
                      <w:bCs/>
                      <w:color w:val="auto"/>
                      <w:szCs w:val="21"/>
                      <w:vertAlign w:val="subscript"/>
                    </w:rPr>
                    <w:t>2.5</w:t>
                  </w:r>
                </w:p>
              </w:tc>
              <w:tc>
                <w:tcPr>
                  <w:tcW w:w="1856" w:type="dxa"/>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年平均浓度</w:t>
                  </w:r>
                </w:p>
              </w:tc>
              <w:tc>
                <w:tcPr>
                  <w:tcW w:w="1333" w:type="dxa"/>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39</w:t>
                  </w:r>
                </w:p>
              </w:tc>
              <w:tc>
                <w:tcPr>
                  <w:tcW w:w="1253" w:type="dxa"/>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35</w:t>
                  </w:r>
                </w:p>
              </w:tc>
              <w:tc>
                <w:tcPr>
                  <w:tcW w:w="1173" w:type="dxa"/>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0.11</w:t>
                  </w:r>
                </w:p>
              </w:tc>
              <w:tc>
                <w:tcPr>
                  <w:tcW w:w="1153" w:type="dxa"/>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超标</w:t>
                  </w:r>
                </w:p>
              </w:tc>
            </w:tr>
            <w:tr>
              <w:tblPrEx>
                <w:tblBorders>
                  <w:top w:val="single" w:color="auto" w:sz="4"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1" w:type="dxa"/>
                  <w:vMerge w:val="continue"/>
                  <w:vAlign w:val="center"/>
                </w:tcPr>
                <w:p>
                  <w:pPr>
                    <w:adjustRightInd w:val="0"/>
                    <w:snapToGrid w:val="0"/>
                    <w:ind w:right="92"/>
                    <w:jc w:val="center"/>
                    <w:rPr>
                      <w:rFonts w:hint="default" w:ascii="Times New Roman" w:hAnsi="Times New Roman" w:eastAsia="宋体" w:cs="Times New Roman"/>
                      <w:bCs/>
                      <w:color w:val="auto"/>
                      <w:szCs w:val="21"/>
                    </w:rPr>
                  </w:pPr>
                </w:p>
              </w:tc>
              <w:tc>
                <w:tcPr>
                  <w:tcW w:w="877" w:type="dxa"/>
                  <w:vMerge w:val="continue"/>
                  <w:vAlign w:val="center"/>
                </w:tcPr>
                <w:p>
                  <w:pPr>
                    <w:adjustRightInd w:val="0"/>
                    <w:snapToGrid w:val="0"/>
                    <w:ind w:right="92"/>
                    <w:jc w:val="center"/>
                    <w:rPr>
                      <w:rFonts w:hint="default" w:ascii="Times New Roman" w:hAnsi="Times New Roman" w:eastAsia="宋体" w:cs="Times New Roman"/>
                      <w:bCs/>
                      <w:color w:val="auto"/>
                      <w:szCs w:val="21"/>
                    </w:rPr>
                  </w:pPr>
                </w:p>
              </w:tc>
              <w:tc>
                <w:tcPr>
                  <w:tcW w:w="1856" w:type="dxa"/>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日平均浓度范围</w:t>
                  </w:r>
                </w:p>
              </w:tc>
              <w:tc>
                <w:tcPr>
                  <w:tcW w:w="1333" w:type="dxa"/>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8～159</w:t>
                  </w:r>
                </w:p>
              </w:tc>
              <w:tc>
                <w:tcPr>
                  <w:tcW w:w="1253" w:type="dxa"/>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75</w:t>
                  </w:r>
                </w:p>
              </w:tc>
              <w:tc>
                <w:tcPr>
                  <w:tcW w:w="1173" w:type="dxa"/>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1.12</w:t>
                  </w:r>
                </w:p>
              </w:tc>
              <w:tc>
                <w:tcPr>
                  <w:tcW w:w="1153" w:type="dxa"/>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超标</w:t>
                  </w:r>
                </w:p>
              </w:tc>
            </w:tr>
            <w:tr>
              <w:tblPrEx>
                <w:tblBorders>
                  <w:top w:val="single" w:color="auto" w:sz="4"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1" w:type="dxa"/>
                  <w:vMerge w:val="continue"/>
                  <w:vAlign w:val="center"/>
                </w:tcPr>
                <w:p>
                  <w:pPr>
                    <w:adjustRightInd w:val="0"/>
                    <w:snapToGrid w:val="0"/>
                    <w:ind w:right="92"/>
                    <w:jc w:val="center"/>
                    <w:rPr>
                      <w:rFonts w:hint="default" w:ascii="Times New Roman" w:hAnsi="Times New Roman" w:eastAsia="宋体" w:cs="Times New Roman"/>
                      <w:bCs/>
                      <w:color w:val="auto"/>
                      <w:szCs w:val="21"/>
                    </w:rPr>
                  </w:pPr>
                </w:p>
              </w:tc>
              <w:tc>
                <w:tcPr>
                  <w:tcW w:w="877" w:type="dxa"/>
                  <w:vMerge w:val="restart"/>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CO</w:t>
                  </w:r>
                </w:p>
              </w:tc>
              <w:tc>
                <w:tcPr>
                  <w:tcW w:w="1856" w:type="dxa"/>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日平均第95百位</w:t>
                  </w:r>
                </w:p>
              </w:tc>
              <w:tc>
                <w:tcPr>
                  <w:tcW w:w="1333" w:type="dxa"/>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1200</w:t>
                  </w:r>
                </w:p>
              </w:tc>
              <w:tc>
                <w:tcPr>
                  <w:tcW w:w="1253" w:type="dxa"/>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4000</w:t>
                  </w:r>
                </w:p>
              </w:tc>
              <w:tc>
                <w:tcPr>
                  <w:tcW w:w="1173" w:type="dxa"/>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w:t>
                  </w:r>
                </w:p>
              </w:tc>
              <w:tc>
                <w:tcPr>
                  <w:tcW w:w="1153" w:type="dxa"/>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达标</w:t>
                  </w:r>
                </w:p>
              </w:tc>
            </w:tr>
            <w:tr>
              <w:tblPrEx>
                <w:tblBorders>
                  <w:top w:val="single" w:color="auto" w:sz="4"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1" w:type="dxa"/>
                  <w:vMerge w:val="continue"/>
                  <w:vAlign w:val="center"/>
                </w:tcPr>
                <w:p>
                  <w:pPr>
                    <w:adjustRightInd w:val="0"/>
                    <w:snapToGrid w:val="0"/>
                    <w:ind w:right="92"/>
                    <w:jc w:val="center"/>
                    <w:rPr>
                      <w:rFonts w:hint="default" w:ascii="Times New Roman" w:hAnsi="Times New Roman" w:eastAsia="宋体" w:cs="Times New Roman"/>
                      <w:bCs/>
                      <w:color w:val="auto"/>
                      <w:szCs w:val="21"/>
                    </w:rPr>
                  </w:pPr>
                </w:p>
              </w:tc>
              <w:tc>
                <w:tcPr>
                  <w:tcW w:w="877" w:type="dxa"/>
                  <w:vMerge w:val="continue"/>
                  <w:vAlign w:val="center"/>
                </w:tcPr>
                <w:p>
                  <w:pPr>
                    <w:adjustRightInd w:val="0"/>
                    <w:snapToGrid w:val="0"/>
                    <w:ind w:right="92"/>
                    <w:jc w:val="center"/>
                    <w:rPr>
                      <w:rFonts w:hint="default" w:ascii="Times New Roman" w:hAnsi="Times New Roman" w:eastAsia="宋体" w:cs="Times New Roman"/>
                      <w:bCs/>
                      <w:color w:val="auto"/>
                      <w:szCs w:val="21"/>
                    </w:rPr>
                  </w:pPr>
                </w:p>
              </w:tc>
              <w:tc>
                <w:tcPr>
                  <w:tcW w:w="1856" w:type="dxa"/>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日平均浓度范围</w:t>
                  </w:r>
                </w:p>
              </w:tc>
              <w:tc>
                <w:tcPr>
                  <w:tcW w:w="1333" w:type="dxa"/>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500～1700</w:t>
                  </w:r>
                </w:p>
              </w:tc>
              <w:tc>
                <w:tcPr>
                  <w:tcW w:w="1253" w:type="dxa"/>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4000</w:t>
                  </w:r>
                </w:p>
              </w:tc>
              <w:tc>
                <w:tcPr>
                  <w:tcW w:w="1173" w:type="dxa"/>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w:t>
                  </w:r>
                </w:p>
              </w:tc>
              <w:tc>
                <w:tcPr>
                  <w:tcW w:w="1153" w:type="dxa"/>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达标</w:t>
                  </w:r>
                </w:p>
              </w:tc>
            </w:tr>
            <w:tr>
              <w:tblPrEx>
                <w:tblBorders>
                  <w:top w:val="single" w:color="auto" w:sz="4"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1" w:type="dxa"/>
                  <w:vMerge w:val="continue"/>
                  <w:vAlign w:val="center"/>
                </w:tcPr>
                <w:p>
                  <w:pPr>
                    <w:adjustRightInd w:val="0"/>
                    <w:snapToGrid w:val="0"/>
                    <w:ind w:right="92"/>
                    <w:jc w:val="center"/>
                    <w:rPr>
                      <w:rFonts w:hint="default" w:ascii="Times New Roman" w:hAnsi="Times New Roman" w:eastAsia="宋体" w:cs="Times New Roman"/>
                      <w:bCs/>
                      <w:color w:val="auto"/>
                      <w:szCs w:val="21"/>
                    </w:rPr>
                  </w:pPr>
                </w:p>
              </w:tc>
              <w:tc>
                <w:tcPr>
                  <w:tcW w:w="877" w:type="dxa"/>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O</w:t>
                  </w:r>
                  <w:r>
                    <w:rPr>
                      <w:rFonts w:hint="default" w:ascii="Times New Roman" w:hAnsi="Times New Roman" w:eastAsia="宋体" w:cs="Times New Roman"/>
                      <w:bCs/>
                      <w:color w:val="auto"/>
                      <w:szCs w:val="21"/>
                      <w:vertAlign w:val="subscript"/>
                    </w:rPr>
                    <w:t>3</w:t>
                  </w:r>
                </w:p>
              </w:tc>
              <w:tc>
                <w:tcPr>
                  <w:tcW w:w="1856" w:type="dxa"/>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日最大8h滑动平均值第90百分位</w:t>
                  </w:r>
                </w:p>
              </w:tc>
              <w:tc>
                <w:tcPr>
                  <w:tcW w:w="1333" w:type="dxa"/>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167</w:t>
                  </w:r>
                </w:p>
              </w:tc>
              <w:tc>
                <w:tcPr>
                  <w:tcW w:w="1253" w:type="dxa"/>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160</w:t>
                  </w:r>
                </w:p>
              </w:tc>
              <w:tc>
                <w:tcPr>
                  <w:tcW w:w="1173" w:type="dxa"/>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0.04</w:t>
                  </w:r>
                </w:p>
              </w:tc>
              <w:tc>
                <w:tcPr>
                  <w:tcW w:w="1153" w:type="dxa"/>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超标</w:t>
                  </w:r>
                </w:p>
              </w:tc>
            </w:tr>
          </w:tbl>
          <w:p>
            <w:pPr>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2020年常州市环境空气中SO</w:t>
            </w:r>
            <w:r>
              <w:rPr>
                <w:rFonts w:hint="default" w:ascii="Times New Roman" w:hAnsi="Times New Roman" w:eastAsia="宋体" w:cs="Times New Roman"/>
                <w:color w:val="auto"/>
                <w:sz w:val="24"/>
                <w:vertAlign w:val="subscript"/>
              </w:rPr>
              <w:t>2</w:t>
            </w:r>
            <w:r>
              <w:rPr>
                <w:rFonts w:hint="default" w:ascii="Times New Roman" w:hAnsi="Times New Roman" w:eastAsia="宋体" w:cs="Times New Roman"/>
                <w:color w:val="auto"/>
                <w:sz w:val="24"/>
              </w:rPr>
              <w:t>年均值与日均值、NO</w:t>
            </w:r>
            <w:r>
              <w:rPr>
                <w:rFonts w:hint="default" w:ascii="Times New Roman" w:hAnsi="Times New Roman" w:eastAsia="宋体" w:cs="Times New Roman"/>
                <w:color w:val="auto"/>
                <w:sz w:val="24"/>
                <w:vertAlign w:val="subscript"/>
              </w:rPr>
              <w:t>2</w:t>
            </w:r>
            <w:r>
              <w:rPr>
                <w:rFonts w:hint="default" w:ascii="Times New Roman" w:hAnsi="Times New Roman" w:eastAsia="宋体" w:cs="Times New Roman"/>
                <w:color w:val="auto"/>
                <w:sz w:val="24"/>
              </w:rPr>
              <w:t>年均值、PM</w:t>
            </w:r>
            <w:r>
              <w:rPr>
                <w:rFonts w:hint="default" w:ascii="Times New Roman" w:hAnsi="Times New Roman" w:eastAsia="宋体" w:cs="Times New Roman"/>
                <w:color w:val="auto"/>
                <w:sz w:val="24"/>
                <w:vertAlign w:val="subscript"/>
              </w:rPr>
              <w:t>10</w:t>
            </w:r>
            <w:r>
              <w:rPr>
                <w:rFonts w:hint="default" w:ascii="Times New Roman" w:hAnsi="Times New Roman" w:eastAsia="宋体" w:cs="Times New Roman"/>
                <w:color w:val="auto"/>
                <w:sz w:val="24"/>
              </w:rPr>
              <w:t>年均值和CO日均值均达到环境空气质量二级标准；NO</w:t>
            </w:r>
            <w:r>
              <w:rPr>
                <w:rFonts w:hint="default" w:ascii="Times New Roman" w:hAnsi="Times New Roman" w:eastAsia="宋体" w:cs="Times New Roman"/>
                <w:color w:val="auto"/>
                <w:sz w:val="24"/>
                <w:vertAlign w:val="subscript"/>
              </w:rPr>
              <w:t>2</w:t>
            </w:r>
            <w:r>
              <w:rPr>
                <w:rFonts w:hint="default" w:ascii="Times New Roman" w:hAnsi="Times New Roman" w:eastAsia="宋体" w:cs="Times New Roman"/>
                <w:color w:val="auto"/>
                <w:sz w:val="24"/>
              </w:rPr>
              <w:t>日均值、PM</w:t>
            </w:r>
            <w:r>
              <w:rPr>
                <w:rFonts w:hint="default" w:ascii="Times New Roman" w:hAnsi="Times New Roman" w:eastAsia="宋体" w:cs="Times New Roman"/>
                <w:color w:val="auto"/>
                <w:sz w:val="24"/>
                <w:vertAlign w:val="subscript"/>
              </w:rPr>
              <w:t>10</w:t>
            </w:r>
            <w:r>
              <w:rPr>
                <w:rFonts w:hint="default" w:ascii="Times New Roman" w:hAnsi="Times New Roman" w:eastAsia="宋体" w:cs="Times New Roman"/>
                <w:color w:val="auto"/>
                <w:sz w:val="24"/>
              </w:rPr>
              <w:t>日均值、PM</w:t>
            </w:r>
            <w:r>
              <w:rPr>
                <w:rFonts w:hint="default" w:ascii="Times New Roman" w:hAnsi="Times New Roman" w:eastAsia="宋体" w:cs="Times New Roman"/>
                <w:color w:val="auto"/>
                <w:sz w:val="24"/>
                <w:vertAlign w:val="subscript"/>
              </w:rPr>
              <w:t>2.5</w:t>
            </w:r>
            <w:r>
              <w:rPr>
                <w:rFonts w:hint="default" w:ascii="Times New Roman" w:hAnsi="Times New Roman" w:eastAsia="宋体" w:cs="Times New Roman"/>
                <w:color w:val="auto"/>
                <w:sz w:val="24"/>
              </w:rPr>
              <w:t>年均值和日均值、臭氧日最大8小时滑动均值均超过环境空气质量二级标准。项目所在区NO</w:t>
            </w:r>
            <w:r>
              <w:rPr>
                <w:rFonts w:hint="default" w:ascii="Times New Roman" w:hAnsi="Times New Roman" w:eastAsia="宋体" w:cs="Times New Roman"/>
                <w:color w:val="auto"/>
                <w:sz w:val="24"/>
                <w:vertAlign w:val="subscript"/>
              </w:rPr>
              <w:t>2</w:t>
            </w:r>
            <w:r>
              <w:rPr>
                <w:rFonts w:hint="default" w:ascii="Times New Roman" w:hAnsi="Times New Roman" w:eastAsia="宋体" w:cs="Times New Roman"/>
                <w:color w:val="auto"/>
                <w:sz w:val="24"/>
              </w:rPr>
              <w:t>、PM</w:t>
            </w:r>
            <w:r>
              <w:rPr>
                <w:rFonts w:hint="default" w:ascii="Times New Roman" w:hAnsi="Times New Roman" w:eastAsia="宋体" w:cs="Times New Roman"/>
                <w:color w:val="auto"/>
                <w:sz w:val="24"/>
                <w:vertAlign w:val="subscript"/>
              </w:rPr>
              <w:t>10</w:t>
            </w:r>
            <w:r>
              <w:rPr>
                <w:rFonts w:hint="default" w:ascii="Times New Roman" w:hAnsi="Times New Roman" w:eastAsia="宋体" w:cs="Times New Roman"/>
                <w:color w:val="auto"/>
                <w:sz w:val="24"/>
              </w:rPr>
              <w:t>、PM</w:t>
            </w:r>
            <w:r>
              <w:rPr>
                <w:rFonts w:hint="default" w:ascii="Times New Roman" w:hAnsi="Times New Roman" w:eastAsia="宋体" w:cs="Times New Roman"/>
                <w:color w:val="auto"/>
                <w:sz w:val="24"/>
                <w:vertAlign w:val="subscript"/>
              </w:rPr>
              <w:t>2.5</w:t>
            </w:r>
            <w:r>
              <w:rPr>
                <w:rFonts w:hint="default" w:ascii="Times New Roman" w:hAnsi="Times New Roman" w:eastAsia="宋体" w:cs="Times New Roman"/>
                <w:color w:val="auto"/>
                <w:sz w:val="24"/>
              </w:rPr>
              <w:t>、O</w:t>
            </w:r>
            <w:r>
              <w:rPr>
                <w:rFonts w:hint="default" w:ascii="Times New Roman" w:hAnsi="Times New Roman" w:eastAsia="宋体" w:cs="Times New Roman"/>
                <w:color w:val="auto"/>
                <w:sz w:val="24"/>
                <w:vertAlign w:val="subscript"/>
              </w:rPr>
              <w:t>3</w:t>
            </w:r>
            <w:r>
              <w:rPr>
                <w:rFonts w:hint="default" w:ascii="Times New Roman" w:hAnsi="Times New Roman" w:eastAsia="宋体" w:cs="Times New Roman"/>
                <w:color w:val="auto"/>
                <w:sz w:val="24"/>
              </w:rPr>
              <w:t>超标，因此判定为非达标区。</w:t>
            </w:r>
          </w:p>
          <w:p>
            <w:pPr>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常州市目前尚未制定大气环境质量限期达标规划，为改善大气环境质量，常州市大气污染防治联席会议办公室发布了《市大气办关于印发常州市提升大气环境质量强化管控方案的通知》（常大气办﹝2018﹞3号），明确采取严格燃煤电厂（含热电）排污控制、严控燃煤污染、强化施工扬尘污染控制、实施重点废气排放企业限产、停产等多项措施，强化对常州市域轻度污染以上但未达重污染天气预警启动条件污染天的管控。</w:t>
            </w:r>
          </w:p>
          <w:p>
            <w:pPr>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中共常州市委、常州市人民政府印发了《常州市“两减六治三提升”专项行动实施方案》（常发﹝2017﹞9号），主要提出如下举措：压减燃煤发电和热电机组及非电行业生产用煤及煤制品消耗量，分类整治燃煤锅炉，加强散煤治理，推进高污染燃料禁燃烧区无煤化，大力发展清洁能源。到2020年，全市煤炭消费总量减少135万吨，煤炭消费占能源消费总量比重降低到50%以下。</w:t>
            </w:r>
          </w:p>
          <w:p>
            <w:pPr>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常州市已严格落实《关于加强建设项目烟粉尘、挥发性有机物准入审核的通知》（苏环办﹝2014﹞148号）中相关总量控制要求，即新、改、扩建排放烟粉尘、挥发性有机物的项目，实行现役源2倍削减量替代或关闭项目1.5倍削减量替代，且削减量必须大于新增量，以达到区域内污染物排放量持续削减的目的。</w:t>
            </w:r>
          </w:p>
          <w:p>
            <w:pPr>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szCs w:val="22"/>
              </w:rPr>
              <w:t>（2）</w:t>
            </w:r>
            <w:r>
              <w:rPr>
                <w:rFonts w:hint="default" w:ascii="Times New Roman" w:hAnsi="Times New Roman" w:eastAsia="宋体" w:cs="Times New Roman"/>
                <w:color w:val="auto"/>
                <w:sz w:val="24"/>
              </w:rPr>
              <w:t>其他污染物环境质量现状评价</w:t>
            </w:r>
          </w:p>
          <w:p>
            <w:pPr>
              <w:snapToGrid w:val="0"/>
              <w:spacing w:line="360" w:lineRule="auto"/>
              <w:ind w:firstLine="720" w:firstLineChars="3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本次环境空气质量现状布设1个引用点G1</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引用《</w:t>
            </w:r>
            <w:r>
              <w:rPr>
                <w:rFonts w:hint="eastAsia" w:ascii="Times New Roman" w:hAnsi="Times New Roman" w:eastAsia="宋体" w:cs="Times New Roman"/>
                <w:color w:val="auto"/>
                <w:sz w:val="24"/>
                <w:lang w:val="en-US" w:eastAsia="zh-CN"/>
              </w:rPr>
              <w:t>常州市年强塑料制品有限公司</w:t>
            </w:r>
            <w:r>
              <w:rPr>
                <w:rFonts w:hint="default" w:ascii="Times New Roman" w:hAnsi="Times New Roman" w:eastAsia="宋体" w:cs="Times New Roman"/>
                <w:color w:val="auto"/>
                <w:sz w:val="24"/>
              </w:rPr>
              <w:t>》中江苏久诚检验检测有限公司于202</w:t>
            </w:r>
            <w:r>
              <w:rPr>
                <w:rFonts w:hint="default" w:ascii="Times New Roman" w:hAnsi="Times New Roman" w:eastAsia="宋体" w:cs="Times New Roman"/>
                <w:color w:val="auto"/>
                <w:sz w:val="24"/>
                <w:lang w:val="en-US" w:eastAsia="zh-CN"/>
              </w:rPr>
              <w:t>1</w:t>
            </w:r>
            <w:r>
              <w:rPr>
                <w:rFonts w:hint="default" w:ascii="Times New Roman" w:hAnsi="Times New Roman" w:eastAsia="宋体" w:cs="Times New Roman"/>
                <w:color w:val="auto"/>
                <w:sz w:val="24"/>
              </w:rPr>
              <w:t>年</w:t>
            </w:r>
            <w:r>
              <w:rPr>
                <w:rFonts w:hint="eastAsia" w:ascii="Times New Roman" w:hAnsi="Times New Roman" w:eastAsia="宋体" w:cs="Times New Roman"/>
                <w:color w:val="auto"/>
                <w:sz w:val="24"/>
                <w:lang w:val="en-US" w:eastAsia="zh-CN"/>
              </w:rPr>
              <w:t>6</w:t>
            </w:r>
            <w:r>
              <w:rPr>
                <w:rFonts w:hint="default" w:ascii="Times New Roman" w:hAnsi="Times New Roman" w:eastAsia="宋体" w:cs="Times New Roman"/>
                <w:color w:val="auto"/>
                <w:sz w:val="24"/>
              </w:rPr>
              <w:t>月</w:t>
            </w:r>
            <w:r>
              <w:rPr>
                <w:rFonts w:hint="eastAsia" w:ascii="Times New Roman" w:hAnsi="Times New Roman" w:eastAsia="宋体" w:cs="Times New Roman"/>
                <w:color w:val="auto"/>
                <w:sz w:val="24"/>
                <w:lang w:val="en-US" w:eastAsia="zh-CN"/>
              </w:rPr>
              <w:t>3</w:t>
            </w:r>
            <w:r>
              <w:rPr>
                <w:rFonts w:hint="default" w:ascii="Times New Roman" w:hAnsi="Times New Roman" w:eastAsia="宋体" w:cs="Times New Roman"/>
                <w:color w:val="auto"/>
                <w:sz w:val="24"/>
              </w:rPr>
              <w:t>日-</w:t>
            </w:r>
            <w:r>
              <w:rPr>
                <w:rFonts w:hint="eastAsia" w:ascii="Times New Roman" w:hAnsi="Times New Roman" w:eastAsia="宋体" w:cs="Times New Roman"/>
                <w:color w:val="auto"/>
                <w:sz w:val="24"/>
                <w:lang w:val="en-US" w:eastAsia="zh-CN"/>
              </w:rPr>
              <w:t>6</w:t>
            </w:r>
            <w:r>
              <w:rPr>
                <w:rFonts w:hint="default" w:ascii="Times New Roman" w:hAnsi="Times New Roman" w:eastAsia="宋体" w:cs="Times New Roman"/>
                <w:color w:val="auto"/>
                <w:sz w:val="24"/>
              </w:rPr>
              <w:t>月</w:t>
            </w:r>
            <w:r>
              <w:rPr>
                <w:rFonts w:hint="eastAsia" w:ascii="Times New Roman" w:hAnsi="Times New Roman" w:eastAsia="宋体" w:cs="Times New Roman"/>
                <w:color w:val="auto"/>
                <w:sz w:val="24"/>
                <w:lang w:val="en-US" w:eastAsia="zh-CN"/>
              </w:rPr>
              <w:t>5</w:t>
            </w:r>
            <w:r>
              <w:rPr>
                <w:rFonts w:hint="default" w:ascii="Times New Roman" w:hAnsi="Times New Roman" w:eastAsia="宋体" w:cs="Times New Roman"/>
                <w:color w:val="auto"/>
                <w:sz w:val="24"/>
              </w:rPr>
              <w:t>日对G1点位（</w:t>
            </w:r>
            <w:r>
              <w:rPr>
                <w:rFonts w:hint="eastAsia" w:ascii="Times New Roman" w:hAnsi="Times New Roman" w:eastAsia="宋体" w:cs="Times New Roman"/>
                <w:color w:val="auto"/>
                <w:sz w:val="24"/>
                <w:lang w:val="en-US" w:eastAsia="zh-CN"/>
              </w:rPr>
              <w:t>常州市年强塑料制品有限公司</w:t>
            </w:r>
            <w:r>
              <w:rPr>
                <w:rFonts w:hint="default" w:ascii="Times New Roman" w:hAnsi="Times New Roman" w:eastAsia="宋体" w:cs="Times New Roman"/>
                <w:color w:val="auto"/>
                <w:sz w:val="24"/>
                <w:lang w:val="en-US" w:eastAsia="zh-CN"/>
              </w:rPr>
              <w:t>项目所在地</w:t>
            </w:r>
            <w:r>
              <w:rPr>
                <w:rFonts w:hint="default" w:ascii="Times New Roman" w:hAnsi="Times New Roman" w:eastAsia="宋体" w:cs="Times New Roman"/>
                <w:color w:val="auto"/>
                <w:sz w:val="24"/>
              </w:rPr>
              <w:t>）连续</w:t>
            </w:r>
            <w:r>
              <w:rPr>
                <w:rFonts w:hint="default" w:ascii="Times New Roman" w:hAnsi="Times New Roman" w:eastAsia="宋体" w:cs="Times New Roman"/>
                <w:color w:val="auto"/>
                <w:sz w:val="24"/>
                <w:lang w:val="en-US" w:eastAsia="zh-CN"/>
              </w:rPr>
              <w:t>3</w:t>
            </w:r>
            <w:r>
              <w:rPr>
                <w:rFonts w:hint="default" w:ascii="Times New Roman" w:hAnsi="Times New Roman" w:eastAsia="宋体" w:cs="Times New Roman"/>
                <w:color w:val="auto"/>
                <w:sz w:val="24"/>
              </w:rPr>
              <w:t>天的监测数据，报告编号：</w:t>
            </w:r>
            <w:r>
              <w:rPr>
                <w:rFonts w:hint="default" w:ascii="Times New Roman" w:hAnsi="Times New Roman" w:eastAsia="宋体" w:cs="Times New Roman"/>
                <w:color w:val="auto"/>
                <w:sz w:val="24"/>
                <w:lang w:val="en-US" w:eastAsia="zh-CN"/>
              </w:rPr>
              <w:t>JCH20210170</w:t>
            </w:r>
            <w:r>
              <w:rPr>
                <w:rFonts w:hint="eastAsia" w:cs="Times New Roman"/>
                <w:color w:val="auto"/>
                <w:sz w:val="24"/>
                <w:lang w:val="en-US" w:eastAsia="zh-CN"/>
              </w:rPr>
              <w:t>。</w:t>
            </w:r>
            <w:r>
              <w:rPr>
                <w:rFonts w:hint="default" w:ascii="Times New Roman" w:hAnsi="Times New Roman" w:eastAsia="宋体" w:cs="Times New Roman"/>
                <w:color w:val="auto"/>
                <w:sz w:val="24"/>
              </w:rPr>
              <w:t>引用点位见表3-</w:t>
            </w:r>
            <w:r>
              <w:rPr>
                <w:rFonts w:hint="default" w:ascii="Times New Roman" w:hAnsi="Times New Roman" w:eastAsia="宋体" w:cs="Times New Roman"/>
                <w:color w:val="auto"/>
                <w:sz w:val="24"/>
                <w:lang w:val="en-US" w:eastAsia="zh-CN"/>
              </w:rPr>
              <w:t>4</w:t>
            </w:r>
            <w:r>
              <w:rPr>
                <w:rFonts w:hint="default" w:ascii="Times New Roman" w:hAnsi="Times New Roman" w:eastAsia="宋体" w:cs="Times New Roman"/>
                <w:color w:val="auto"/>
                <w:sz w:val="24"/>
              </w:rPr>
              <w:t>，监测数据结果见3-</w:t>
            </w:r>
            <w:r>
              <w:rPr>
                <w:rFonts w:hint="default" w:ascii="Times New Roman" w:hAnsi="Times New Roman" w:eastAsia="宋体" w:cs="Times New Roman"/>
                <w:color w:val="auto"/>
                <w:sz w:val="24"/>
                <w:lang w:val="en-US" w:eastAsia="zh-CN"/>
              </w:rPr>
              <w:t>5</w:t>
            </w:r>
            <w:r>
              <w:rPr>
                <w:rFonts w:hint="default" w:ascii="Times New Roman" w:hAnsi="Times New Roman" w:eastAsia="宋体" w:cs="Times New Roman"/>
                <w:color w:val="auto"/>
                <w:sz w:val="24"/>
              </w:rPr>
              <w:t>。</w:t>
            </w:r>
          </w:p>
          <w:p>
            <w:pPr>
              <w:autoSpaceDE w:val="0"/>
              <w:autoSpaceDN w:val="0"/>
              <w:snapToGrid w:val="0"/>
              <w:jc w:val="center"/>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表3-</w:t>
            </w:r>
            <w:r>
              <w:rPr>
                <w:rFonts w:hint="default" w:ascii="Times New Roman" w:hAnsi="Times New Roman" w:eastAsia="宋体" w:cs="Times New Roman"/>
                <w:b/>
                <w:bCs/>
                <w:color w:val="auto"/>
                <w:sz w:val="24"/>
                <w:lang w:val="en-US" w:eastAsia="zh-CN"/>
              </w:rPr>
              <w:t>4</w:t>
            </w:r>
            <w:r>
              <w:rPr>
                <w:rFonts w:hint="default" w:ascii="Times New Roman" w:hAnsi="Times New Roman" w:eastAsia="宋体" w:cs="Times New Roman"/>
                <w:b/>
                <w:bCs/>
                <w:color w:val="auto"/>
                <w:sz w:val="24"/>
              </w:rPr>
              <w:t xml:space="preserve"> 大气环境质量引用点位、引用项目一览表</w:t>
            </w:r>
          </w:p>
          <w:tbl>
            <w:tblPr>
              <w:tblStyle w:val="22"/>
              <w:tblW w:w="841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77"/>
              <w:gridCol w:w="2614"/>
              <w:gridCol w:w="1503"/>
              <w:gridCol w:w="1581"/>
              <w:gridCol w:w="163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77" w:type="dxa"/>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序号</w:t>
                  </w:r>
                </w:p>
              </w:tc>
              <w:tc>
                <w:tcPr>
                  <w:tcW w:w="2614" w:type="dxa"/>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引用点</w:t>
                  </w:r>
                </w:p>
              </w:tc>
              <w:tc>
                <w:tcPr>
                  <w:tcW w:w="1503" w:type="dxa"/>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相对方位</w:t>
                  </w:r>
                </w:p>
              </w:tc>
              <w:tc>
                <w:tcPr>
                  <w:tcW w:w="1581" w:type="dxa"/>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直线距离</w:t>
                  </w:r>
                </w:p>
              </w:tc>
              <w:tc>
                <w:tcPr>
                  <w:tcW w:w="1639" w:type="dxa"/>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引用项目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77" w:type="dxa"/>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G1</w:t>
                  </w:r>
                </w:p>
              </w:tc>
              <w:tc>
                <w:tcPr>
                  <w:tcW w:w="2614" w:type="dxa"/>
                  <w:vAlign w:val="center"/>
                </w:tcPr>
                <w:p>
                  <w:pPr>
                    <w:adjustRightInd w:val="0"/>
                    <w:snapToGrid w:val="0"/>
                    <w:ind w:right="92"/>
                    <w:jc w:val="center"/>
                    <w:rPr>
                      <w:rFonts w:hint="default" w:ascii="Times New Roman" w:hAnsi="Times New Roman" w:eastAsia="宋体" w:cs="Times New Roman"/>
                      <w:bCs/>
                      <w:color w:val="auto"/>
                      <w:szCs w:val="21"/>
                      <w:lang w:eastAsia="zh-CN"/>
                    </w:rPr>
                  </w:pPr>
                  <w:r>
                    <w:rPr>
                      <w:rFonts w:hint="eastAsia" w:ascii="Times New Roman" w:hAnsi="Times New Roman" w:eastAsia="宋体" w:cs="Times New Roman"/>
                      <w:bCs/>
                      <w:color w:val="auto"/>
                      <w:szCs w:val="21"/>
                      <w:lang w:val="en-US" w:eastAsia="zh-CN"/>
                    </w:rPr>
                    <w:t>常州市年强塑料制品有限公司</w:t>
                  </w:r>
                  <w:r>
                    <w:rPr>
                      <w:rFonts w:hint="default" w:ascii="Times New Roman" w:hAnsi="Times New Roman" w:eastAsia="宋体" w:cs="Times New Roman"/>
                      <w:bCs/>
                      <w:color w:val="auto"/>
                      <w:szCs w:val="21"/>
                      <w:lang w:val="en-US" w:eastAsia="zh-CN"/>
                    </w:rPr>
                    <w:t>项目所在地</w:t>
                  </w:r>
                </w:p>
              </w:tc>
              <w:tc>
                <w:tcPr>
                  <w:tcW w:w="1503" w:type="dxa"/>
                  <w:vAlign w:val="center"/>
                </w:tcPr>
                <w:p>
                  <w:pPr>
                    <w:adjustRightInd w:val="0"/>
                    <w:snapToGrid w:val="0"/>
                    <w:ind w:right="92"/>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NE</w:t>
                  </w:r>
                </w:p>
              </w:tc>
              <w:tc>
                <w:tcPr>
                  <w:tcW w:w="1581" w:type="dxa"/>
                  <w:vAlign w:val="center"/>
                </w:tcPr>
                <w:p>
                  <w:pPr>
                    <w:adjustRightInd w:val="0"/>
                    <w:snapToGrid w:val="0"/>
                    <w:ind w:right="92"/>
                    <w:jc w:val="center"/>
                    <w:rPr>
                      <w:rFonts w:hint="default" w:ascii="Times New Roman" w:hAnsi="Times New Roman" w:eastAsia="宋体" w:cs="Times New Roman"/>
                      <w:bCs/>
                      <w:color w:val="auto"/>
                      <w:szCs w:val="21"/>
                    </w:rPr>
                  </w:pPr>
                  <w:r>
                    <w:rPr>
                      <w:rFonts w:hint="eastAsia" w:cs="Times New Roman"/>
                      <w:bCs/>
                      <w:color w:val="auto"/>
                      <w:szCs w:val="21"/>
                      <w:lang w:val="en-US" w:eastAsia="zh-CN"/>
                    </w:rPr>
                    <w:t>2200</w:t>
                  </w:r>
                  <w:r>
                    <w:rPr>
                      <w:rFonts w:hint="default" w:ascii="Times New Roman" w:hAnsi="Times New Roman" w:eastAsia="宋体" w:cs="Times New Roman"/>
                      <w:bCs/>
                      <w:color w:val="auto"/>
                      <w:szCs w:val="21"/>
                    </w:rPr>
                    <w:t>m</w:t>
                  </w:r>
                </w:p>
              </w:tc>
              <w:tc>
                <w:tcPr>
                  <w:tcW w:w="1639" w:type="dxa"/>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非甲烷总烃</w:t>
                  </w:r>
                </w:p>
              </w:tc>
            </w:tr>
          </w:tbl>
          <w:p>
            <w:pPr>
              <w:autoSpaceDE w:val="0"/>
              <w:autoSpaceDN w:val="0"/>
              <w:jc w:val="center"/>
              <w:rPr>
                <w:rFonts w:hint="default" w:ascii="Times New Roman" w:hAnsi="Times New Roman" w:eastAsia="宋体" w:cs="Times New Roman"/>
                <w:b/>
                <w:bCs/>
                <w:color w:val="auto"/>
                <w:sz w:val="24"/>
                <w:vertAlign w:val="superscript"/>
              </w:rPr>
            </w:pPr>
            <w:r>
              <w:rPr>
                <w:rFonts w:hint="default" w:ascii="Times New Roman" w:hAnsi="Times New Roman" w:eastAsia="宋体" w:cs="Times New Roman"/>
                <w:b/>
                <w:bCs/>
                <w:color w:val="auto"/>
                <w:sz w:val="24"/>
              </w:rPr>
              <w:t>表3-</w:t>
            </w:r>
            <w:r>
              <w:rPr>
                <w:rFonts w:hint="default" w:ascii="Times New Roman" w:hAnsi="Times New Roman" w:eastAsia="宋体" w:cs="Times New Roman"/>
                <w:b/>
                <w:bCs/>
                <w:color w:val="auto"/>
                <w:sz w:val="24"/>
                <w:lang w:val="en-US" w:eastAsia="zh-CN"/>
              </w:rPr>
              <w:t>5</w:t>
            </w:r>
            <w:r>
              <w:rPr>
                <w:rFonts w:hint="default" w:ascii="Times New Roman" w:hAnsi="Times New Roman" w:eastAsia="宋体" w:cs="Times New Roman"/>
                <w:b/>
                <w:bCs/>
                <w:color w:val="auto"/>
                <w:sz w:val="24"/>
              </w:rPr>
              <w:t xml:space="preserve"> 其他污染物环境质量现状监测结果  单位：mg/m</w:t>
            </w:r>
            <w:r>
              <w:rPr>
                <w:rFonts w:hint="default" w:ascii="Times New Roman" w:hAnsi="Times New Roman" w:eastAsia="宋体" w:cs="Times New Roman"/>
                <w:b/>
                <w:bCs/>
                <w:color w:val="auto"/>
                <w:sz w:val="24"/>
                <w:vertAlign w:val="superscript"/>
              </w:rPr>
              <w:t>3</w:t>
            </w:r>
          </w:p>
          <w:tbl>
            <w:tblPr>
              <w:tblStyle w:val="22"/>
              <w:tblW w:w="841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2"/>
              <w:gridCol w:w="1534"/>
              <w:gridCol w:w="1359"/>
              <w:gridCol w:w="1397"/>
              <w:gridCol w:w="1173"/>
              <w:gridCol w:w="159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40" w:hRule="atLeast"/>
                <w:jc w:val="center"/>
              </w:trPr>
              <w:tc>
                <w:tcPr>
                  <w:tcW w:w="1352" w:type="dxa"/>
                  <w:vMerge w:val="restart"/>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点位编号</w:t>
                  </w:r>
                </w:p>
              </w:tc>
              <w:tc>
                <w:tcPr>
                  <w:tcW w:w="1534" w:type="dxa"/>
                  <w:vMerge w:val="restart"/>
                  <w:vAlign w:val="center"/>
                </w:tcPr>
                <w:p>
                  <w:pPr>
                    <w:adjustRightInd w:val="0"/>
                    <w:snapToGrid w:val="0"/>
                    <w:ind w:right="92"/>
                    <w:jc w:val="center"/>
                    <w:rPr>
                      <w:rFonts w:hint="default" w:ascii="Times New Roman" w:hAnsi="Times New Roman" w:eastAsia="宋体" w:cs="Times New Roman"/>
                      <w:b/>
                      <w:color w:val="auto"/>
                      <w:szCs w:val="21"/>
                      <w:vertAlign w:val="subscript"/>
                    </w:rPr>
                  </w:pPr>
                  <w:r>
                    <w:rPr>
                      <w:rFonts w:hint="default" w:ascii="Times New Roman" w:hAnsi="Times New Roman" w:eastAsia="宋体" w:cs="Times New Roman"/>
                      <w:b/>
                      <w:color w:val="auto"/>
                      <w:szCs w:val="21"/>
                    </w:rPr>
                    <w:t>点位名称</w:t>
                  </w:r>
                </w:p>
              </w:tc>
              <w:tc>
                <w:tcPr>
                  <w:tcW w:w="1359" w:type="dxa"/>
                  <w:vMerge w:val="restart"/>
                  <w:vAlign w:val="center"/>
                </w:tcPr>
                <w:p>
                  <w:pPr>
                    <w:adjustRightInd w:val="0"/>
                    <w:snapToGrid w:val="0"/>
                    <w:ind w:right="92"/>
                    <w:jc w:val="center"/>
                    <w:rPr>
                      <w:rFonts w:hint="default" w:ascii="Times New Roman" w:hAnsi="Times New Roman" w:eastAsia="宋体" w:cs="Times New Roman"/>
                      <w:b/>
                      <w:color w:val="auto"/>
                      <w:szCs w:val="21"/>
                      <w:vertAlign w:val="subscript"/>
                    </w:rPr>
                  </w:pPr>
                  <w:r>
                    <w:rPr>
                      <w:rFonts w:hint="default" w:ascii="Times New Roman" w:hAnsi="Times New Roman" w:eastAsia="宋体" w:cs="Times New Roman"/>
                      <w:b/>
                      <w:color w:val="auto"/>
                      <w:szCs w:val="21"/>
                    </w:rPr>
                    <w:t>污染物名称</w:t>
                  </w:r>
                </w:p>
              </w:tc>
              <w:tc>
                <w:tcPr>
                  <w:tcW w:w="4169" w:type="dxa"/>
                  <w:gridSpan w:val="3"/>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小时浓度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352" w:type="dxa"/>
                  <w:vMerge w:val="continue"/>
                  <w:vAlign w:val="center"/>
                </w:tcPr>
                <w:p>
                  <w:pPr>
                    <w:adjustRightInd w:val="0"/>
                    <w:snapToGrid w:val="0"/>
                    <w:ind w:right="92"/>
                    <w:jc w:val="center"/>
                    <w:rPr>
                      <w:rFonts w:hint="default" w:ascii="Times New Roman" w:hAnsi="Times New Roman" w:eastAsia="宋体" w:cs="Times New Roman"/>
                      <w:b/>
                      <w:color w:val="auto"/>
                      <w:szCs w:val="21"/>
                    </w:rPr>
                  </w:pPr>
                </w:p>
              </w:tc>
              <w:tc>
                <w:tcPr>
                  <w:tcW w:w="1534" w:type="dxa"/>
                  <w:vMerge w:val="continue"/>
                  <w:vAlign w:val="center"/>
                </w:tcPr>
                <w:p>
                  <w:pPr>
                    <w:adjustRightInd w:val="0"/>
                    <w:snapToGrid w:val="0"/>
                    <w:ind w:right="92"/>
                    <w:jc w:val="center"/>
                    <w:rPr>
                      <w:rFonts w:hint="default" w:ascii="Times New Roman" w:hAnsi="Times New Roman" w:eastAsia="宋体" w:cs="Times New Roman"/>
                      <w:b/>
                      <w:color w:val="auto"/>
                      <w:szCs w:val="21"/>
                    </w:rPr>
                  </w:pPr>
                </w:p>
              </w:tc>
              <w:tc>
                <w:tcPr>
                  <w:tcW w:w="1359" w:type="dxa"/>
                  <w:vMerge w:val="continue"/>
                  <w:vAlign w:val="center"/>
                </w:tcPr>
                <w:p>
                  <w:pPr>
                    <w:adjustRightInd w:val="0"/>
                    <w:snapToGrid w:val="0"/>
                    <w:ind w:right="92"/>
                    <w:jc w:val="center"/>
                    <w:rPr>
                      <w:rFonts w:hint="default" w:ascii="Times New Roman" w:hAnsi="Times New Roman" w:eastAsia="宋体" w:cs="Times New Roman"/>
                      <w:b/>
                      <w:color w:val="auto"/>
                      <w:szCs w:val="21"/>
                    </w:rPr>
                  </w:pPr>
                </w:p>
              </w:tc>
              <w:tc>
                <w:tcPr>
                  <w:tcW w:w="1397" w:type="dxa"/>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浓度范围</w:t>
                  </w:r>
                </w:p>
              </w:tc>
              <w:tc>
                <w:tcPr>
                  <w:tcW w:w="1173" w:type="dxa"/>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超标率%</w:t>
                  </w:r>
                </w:p>
              </w:tc>
              <w:tc>
                <w:tcPr>
                  <w:tcW w:w="1599" w:type="dxa"/>
                  <w:vAlign w:val="center"/>
                </w:tcPr>
                <w:p>
                  <w:pPr>
                    <w:adjustRightInd w:val="0"/>
                    <w:snapToGrid w:val="0"/>
                    <w:ind w:left="-199" w:leftChars="-95" w:right="-138"/>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最大超标倍数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352" w:type="dxa"/>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G1</w:t>
                  </w:r>
                </w:p>
              </w:tc>
              <w:tc>
                <w:tcPr>
                  <w:tcW w:w="1534" w:type="dxa"/>
                  <w:vAlign w:val="center"/>
                </w:tcPr>
                <w:p>
                  <w:pPr>
                    <w:adjustRightInd w:val="0"/>
                    <w:snapToGrid w:val="0"/>
                    <w:ind w:right="-55"/>
                    <w:jc w:val="center"/>
                    <w:rPr>
                      <w:rFonts w:hint="default" w:ascii="Times New Roman" w:hAnsi="Times New Roman" w:eastAsia="宋体" w:cs="Times New Roman"/>
                      <w:bCs/>
                      <w:color w:val="auto"/>
                      <w:szCs w:val="21"/>
                    </w:rPr>
                  </w:pPr>
                  <w:r>
                    <w:rPr>
                      <w:rFonts w:hint="eastAsia" w:ascii="Times New Roman" w:hAnsi="Times New Roman" w:eastAsia="宋体" w:cs="Times New Roman"/>
                      <w:bCs/>
                      <w:color w:val="auto"/>
                      <w:szCs w:val="21"/>
                      <w:lang w:val="en-US" w:eastAsia="zh-CN"/>
                    </w:rPr>
                    <w:t>常州市年强塑料制品有限公司</w:t>
                  </w:r>
                  <w:r>
                    <w:rPr>
                      <w:rFonts w:hint="default" w:ascii="Times New Roman" w:hAnsi="Times New Roman" w:eastAsia="宋体" w:cs="Times New Roman"/>
                      <w:bCs/>
                      <w:color w:val="auto"/>
                      <w:szCs w:val="21"/>
                      <w:lang w:val="en-US" w:eastAsia="zh-CN"/>
                    </w:rPr>
                    <w:t>项目所在地</w:t>
                  </w:r>
                </w:p>
              </w:tc>
              <w:tc>
                <w:tcPr>
                  <w:tcW w:w="1359" w:type="dxa"/>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非甲烷总烃</w:t>
                  </w:r>
                </w:p>
              </w:tc>
              <w:tc>
                <w:tcPr>
                  <w:tcW w:w="1397" w:type="dxa"/>
                  <w:vAlign w:val="center"/>
                </w:tcPr>
                <w:p>
                  <w:pPr>
                    <w:adjustRightInd w:val="0"/>
                    <w:snapToGrid w:val="0"/>
                    <w:ind w:right="92"/>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rPr>
                    <w:t>0.53-0.</w:t>
                  </w:r>
                  <w:r>
                    <w:rPr>
                      <w:rFonts w:hint="eastAsia" w:cs="Times New Roman"/>
                      <w:bCs/>
                      <w:color w:val="auto"/>
                      <w:szCs w:val="21"/>
                      <w:lang w:val="en-US" w:eastAsia="zh-CN"/>
                    </w:rPr>
                    <w:t>64</w:t>
                  </w:r>
                </w:p>
              </w:tc>
              <w:tc>
                <w:tcPr>
                  <w:tcW w:w="1173" w:type="dxa"/>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0</w:t>
                  </w:r>
                </w:p>
              </w:tc>
              <w:tc>
                <w:tcPr>
                  <w:tcW w:w="1599" w:type="dxa"/>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0</w:t>
                  </w:r>
                </w:p>
              </w:tc>
            </w:tr>
          </w:tbl>
          <w:p>
            <w:pPr>
              <w:spacing w:line="360" w:lineRule="auto"/>
              <w:ind w:firstLine="480" w:firstLineChars="200"/>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根据上表其他污染物环境质量现状监测结果可以看出，特征因子非甲烷总烃在G1点均未出现超标现象，现状引用值基本满足项目所在地区的环境功能区划要求。</w:t>
            </w:r>
          </w:p>
          <w:p>
            <w:pPr>
              <w:spacing w:line="360" w:lineRule="auto"/>
              <w:ind w:firstLine="480" w:firstLineChars="200"/>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引用数据有效性分析：本项目引用江苏久诚检验检测有限公司于202</w:t>
            </w:r>
            <w:r>
              <w:rPr>
                <w:rFonts w:hint="default" w:ascii="Times New Roman" w:hAnsi="Times New Roman" w:eastAsia="宋体" w:cs="Times New Roman"/>
                <w:color w:val="auto"/>
                <w:sz w:val="24"/>
                <w:szCs w:val="22"/>
                <w:lang w:val="en-US" w:eastAsia="zh-CN"/>
              </w:rPr>
              <w:t>1</w:t>
            </w:r>
            <w:r>
              <w:rPr>
                <w:rFonts w:hint="default" w:ascii="Times New Roman" w:hAnsi="Times New Roman" w:eastAsia="宋体" w:cs="Times New Roman"/>
                <w:color w:val="auto"/>
                <w:sz w:val="24"/>
                <w:szCs w:val="22"/>
              </w:rPr>
              <w:t>年</w:t>
            </w:r>
            <w:r>
              <w:rPr>
                <w:rFonts w:hint="default" w:ascii="Times New Roman" w:hAnsi="Times New Roman" w:eastAsia="宋体" w:cs="Times New Roman"/>
                <w:color w:val="auto"/>
                <w:sz w:val="24"/>
                <w:szCs w:val="22"/>
                <w:lang w:val="en-US" w:eastAsia="zh-CN"/>
              </w:rPr>
              <w:t>11</w:t>
            </w:r>
            <w:r>
              <w:rPr>
                <w:rFonts w:hint="default" w:ascii="Times New Roman" w:hAnsi="Times New Roman" w:eastAsia="宋体" w:cs="Times New Roman"/>
                <w:color w:val="auto"/>
                <w:sz w:val="24"/>
                <w:szCs w:val="22"/>
              </w:rPr>
              <w:t>月</w:t>
            </w:r>
            <w:r>
              <w:rPr>
                <w:rFonts w:hint="default" w:ascii="Times New Roman" w:hAnsi="Times New Roman" w:eastAsia="宋体" w:cs="Times New Roman"/>
                <w:color w:val="auto"/>
                <w:sz w:val="24"/>
                <w:szCs w:val="22"/>
                <w:lang w:val="en-US" w:eastAsia="zh-CN"/>
              </w:rPr>
              <w:t>11</w:t>
            </w:r>
            <w:r>
              <w:rPr>
                <w:rFonts w:hint="default" w:ascii="Times New Roman" w:hAnsi="Times New Roman" w:eastAsia="宋体" w:cs="Times New Roman"/>
                <w:color w:val="auto"/>
                <w:sz w:val="24"/>
                <w:szCs w:val="22"/>
              </w:rPr>
              <w:t>日-</w:t>
            </w:r>
            <w:r>
              <w:rPr>
                <w:rFonts w:hint="default" w:ascii="Times New Roman" w:hAnsi="Times New Roman" w:eastAsia="宋体" w:cs="Times New Roman"/>
                <w:color w:val="auto"/>
                <w:sz w:val="24"/>
                <w:szCs w:val="22"/>
                <w:lang w:val="en-US" w:eastAsia="zh-CN"/>
              </w:rPr>
              <w:t>11</w:t>
            </w:r>
            <w:r>
              <w:rPr>
                <w:rFonts w:hint="default" w:ascii="Times New Roman" w:hAnsi="Times New Roman" w:eastAsia="宋体" w:cs="Times New Roman"/>
                <w:color w:val="auto"/>
                <w:sz w:val="24"/>
                <w:szCs w:val="22"/>
              </w:rPr>
              <w:t>月</w:t>
            </w:r>
            <w:r>
              <w:rPr>
                <w:rFonts w:hint="default" w:ascii="Times New Roman" w:hAnsi="Times New Roman" w:eastAsia="宋体" w:cs="Times New Roman"/>
                <w:color w:val="auto"/>
                <w:sz w:val="24"/>
                <w:szCs w:val="22"/>
                <w:lang w:val="en-US" w:eastAsia="zh-CN"/>
              </w:rPr>
              <w:t>13日</w:t>
            </w:r>
            <w:r>
              <w:rPr>
                <w:rFonts w:hint="default" w:ascii="Times New Roman" w:hAnsi="Times New Roman" w:eastAsia="宋体" w:cs="Times New Roman"/>
                <w:color w:val="auto"/>
                <w:sz w:val="24"/>
                <w:szCs w:val="22"/>
              </w:rPr>
              <w:t>对项目</w:t>
            </w:r>
            <w:r>
              <w:rPr>
                <w:rFonts w:hint="default" w:ascii="Times New Roman" w:hAnsi="Times New Roman" w:eastAsia="宋体" w:cs="Times New Roman"/>
                <w:color w:val="auto"/>
                <w:sz w:val="24"/>
                <w:szCs w:val="22"/>
                <w:lang w:val="en-US" w:eastAsia="zh-CN"/>
              </w:rPr>
              <w:t>东南侧</w:t>
            </w:r>
            <w:r>
              <w:rPr>
                <w:rFonts w:hint="default" w:ascii="Times New Roman" w:hAnsi="Times New Roman" w:eastAsia="宋体" w:cs="Times New Roman"/>
                <w:color w:val="auto"/>
                <w:sz w:val="24"/>
                <w:szCs w:val="22"/>
              </w:rPr>
              <w:t>约</w:t>
            </w:r>
            <w:r>
              <w:rPr>
                <w:rFonts w:hint="eastAsia" w:cs="Times New Roman"/>
                <w:color w:val="auto"/>
                <w:sz w:val="24"/>
                <w:szCs w:val="22"/>
                <w:lang w:val="en-US" w:eastAsia="zh-CN"/>
              </w:rPr>
              <w:t>2200</w:t>
            </w:r>
            <w:r>
              <w:rPr>
                <w:rFonts w:hint="default" w:ascii="Times New Roman" w:hAnsi="Times New Roman" w:eastAsia="宋体" w:cs="Times New Roman"/>
                <w:color w:val="auto"/>
                <w:sz w:val="24"/>
                <w:szCs w:val="22"/>
              </w:rPr>
              <w:t>m处的“</w:t>
            </w:r>
            <w:r>
              <w:rPr>
                <w:rFonts w:hint="eastAsia" w:ascii="Times New Roman" w:hAnsi="Times New Roman" w:eastAsia="宋体" w:cs="Times New Roman"/>
                <w:color w:val="auto"/>
                <w:sz w:val="24"/>
                <w:lang w:val="en-US" w:eastAsia="zh-CN"/>
              </w:rPr>
              <w:t>常州市年强塑料制品有限公司</w:t>
            </w:r>
            <w:r>
              <w:rPr>
                <w:rFonts w:hint="eastAsia" w:cs="Times New Roman"/>
                <w:color w:val="auto"/>
                <w:sz w:val="24"/>
                <w:lang w:val="en-US" w:eastAsia="zh-CN"/>
              </w:rPr>
              <w:t>项目</w:t>
            </w:r>
            <w:r>
              <w:rPr>
                <w:rFonts w:hint="default" w:ascii="Times New Roman" w:hAnsi="Times New Roman" w:eastAsia="宋体" w:cs="Times New Roman"/>
                <w:color w:val="auto"/>
                <w:sz w:val="24"/>
                <w:szCs w:val="22"/>
                <w:lang w:val="en-US" w:eastAsia="zh-CN"/>
              </w:rPr>
              <w:t>所在地</w:t>
            </w:r>
            <w:r>
              <w:rPr>
                <w:rFonts w:hint="default" w:ascii="Times New Roman" w:hAnsi="Times New Roman" w:eastAsia="宋体" w:cs="Times New Roman"/>
                <w:color w:val="auto"/>
                <w:sz w:val="24"/>
                <w:szCs w:val="22"/>
              </w:rPr>
              <w:t>”的监测数据，引用时间不超过3年，大气环境引用时间有效；项目所在区域污染源未发生重大变化，可引用3年内环境空气的监测数据；引用点位在项目相关评价范围内，则大气环境引用点位有效。</w:t>
            </w:r>
          </w:p>
          <w:p>
            <w:pPr>
              <w:adjustRightInd w:val="0"/>
              <w:snapToGrid w:val="0"/>
              <w:spacing w:line="360" w:lineRule="auto"/>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2、地表水现状</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w:t>
            </w:r>
            <w:r>
              <w:rPr>
                <w:rFonts w:hint="default" w:ascii="Times New Roman" w:hAnsi="Times New Roman" w:eastAsia="宋体" w:cs="Times New Roman"/>
                <w:color w:val="auto"/>
                <w:sz w:val="24"/>
                <w:szCs w:val="22"/>
              </w:rPr>
              <w:t>2020年常州市生态环境状况公报</w:t>
            </w:r>
            <w:r>
              <w:rPr>
                <w:rFonts w:hint="default" w:ascii="Times New Roman" w:hAnsi="Times New Roman" w:eastAsia="宋体" w:cs="Times New Roman"/>
                <w:color w:val="auto"/>
                <w:sz w:val="24"/>
              </w:rPr>
              <w:t>》中相关内容，2020年，全市的生态环境状况指标为64.7，属“良”等级。与“十二五”末相比，全市生态环境状况指数下降2.6，生态环境状况略微变差。从各分指数变化情况看，植被覆盖指数和水网密度指数分别较“十二五”末下降了7.2和3.3，其他指标基本持平。</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2020年，常州市共设置各类地表水监测断面32个，按年均水质评价，三类水质断面27个，占比为84.4%；四类水质断面2个，占比为6.2%；五类水质断面3个，占比9.4%；无劣五类水质断面。全市化学需氧量、氨氮、总氮和总磷的年排放总量分别为2.84吨、0.42万吨、1.00万吨和0.075万吨。</w:t>
            </w:r>
          </w:p>
          <w:p>
            <w:pPr>
              <w:adjustRightInd w:val="0"/>
              <w:snapToGrid w:val="0"/>
              <w:spacing w:line="360" w:lineRule="auto"/>
              <w:ind w:firstLine="480" w:firstLineChars="200"/>
              <w:rPr>
                <w:rFonts w:hint="default" w:ascii="Times New Roman" w:hAnsi="Times New Roman" w:eastAsia="宋体" w:cs="Times New Roman"/>
                <w:color w:val="auto"/>
              </w:rPr>
            </w:pPr>
            <w:r>
              <w:rPr>
                <w:rFonts w:hint="default" w:ascii="Times New Roman" w:hAnsi="Times New Roman" w:eastAsia="宋体" w:cs="Times New Roman"/>
                <w:color w:val="auto"/>
                <w:sz w:val="24"/>
              </w:rPr>
              <w:t>打好太湖治理攻坚战，打好农业农村污染治理攻坚战，加快推进污水收集管网配套，提高污水收集率和污水集中处理设施运行效率，科学防治农业面源污染。</w:t>
            </w:r>
          </w:p>
          <w:p>
            <w:pPr>
              <w:adjustRightInd w:val="0"/>
              <w:snapToGrid w:val="0"/>
              <w:spacing w:line="360" w:lineRule="auto"/>
              <w:ind w:firstLine="480" w:firstLineChars="200"/>
              <w:rPr>
                <w:rFonts w:hint="default" w:ascii="Times New Roman" w:hAnsi="Times New Roman" w:eastAsia="宋体" w:cs="Times New Roman"/>
                <w:b/>
                <w:bCs/>
                <w:snapToGrid w:val="0"/>
                <w:color w:val="auto"/>
                <w:kern w:val="0"/>
                <w:sz w:val="24"/>
              </w:rPr>
            </w:pPr>
            <w:r>
              <w:rPr>
                <w:rFonts w:hint="default" w:ascii="Times New Roman" w:hAnsi="Times New Roman" w:eastAsia="宋体" w:cs="Times New Roman"/>
                <w:color w:val="auto"/>
                <w:sz w:val="24"/>
              </w:rPr>
              <w:t>本项目地表水环境现状数据引用《常州百隆微创医疗器械科技有限公司》中</w:t>
            </w:r>
            <w:r>
              <w:rPr>
                <w:rFonts w:hint="default" w:ascii="Times New Roman" w:hAnsi="Times New Roman" w:eastAsia="宋体" w:cs="Times New Roman"/>
                <w:color w:val="auto"/>
                <w:sz w:val="24"/>
                <w:szCs w:val="22"/>
              </w:rPr>
              <w:t>江苏久诚检验检测有限公司</w:t>
            </w:r>
            <w:r>
              <w:rPr>
                <w:rFonts w:hint="default" w:ascii="Times New Roman" w:hAnsi="Times New Roman" w:eastAsia="宋体" w:cs="Times New Roman"/>
                <w:bCs/>
                <w:color w:val="auto"/>
                <w:sz w:val="24"/>
              </w:rPr>
              <w:t>于2021年2月24日～2月26日对武南河的地表水环境历史监测数据，</w:t>
            </w:r>
            <w:r>
              <w:rPr>
                <w:rFonts w:hint="default" w:ascii="Times New Roman" w:hAnsi="Times New Roman" w:eastAsia="宋体" w:cs="Times New Roman"/>
                <w:color w:val="auto"/>
                <w:sz w:val="24"/>
              </w:rPr>
              <w:t>监测断面为W1（武南污水处理厂排口上游500m）、W2（武南污水处理厂排口）、W3（武南污水处理厂排口下游1500m）。引用报告号：</w:t>
            </w:r>
            <w:r>
              <w:rPr>
                <w:rFonts w:hint="default" w:ascii="Times New Roman" w:hAnsi="Times New Roman" w:eastAsia="宋体" w:cs="Times New Roman"/>
                <w:bCs/>
                <w:color w:val="auto"/>
                <w:sz w:val="24"/>
              </w:rPr>
              <w:t>MSTCZ20200224002。主要污染物监测统计结果如下：</w:t>
            </w:r>
          </w:p>
          <w:p>
            <w:pPr>
              <w:adjustRightInd w:val="0"/>
              <w:snapToGrid w:val="0"/>
              <w:jc w:val="center"/>
              <w:rPr>
                <w:rFonts w:hint="default" w:ascii="Times New Roman" w:hAnsi="Times New Roman" w:eastAsia="宋体" w:cs="Times New Roman"/>
                <w:b/>
                <w:bCs/>
                <w:snapToGrid w:val="0"/>
                <w:color w:val="auto"/>
                <w:kern w:val="0"/>
                <w:sz w:val="24"/>
              </w:rPr>
            </w:pPr>
            <w:r>
              <w:rPr>
                <w:rFonts w:hint="default" w:ascii="Times New Roman" w:hAnsi="Times New Roman" w:eastAsia="宋体" w:cs="Times New Roman"/>
                <w:b/>
                <w:bCs/>
                <w:snapToGrid w:val="0"/>
                <w:color w:val="auto"/>
                <w:kern w:val="0"/>
                <w:sz w:val="24"/>
              </w:rPr>
              <w:t>表3-</w:t>
            </w:r>
            <w:r>
              <w:rPr>
                <w:rFonts w:hint="eastAsia" w:cs="Times New Roman"/>
                <w:b/>
                <w:bCs/>
                <w:snapToGrid w:val="0"/>
                <w:color w:val="auto"/>
                <w:kern w:val="0"/>
                <w:sz w:val="24"/>
                <w:lang w:val="en-US" w:eastAsia="zh-CN"/>
              </w:rPr>
              <w:t>4</w:t>
            </w:r>
            <w:r>
              <w:rPr>
                <w:rFonts w:hint="default" w:ascii="Times New Roman" w:hAnsi="Times New Roman" w:eastAsia="宋体" w:cs="Times New Roman"/>
                <w:b/>
                <w:bCs/>
                <w:snapToGrid w:val="0"/>
                <w:color w:val="auto"/>
                <w:kern w:val="0"/>
                <w:sz w:val="24"/>
              </w:rPr>
              <w:t xml:space="preserve">  </w:t>
            </w:r>
            <w:r>
              <w:rPr>
                <w:rFonts w:hint="default" w:ascii="Times New Roman" w:hAnsi="Times New Roman" w:eastAsia="宋体" w:cs="Times New Roman"/>
                <w:b/>
                <w:bCs/>
                <w:color w:val="auto"/>
                <w:sz w:val="24"/>
              </w:rPr>
              <w:t>地表水环境质量现状监测结果  mg/L</w:t>
            </w:r>
          </w:p>
          <w:tbl>
            <w:tblPr>
              <w:tblStyle w:val="22"/>
              <w:tblW w:w="8415"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2287"/>
              <w:gridCol w:w="1532"/>
              <w:gridCol w:w="1530"/>
              <w:gridCol w:w="1532"/>
              <w:gridCol w:w="1534"/>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283" w:hRule="atLeast"/>
                <w:jc w:val="center"/>
              </w:trPr>
              <w:tc>
                <w:tcPr>
                  <w:tcW w:w="2287" w:type="dxa"/>
                  <w:vMerge w:val="restar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监测断面名称</w:t>
                  </w:r>
                </w:p>
              </w:tc>
              <w:tc>
                <w:tcPr>
                  <w:tcW w:w="6128" w:type="dxa"/>
                  <w:gridSpan w:val="4"/>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监测项目</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283" w:hRule="atLeast"/>
                <w:jc w:val="center"/>
              </w:trPr>
              <w:tc>
                <w:tcPr>
                  <w:tcW w:w="2287" w:type="dxa"/>
                  <w:vMerge w:val="continue"/>
                  <w:vAlign w:val="center"/>
                </w:tcPr>
                <w:p>
                  <w:pPr>
                    <w:adjustRightInd w:val="0"/>
                    <w:snapToGrid w:val="0"/>
                    <w:jc w:val="center"/>
                    <w:rPr>
                      <w:rFonts w:hint="default" w:ascii="Times New Roman" w:hAnsi="Times New Roman" w:eastAsia="宋体" w:cs="Times New Roman"/>
                      <w:b/>
                      <w:bCs/>
                      <w:color w:val="auto"/>
                      <w:szCs w:val="21"/>
                    </w:rPr>
                  </w:pPr>
                </w:p>
              </w:tc>
              <w:tc>
                <w:tcPr>
                  <w:tcW w:w="1532" w:type="dxa"/>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pH（无量纲）</w:t>
                  </w:r>
                </w:p>
              </w:tc>
              <w:tc>
                <w:tcPr>
                  <w:tcW w:w="1530" w:type="dxa"/>
                  <w:vAlign w:val="center"/>
                </w:tcPr>
                <w:p>
                  <w:pPr>
                    <w:adjustRightInd w:val="0"/>
                    <w:snapToGrid w:val="0"/>
                    <w:jc w:val="center"/>
                    <w:rPr>
                      <w:rFonts w:hint="default" w:ascii="Times New Roman" w:hAnsi="Times New Roman" w:eastAsia="宋体" w:cs="Times New Roman"/>
                      <w:b/>
                      <w:bCs/>
                      <w:color w:val="auto"/>
                      <w:szCs w:val="21"/>
                      <w:vertAlign w:val="subscript"/>
                    </w:rPr>
                  </w:pPr>
                  <w:r>
                    <w:rPr>
                      <w:rFonts w:hint="default" w:ascii="Times New Roman" w:hAnsi="Times New Roman" w:eastAsia="宋体" w:cs="Times New Roman"/>
                      <w:b/>
                      <w:bCs/>
                      <w:color w:val="auto"/>
                      <w:szCs w:val="21"/>
                    </w:rPr>
                    <w:t>COD(mg/L)</w:t>
                  </w:r>
                </w:p>
              </w:tc>
              <w:tc>
                <w:tcPr>
                  <w:tcW w:w="1532" w:type="dxa"/>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NH</w:t>
                  </w:r>
                  <w:r>
                    <w:rPr>
                      <w:rFonts w:hint="default" w:ascii="Times New Roman" w:hAnsi="Times New Roman" w:eastAsia="宋体" w:cs="Times New Roman"/>
                      <w:b/>
                      <w:bCs/>
                      <w:color w:val="auto"/>
                      <w:szCs w:val="21"/>
                      <w:vertAlign w:val="subscript"/>
                    </w:rPr>
                    <w:t>3</w:t>
                  </w:r>
                  <w:r>
                    <w:rPr>
                      <w:rFonts w:hint="default" w:ascii="Times New Roman" w:hAnsi="Times New Roman" w:eastAsia="宋体" w:cs="Times New Roman"/>
                      <w:b/>
                      <w:bCs/>
                      <w:color w:val="auto"/>
                      <w:szCs w:val="21"/>
                    </w:rPr>
                    <w:t>-N(mg/L)</w:t>
                  </w:r>
                </w:p>
              </w:tc>
              <w:tc>
                <w:tcPr>
                  <w:tcW w:w="1534" w:type="dxa"/>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TP(mg/L)</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283" w:hRule="atLeast"/>
                <w:jc w:val="center"/>
              </w:trPr>
              <w:tc>
                <w:tcPr>
                  <w:tcW w:w="2287" w:type="dxa"/>
                  <w:vAlign w:val="center"/>
                </w:tcPr>
                <w:p>
                  <w:pPr>
                    <w:adjustRightInd w:val="0"/>
                    <w:snapToGrid w:val="0"/>
                    <w:jc w:val="center"/>
                    <w:rPr>
                      <w:rFonts w:hint="default" w:ascii="Times New Roman" w:hAnsi="Times New Roman" w:eastAsia="宋体" w:cs="Times New Roman"/>
                      <w:color w:val="auto"/>
                      <w:szCs w:val="21"/>
                      <w:vertAlign w:val="subscript"/>
                    </w:rPr>
                  </w:pPr>
                  <w:r>
                    <w:rPr>
                      <w:rFonts w:hint="default" w:ascii="Times New Roman" w:hAnsi="Times New Roman" w:eastAsia="宋体" w:cs="Times New Roman"/>
                      <w:color w:val="auto"/>
                      <w:szCs w:val="21"/>
                    </w:rPr>
                    <w:t>W1</w:t>
                  </w:r>
                </w:p>
              </w:tc>
              <w:tc>
                <w:tcPr>
                  <w:tcW w:w="1532"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7.89-7.96</w:t>
                  </w:r>
                </w:p>
              </w:tc>
              <w:tc>
                <w:tcPr>
                  <w:tcW w:w="1530"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12-17</w:t>
                  </w:r>
                </w:p>
              </w:tc>
              <w:tc>
                <w:tcPr>
                  <w:tcW w:w="1532"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0.929-0.966</w:t>
                  </w:r>
                </w:p>
              </w:tc>
              <w:tc>
                <w:tcPr>
                  <w:tcW w:w="1534"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szCs w:val="21"/>
                    </w:rPr>
                    <w:t>0.13-0.16</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283" w:hRule="atLeast"/>
                <w:jc w:val="center"/>
              </w:trPr>
              <w:tc>
                <w:tcPr>
                  <w:tcW w:w="2287"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W2</w:t>
                  </w:r>
                </w:p>
              </w:tc>
              <w:tc>
                <w:tcPr>
                  <w:tcW w:w="1532"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7.90-7.97</w:t>
                  </w:r>
                </w:p>
              </w:tc>
              <w:tc>
                <w:tcPr>
                  <w:tcW w:w="1530"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13-19</w:t>
                  </w:r>
                </w:p>
              </w:tc>
              <w:tc>
                <w:tcPr>
                  <w:tcW w:w="1532"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0.814-0.954</w:t>
                  </w:r>
                </w:p>
              </w:tc>
              <w:tc>
                <w:tcPr>
                  <w:tcW w:w="1534"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0.16-0.19</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283" w:hRule="atLeast"/>
                <w:jc w:val="center"/>
              </w:trPr>
              <w:tc>
                <w:tcPr>
                  <w:tcW w:w="2287" w:type="dxa"/>
                  <w:vAlign w:val="center"/>
                </w:tcPr>
                <w:p>
                  <w:pPr>
                    <w:adjustRightInd w:val="0"/>
                    <w:snapToGrid w:val="0"/>
                    <w:jc w:val="center"/>
                    <w:rPr>
                      <w:rFonts w:hint="default" w:ascii="Times New Roman" w:hAnsi="Times New Roman" w:eastAsia="宋体" w:cs="Times New Roman"/>
                      <w:color w:val="auto"/>
                      <w:szCs w:val="21"/>
                      <w:vertAlign w:val="subscript"/>
                    </w:rPr>
                  </w:pPr>
                  <w:r>
                    <w:rPr>
                      <w:rFonts w:hint="default" w:ascii="Times New Roman" w:hAnsi="Times New Roman" w:eastAsia="宋体" w:cs="Times New Roman"/>
                      <w:color w:val="auto"/>
                      <w:szCs w:val="21"/>
                    </w:rPr>
                    <w:t>W3</w:t>
                  </w:r>
                </w:p>
              </w:tc>
              <w:tc>
                <w:tcPr>
                  <w:tcW w:w="1532"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7.91-7.99</w:t>
                  </w:r>
                </w:p>
              </w:tc>
              <w:tc>
                <w:tcPr>
                  <w:tcW w:w="1530"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12-19</w:t>
                  </w:r>
                </w:p>
              </w:tc>
              <w:tc>
                <w:tcPr>
                  <w:tcW w:w="1532"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0.803-0.846</w:t>
                  </w:r>
                </w:p>
              </w:tc>
              <w:tc>
                <w:tcPr>
                  <w:tcW w:w="1534"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0.16-0.18</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283" w:hRule="atLeast"/>
                <w:jc w:val="center"/>
              </w:trPr>
              <w:tc>
                <w:tcPr>
                  <w:tcW w:w="2287"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Ⅳ类标准值</w:t>
                  </w:r>
                </w:p>
              </w:tc>
              <w:tc>
                <w:tcPr>
                  <w:tcW w:w="1532"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6-9</w:t>
                  </w:r>
                </w:p>
              </w:tc>
              <w:tc>
                <w:tcPr>
                  <w:tcW w:w="1530"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≤30</w:t>
                  </w:r>
                </w:p>
              </w:tc>
              <w:tc>
                <w:tcPr>
                  <w:tcW w:w="1532"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≤1.5</w:t>
                  </w:r>
                </w:p>
              </w:tc>
              <w:tc>
                <w:tcPr>
                  <w:tcW w:w="1534"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≤0.3</w:t>
                  </w:r>
                </w:p>
              </w:tc>
            </w:tr>
          </w:tbl>
          <w:p>
            <w:pPr>
              <w:adjustRightInd w:val="0"/>
              <w:snapToGrid w:val="0"/>
              <w:spacing w:line="360" w:lineRule="auto"/>
              <w:ind w:firstLine="480" w:firstLineChars="200"/>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rPr>
              <w:t>监测统计结果表明，武南河断面水质可以满足《地表水环境质量标准》（GB3838-2002）Ⅳ类标准</w:t>
            </w:r>
            <w:r>
              <w:rPr>
                <w:rFonts w:hint="default" w:ascii="Times New Roman" w:hAnsi="Times New Roman" w:eastAsia="宋体" w:cs="Times New Roman"/>
                <w:color w:val="auto"/>
                <w:sz w:val="24"/>
                <w:szCs w:val="22"/>
              </w:rPr>
              <w:t>。</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bCs/>
                <w:color w:val="auto"/>
                <w:sz w:val="24"/>
              </w:rPr>
              <w:t>引用数据有效性分析：本项目引用</w:t>
            </w:r>
            <w:r>
              <w:rPr>
                <w:rFonts w:hint="default" w:ascii="Times New Roman" w:hAnsi="Times New Roman" w:eastAsia="宋体" w:cs="Times New Roman"/>
                <w:color w:val="auto"/>
                <w:sz w:val="24"/>
                <w:szCs w:val="22"/>
              </w:rPr>
              <w:t>江苏久诚检验检测有限公司</w:t>
            </w:r>
            <w:r>
              <w:rPr>
                <w:rFonts w:hint="default" w:ascii="Times New Roman" w:hAnsi="Times New Roman" w:eastAsia="宋体" w:cs="Times New Roman"/>
                <w:bCs/>
                <w:color w:val="auto"/>
                <w:sz w:val="24"/>
              </w:rPr>
              <w:t>于2021年2月24日～2月26日</w:t>
            </w:r>
            <w:r>
              <w:rPr>
                <w:rFonts w:hint="default" w:ascii="Times New Roman" w:hAnsi="Times New Roman" w:eastAsia="宋体" w:cs="Times New Roman"/>
                <w:color w:val="auto"/>
                <w:sz w:val="24"/>
              </w:rPr>
              <w:t>对武南污水处理厂排口上游500米断面和、武南污水处理厂排口断面和武南污水处理厂排口下游1500米断面的监测数据</w:t>
            </w:r>
            <w:r>
              <w:rPr>
                <w:rFonts w:hint="default" w:ascii="Times New Roman" w:hAnsi="Times New Roman" w:eastAsia="宋体" w:cs="Times New Roman"/>
                <w:bCs/>
                <w:color w:val="auto"/>
                <w:sz w:val="24"/>
              </w:rPr>
              <w:t>，引用时间不超过3年，水环境引用时间有效；项目所在区域污染源未发生重大变化，可引用3年内地表水的监测数据；引用点位在项目纳污河道评价范围内，监测方法、频次符合导则要求，则地表水环境引用点位有效。</w:t>
            </w:r>
          </w:p>
          <w:p>
            <w:pPr>
              <w:adjustRightInd w:val="0"/>
              <w:snapToGrid w:val="0"/>
              <w:spacing w:line="360" w:lineRule="auto"/>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3、声环境质量现状</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bCs/>
                <w:color w:val="auto"/>
                <w:sz w:val="24"/>
              </w:rPr>
              <w:t>本项目委托</w:t>
            </w:r>
            <w:r>
              <w:rPr>
                <w:rFonts w:hint="default" w:ascii="Times New Roman" w:hAnsi="Times New Roman" w:eastAsia="宋体" w:cs="Times New Roman"/>
                <w:color w:val="auto"/>
                <w:sz w:val="24"/>
                <w:szCs w:val="22"/>
              </w:rPr>
              <w:t>江苏久诚检验检测有限公司</w:t>
            </w:r>
            <w:r>
              <w:rPr>
                <w:rFonts w:hint="default" w:ascii="Times New Roman" w:hAnsi="Times New Roman" w:eastAsia="宋体" w:cs="Times New Roman"/>
                <w:color w:val="auto"/>
                <w:sz w:val="24"/>
              </w:rPr>
              <w:t>于202</w:t>
            </w:r>
            <w:r>
              <w:rPr>
                <w:rFonts w:hint="eastAsia" w:ascii="Times New Roman" w:hAnsi="Times New Roman" w:eastAsia="宋体" w:cs="Times New Roman"/>
                <w:color w:val="auto"/>
                <w:sz w:val="24"/>
                <w:lang w:val="en-US" w:eastAsia="zh-CN"/>
              </w:rPr>
              <w:t>2年3月14日</w:t>
            </w:r>
            <w:r>
              <w:rPr>
                <w:rFonts w:hint="default" w:ascii="Times New Roman" w:hAnsi="Times New Roman" w:eastAsia="宋体" w:cs="Times New Roman"/>
                <w:color w:val="auto"/>
                <w:sz w:val="24"/>
              </w:rPr>
              <w:t>在厂界四周进行了噪声的实测，监测数据见下表：</w:t>
            </w:r>
          </w:p>
          <w:p>
            <w:pPr>
              <w:adjustRightInd w:val="0"/>
              <w:snapToGrid w:val="0"/>
              <w:jc w:val="center"/>
              <w:rPr>
                <w:rFonts w:hint="default" w:ascii="Times New Roman" w:hAnsi="Times New Roman" w:eastAsia="宋体" w:cs="Times New Roman"/>
                <w:b/>
                <w:bCs/>
                <w:color w:val="auto"/>
                <w:sz w:val="24"/>
              </w:rPr>
            </w:pPr>
            <w:r>
              <w:rPr>
                <w:rFonts w:hint="default" w:ascii="Times New Roman" w:hAnsi="Times New Roman" w:eastAsia="宋体" w:cs="Times New Roman"/>
                <w:b/>
                <w:bCs/>
                <w:snapToGrid w:val="0"/>
                <w:color w:val="auto"/>
                <w:kern w:val="0"/>
                <w:sz w:val="24"/>
              </w:rPr>
              <w:t>表3-5 声环境质量现状</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540"/>
              <w:gridCol w:w="1542"/>
              <w:gridCol w:w="1076"/>
              <w:gridCol w:w="1076"/>
              <w:gridCol w:w="1076"/>
              <w:gridCol w:w="105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41" w:type="pct"/>
                  <w:gridSpan w:val="2"/>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监测点号</w:t>
                  </w:r>
                </w:p>
              </w:tc>
              <w:tc>
                <w:tcPr>
                  <w:tcW w:w="643" w:type="pc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N1（东）</w:t>
                  </w:r>
                </w:p>
              </w:tc>
              <w:tc>
                <w:tcPr>
                  <w:tcW w:w="643" w:type="pc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N2（南）</w:t>
                  </w:r>
                </w:p>
              </w:tc>
              <w:tc>
                <w:tcPr>
                  <w:tcW w:w="643" w:type="pc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N3（西）</w:t>
                  </w:r>
                </w:p>
              </w:tc>
              <w:tc>
                <w:tcPr>
                  <w:tcW w:w="626" w:type="pc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N4（北）</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9" w:type="pct"/>
                  <w:vMerge w:val="restar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202</w:t>
                  </w:r>
                  <w:r>
                    <w:rPr>
                      <w:rFonts w:hint="eastAsia" w:cs="Times New Roman"/>
                      <w:color w:val="auto"/>
                      <w:szCs w:val="21"/>
                      <w:lang w:val="en-US" w:eastAsia="zh-CN"/>
                    </w:rPr>
                    <w:t>2</w:t>
                  </w:r>
                  <w:r>
                    <w:rPr>
                      <w:rFonts w:hint="default" w:ascii="Times New Roman" w:hAnsi="Times New Roman" w:eastAsia="宋体" w:cs="Times New Roman"/>
                      <w:color w:val="auto"/>
                      <w:szCs w:val="21"/>
                    </w:rPr>
                    <w:t>.</w:t>
                  </w:r>
                  <w:r>
                    <w:rPr>
                      <w:rFonts w:hint="eastAsia" w:cs="Times New Roman"/>
                      <w:color w:val="auto"/>
                      <w:szCs w:val="21"/>
                      <w:lang w:val="en-US" w:eastAsia="zh-CN"/>
                    </w:rPr>
                    <w:t>03.14</w:t>
                  </w:r>
                </w:p>
              </w:tc>
              <w:tc>
                <w:tcPr>
                  <w:tcW w:w="922"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昼间dB(A)</w:t>
                  </w:r>
                </w:p>
              </w:tc>
              <w:tc>
                <w:tcPr>
                  <w:tcW w:w="643" w:type="pct"/>
                  <w:vAlign w:val="center"/>
                </w:tcPr>
                <w:p>
                  <w:pPr>
                    <w:adjustRightInd w:val="0"/>
                    <w:snapToGrid w:val="0"/>
                    <w:jc w:val="center"/>
                    <w:rPr>
                      <w:rFonts w:hint="default" w:ascii="Times New Roman" w:hAnsi="Times New Roman" w:eastAsia="宋体" w:cs="Times New Roman"/>
                      <w:color w:val="auto"/>
                      <w:lang w:val="en-US" w:eastAsia="zh-CN"/>
                    </w:rPr>
                  </w:pPr>
                  <w:r>
                    <w:rPr>
                      <w:rFonts w:hint="eastAsia" w:cs="Times New Roman"/>
                      <w:color w:val="auto"/>
                      <w:lang w:val="en-US" w:eastAsia="zh-CN"/>
                    </w:rPr>
                    <w:t>56</w:t>
                  </w:r>
                </w:p>
              </w:tc>
              <w:tc>
                <w:tcPr>
                  <w:tcW w:w="643" w:type="pct"/>
                  <w:vAlign w:val="center"/>
                </w:tcPr>
                <w:p>
                  <w:pPr>
                    <w:adjustRightInd w:val="0"/>
                    <w:snapToGrid w:val="0"/>
                    <w:jc w:val="center"/>
                    <w:rPr>
                      <w:rFonts w:hint="default" w:ascii="Times New Roman" w:hAnsi="Times New Roman" w:eastAsia="宋体" w:cs="Times New Roman"/>
                      <w:color w:val="auto"/>
                      <w:lang w:val="en-US" w:eastAsia="zh-CN"/>
                    </w:rPr>
                  </w:pPr>
                  <w:r>
                    <w:rPr>
                      <w:rFonts w:hint="eastAsia" w:cs="Times New Roman"/>
                      <w:color w:val="auto"/>
                      <w:lang w:val="en-US" w:eastAsia="zh-CN"/>
                    </w:rPr>
                    <w:t>56</w:t>
                  </w:r>
                </w:p>
              </w:tc>
              <w:tc>
                <w:tcPr>
                  <w:tcW w:w="643" w:type="pct"/>
                  <w:vAlign w:val="center"/>
                </w:tcPr>
                <w:p>
                  <w:pPr>
                    <w:adjustRightInd w:val="0"/>
                    <w:snapToGrid w:val="0"/>
                    <w:jc w:val="center"/>
                    <w:rPr>
                      <w:rFonts w:hint="default" w:ascii="Times New Roman" w:hAnsi="Times New Roman" w:eastAsia="宋体" w:cs="Times New Roman"/>
                      <w:color w:val="auto"/>
                      <w:lang w:val="en-US" w:eastAsia="zh-CN"/>
                    </w:rPr>
                  </w:pPr>
                  <w:r>
                    <w:rPr>
                      <w:rFonts w:hint="eastAsia" w:cs="Times New Roman"/>
                      <w:color w:val="auto"/>
                      <w:lang w:val="en-US" w:eastAsia="zh-CN"/>
                    </w:rPr>
                    <w:t>57</w:t>
                  </w:r>
                </w:p>
              </w:tc>
              <w:tc>
                <w:tcPr>
                  <w:tcW w:w="626" w:type="pct"/>
                  <w:vAlign w:val="center"/>
                </w:tcPr>
                <w:p>
                  <w:pPr>
                    <w:adjustRightInd w:val="0"/>
                    <w:snapToGrid w:val="0"/>
                    <w:jc w:val="center"/>
                    <w:rPr>
                      <w:rFonts w:hint="default" w:ascii="Times New Roman" w:hAnsi="Times New Roman" w:eastAsia="宋体" w:cs="Times New Roman"/>
                      <w:color w:val="auto"/>
                      <w:lang w:val="en-US" w:eastAsia="zh-CN"/>
                    </w:rPr>
                  </w:pPr>
                  <w:r>
                    <w:rPr>
                      <w:rFonts w:hint="eastAsia" w:cs="Times New Roman"/>
                      <w:color w:val="auto"/>
                      <w:lang w:val="en-US" w:eastAsia="zh-CN"/>
                    </w:rPr>
                    <w:t>56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9"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922"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夜间dB(A)</w:t>
                  </w:r>
                </w:p>
              </w:tc>
              <w:tc>
                <w:tcPr>
                  <w:tcW w:w="643" w:type="pct"/>
                  <w:vAlign w:val="center"/>
                </w:tcPr>
                <w:p>
                  <w:pPr>
                    <w:adjustRightInd w:val="0"/>
                    <w:snapToGrid w:val="0"/>
                    <w:jc w:val="center"/>
                    <w:rPr>
                      <w:rFonts w:hint="default" w:ascii="Times New Roman" w:hAnsi="Times New Roman" w:eastAsia="宋体" w:cs="Times New Roman"/>
                      <w:color w:val="auto"/>
                      <w:lang w:val="en-US" w:eastAsia="zh-CN"/>
                    </w:rPr>
                  </w:pPr>
                  <w:r>
                    <w:rPr>
                      <w:rFonts w:hint="eastAsia" w:cs="Times New Roman"/>
                      <w:color w:val="auto"/>
                      <w:lang w:val="en-US" w:eastAsia="zh-CN"/>
                    </w:rPr>
                    <w:t>47</w:t>
                  </w:r>
                </w:p>
              </w:tc>
              <w:tc>
                <w:tcPr>
                  <w:tcW w:w="643" w:type="pct"/>
                  <w:vAlign w:val="center"/>
                </w:tcPr>
                <w:p>
                  <w:pPr>
                    <w:adjustRightInd w:val="0"/>
                    <w:snapToGrid w:val="0"/>
                    <w:jc w:val="center"/>
                    <w:rPr>
                      <w:rFonts w:hint="eastAsia" w:ascii="Times New Roman" w:hAnsi="Times New Roman" w:eastAsia="宋体" w:cs="Times New Roman"/>
                      <w:color w:val="auto"/>
                      <w:lang w:eastAsia="zh-CN"/>
                    </w:rPr>
                  </w:pPr>
                  <w:r>
                    <w:rPr>
                      <w:rFonts w:hint="eastAsia" w:cs="Times New Roman"/>
                      <w:color w:val="auto"/>
                      <w:lang w:val="en-US" w:eastAsia="zh-CN"/>
                    </w:rPr>
                    <w:t>46</w:t>
                  </w:r>
                </w:p>
              </w:tc>
              <w:tc>
                <w:tcPr>
                  <w:tcW w:w="1076" w:type="dxa"/>
                  <w:vAlign w:val="center"/>
                </w:tcPr>
                <w:p>
                  <w:pPr>
                    <w:adjustRightInd w:val="0"/>
                    <w:snapToGrid w:val="0"/>
                    <w:jc w:val="center"/>
                    <w:rPr>
                      <w:rFonts w:hint="default" w:ascii="Times New Roman" w:hAnsi="Times New Roman" w:eastAsia="宋体" w:cs="Times New Roman"/>
                      <w:color w:val="auto"/>
                    </w:rPr>
                  </w:pPr>
                  <w:r>
                    <w:rPr>
                      <w:rFonts w:hint="eastAsia" w:cs="Times New Roman"/>
                      <w:color w:val="auto"/>
                      <w:lang w:val="en-US" w:eastAsia="zh-CN"/>
                    </w:rPr>
                    <w:t>47</w:t>
                  </w:r>
                </w:p>
              </w:tc>
              <w:tc>
                <w:tcPr>
                  <w:tcW w:w="1052" w:type="dxa"/>
                  <w:vAlign w:val="center"/>
                </w:tcPr>
                <w:p>
                  <w:pPr>
                    <w:adjustRightInd w:val="0"/>
                    <w:snapToGrid w:val="0"/>
                    <w:jc w:val="center"/>
                    <w:rPr>
                      <w:rFonts w:hint="default" w:ascii="Times New Roman" w:hAnsi="Times New Roman" w:eastAsia="宋体" w:cs="Times New Roman"/>
                      <w:color w:val="auto"/>
                    </w:rPr>
                  </w:pPr>
                  <w:r>
                    <w:rPr>
                      <w:rFonts w:hint="eastAsia" w:cs="Times New Roman"/>
                      <w:color w:val="auto"/>
                      <w:lang w:val="en-US" w:eastAsia="zh-CN"/>
                    </w:rPr>
                    <w:t>46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41" w:type="pct"/>
                  <w:gridSpan w:val="2"/>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噪声标准</w:t>
                  </w:r>
                </w:p>
              </w:tc>
              <w:tc>
                <w:tcPr>
                  <w:tcW w:w="2558" w:type="pct"/>
                  <w:gridSpan w:val="4"/>
                  <w:vAlign w:val="center"/>
                </w:tcPr>
                <w:p>
                  <w:pPr>
                    <w:adjustRightInd w:val="0"/>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rPr>
                    <w:t>昼间≤60dB(A)，</w:t>
                  </w:r>
                  <w:r>
                    <w:rPr>
                      <w:rFonts w:hint="default" w:ascii="Times New Roman" w:hAnsi="Times New Roman" w:eastAsia="宋体" w:cs="Times New Roman"/>
                      <w:color w:val="auto"/>
                      <w:szCs w:val="21"/>
                    </w:rPr>
                    <w:t>夜间</w:t>
                  </w:r>
                  <w:r>
                    <w:rPr>
                      <w:rFonts w:hint="default" w:ascii="Times New Roman" w:hAnsi="Times New Roman" w:eastAsia="宋体" w:cs="Times New Roman"/>
                      <w:color w:val="auto"/>
                    </w:rPr>
                    <w:t>≤50</w:t>
                  </w:r>
                  <w:r>
                    <w:rPr>
                      <w:rFonts w:hint="default" w:ascii="Times New Roman" w:hAnsi="Times New Roman" w:eastAsia="宋体" w:cs="Times New Roman"/>
                      <w:color w:val="auto"/>
                      <w:szCs w:val="21"/>
                    </w:rPr>
                    <w:t>dB(A)</w:t>
                  </w:r>
                </w:p>
              </w:tc>
            </w:tr>
          </w:tbl>
          <w:p>
            <w:pPr>
              <w:tabs>
                <w:tab w:val="left" w:pos="630"/>
              </w:tabs>
              <w:adjustRightInd w:val="0"/>
              <w:snapToGrid w:val="0"/>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由上表可知，项目各</w:t>
            </w:r>
            <w:r>
              <w:rPr>
                <w:rFonts w:hint="default" w:ascii="Times New Roman" w:hAnsi="Times New Roman" w:eastAsia="宋体" w:cs="Times New Roman"/>
                <w:color w:val="auto"/>
                <w:sz w:val="24"/>
              </w:rPr>
              <w:t>厂界昼夜间</w:t>
            </w:r>
            <w:r>
              <w:rPr>
                <w:rFonts w:hint="default" w:ascii="Times New Roman" w:hAnsi="Times New Roman" w:eastAsia="宋体" w:cs="Times New Roman"/>
                <w:bCs/>
                <w:color w:val="auto"/>
                <w:sz w:val="24"/>
              </w:rPr>
              <w:t>噪声均符合</w:t>
            </w:r>
            <w:r>
              <w:rPr>
                <w:rFonts w:hint="default" w:ascii="Times New Roman" w:hAnsi="Times New Roman" w:eastAsia="宋体" w:cs="Times New Roman"/>
                <w:color w:val="auto"/>
                <w:sz w:val="24"/>
              </w:rPr>
              <w:t>《声环境质量标准》（GB3096-2008）中2类标准，即</w:t>
            </w:r>
            <w:r>
              <w:rPr>
                <w:rFonts w:hint="default" w:ascii="Times New Roman" w:hAnsi="Times New Roman" w:eastAsia="宋体" w:cs="Times New Roman"/>
                <w:bCs/>
                <w:color w:val="auto"/>
                <w:sz w:val="24"/>
              </w:rPr>
              <w:t>昼间≤60dB(A)，夜间≤50dB(A)。</w:t>
            </w:r>
          </w:p>
          <w:p>
            <w:pPr>
              <w:spacing w:line="360" w:lineRule="auto"/>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4、生态环境现状</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本项目利用已建成厂房，不新增用地，且厂房范围内无生态环境保护目标。根据《建设项目环境影响报告表编制技术指南（污染影响类）》（试行），无需开展生态环境现状调查。</w:t>
            </w:r>
          </w:p>
          <w:p>
            <w:pPr>
              <w:spacing w:line="360" w:lineRule="auto"/>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5、辐射</w:t>
            </w:r>
          </w:p>
          <w:p>
            <w:pPr>
              <w:tabs>
                <w:tab w:val="left" w:pos="630"/>
              </w:tabs>
              <w:adjustRightInd w:val="0"/>
              <w:snapToGrid w:val="0"/>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本项目不属于广播电台、差转台、电视塔台、卫星地球上行站、雷达等电磁辐射类项目。</w:t>
            </w:r>
          </w:p>
          <w:p>
            <w:pPr>
              <w:adjustRightInd w:val="0"/>
              <w:snapToGrid w:val="0"/>
              <w:spacing w:line="360" w:lineRule="auto"/>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6、地下水</w:t>
            </w:r>
            <w:r>
              <w:rPr>
                <w:rFonts w:hint="default" w:ascii="Times New Roman" w:hAnsi="Times New Roman" w:eastAsia="宋体" w:cs="Times New Roman"/>
                <w:b/>
                <w:color w:val="auto"/>
                <w:sz w:val="24"/>
              </w:rPr>
              <w:t>、土壤环境质量现状</w:t>
            </w:r>
          </w:p>
          <w:p>
            <w:pPr>
              <w:adjustRightInd w:val="0"/>
              <w:snapToGrid w:val="0"/>
              <w:spacing w:line="360" w:lineRule="auto"/>
              <w:ind w:firstLine="480" w:firstLineChars="200"/>
              <w:rPr>
                <w:rFonts w:hint="default" w:ascii="宋体" w:hAnsi="宋体" w:eastAsia="宋体" w:cs="宋体"/>
                <w:color w:val="auto"/>
                <w:sz w:val="24"/>
                <w:szCs w:val="24"/>
              </w:rPr>
            </w:pPr>
            <w:r>
              <w:rPr>
                <w:rFonts w:ascii="宋体" w:hAnsi="宋体" w:eastAsia="宋体" w:cs="宋体"/>
                <w:color w:val="auto"/>
                <w:sz w:val="24"/>
                <w:szCs w:val="24"/>
              </w:rPr>
              <w:t>根据《建设项目环境影响报告表编制技术指南》（污染影响类）：“地下水、 土壤环境原则上不开展环境质量现状调查。建设项目存在土壤、地下水环境污染途径的，应结合污染源、保护目标分布情况开展现状调查以留作背景值。”本项生产过程中使用电泳漆等原料进行生产，厂区涉及表面处理线及污水处理站，若原料包装桶或管线发生破裂，易导致原料或污水泄漏从而影响土壤环境，因此本项目对各车间周边土壤进行布点检测，若企业厂区后期再次进行土壤检测，可与本次数据进行对比，从而判断土壤是否存在受污染趋势。</w:t>
            </w:r>
          </w:p>
          <w:p>
            <w:pPr>
              <w:adjustRightInd w:val="0"/>
              <w:snapToGrid w:val="0"/>
              <w:spacing w:line="360" w:lineRule="auto"/>
              <w:ind w:firstLine="480" w:firstLineChars="200"/>
              <w:rPr>
                <w:rFonts w:hint="default" w:ascii="宋体" w:hAnsi="宋体" w:eastAsia="宋体" w:cs="宋体"/>
                <w:color w:val="auto"/>
                <w:sz w:val="24"/>
                <w:szCs w:val="24"/>
              </w:rPr>
            </w:pPr>
            <w:r>
              <w:rPr>
                <w:rFonts w:ascii="宋体" w:hAnsi="宋体" w:eastAsia="宋体" w:cs="宋体"/>
                <w:color w:val="auto"/>
                <w:sz w:val="24"/>
                <w:szCs w:val="24"/>
              </w:rPr>
              <w:t>本项目委托</w:t>
            </w:r>
            <w:r>
              <w:rPr>
                <w:rFonts w:hint="default" w:ascii="Times New Roman" w:hAnsi="Times New Roman" w:eastAsia="宋体" w:cs="Times New Roman"/>
                <w:color w:val="auto"/>
                <w:sz w:val="24"/>
                <w:szCs w:val="22"/>
              </w:rPr>
              <w:t>江苏久诚检验检测有限公司</w:t>
            </w:r>
            <w:r>
              <w:rPr>
                <w:rFonts w:ascii="宋体" w:hAnsi="宋体" w:eastAsia="宋体" w:cs="宋体"/>
                <w:color w:val="auto"/>
                <w:sz w:val="24"/>
                <w:szCs w:val="24"/>
              </w:rPr>
              <w:t>于202</w:t>
            </w:r>
            <w:r>
              <w:rPr>
                <w:rFonts w:hint="eastAsia" w:ascii="宋体" w:hAnsi="宋体" w:cs="宋体"/>
                <w:color w:val="auto"/>
                <w:sz w:val="24"/>
                <w:szCs w:val="24"/>
                <w:lang w:val="en-US" w:eastAsia="zh-CN"/>
              </w:rPr>
              <w:t>2</w:t>
            </w:r>
            <w:r>
              <w:rPr>
                <w:rFonts w:ascii="宋体" w:hAnsi="宋体" w:eastAsia="宋体" w:cs="宋体"/>
                <w:color w:val="auto"/>
                <w:sz w:val="24"/>
                <w:szCs w:val="24"/>
              </w:rPr>
              <w:t>年</w:t>
            </w:r>
            <w:r>
              <w:rPr>
                <w:rFonts w:hint="eastAsia" w:ascii="宋体" w:hAnsi="宋体" w:cs="宋体"/>
                <w:color w:val="auto"/>
                <w:sz w:val="24"/>
                <w:szCs w:val="24"/>
                <w:lang w:val="en-US" w:eastAsia="zh-CN"/>
              </w:rPr>
              <w:t>3</w:t>
            </w:r>
            <w:r>
              <w:rPr>
                <w:rFonts w:ascii="宋体" w:hAnsi="宋体" w:eastAsia="宋体" w:cs="宋体"/>
                <w:color w:val="auto"/>
                <w:sz w:val="24"/>
                <w:szCs w:val="24"/>
              </w:rPr>
              <w:t>月1</w:t>
            </w:r>
            <w:r>
              <w:rPr>
                <w:rFonts w:hint="eastAsia" w:ascii="宋体" w:hAnsi="宋体" w:cs="宋体"/>
                <w:color w:val="auto"/>
                <w:sz w:val="24"/>
                <w:szCs w:val="24"/>
                <w:lang w:val="en-US" w:eastAsia="zh-CN"/>
              </w:rPr>
              <w:t>4</w:t>
            </w:r>
            <w:r>
              <w:rPr>
                <w:rFonts w:ascii="宋体" w:hAnsi="宋体" w:eastAsia="宋体" w:cs="宋体"/>
                <w:color w:val="auto"/>
                <w:sz w:val="24"/>
                <w:szCs w:val="24"/>
              </w:rPr>
              <w:t>日对本厂区土壤环境现状进行监测，本次环评土壤环境现状监测布设6个点位，在项目厂区内设置3个柱状样点和1个表层样点，厂区外布设</w:t>
            </w:r>
            <w:r>
              <w:rPr>
                <w:rFonts w:hint="eastAsia" w:ascii="宋体" w:hAnsi="宋体" w:cs="宋体"/>
                <w:color w:val="auto"/>
                <w:sz w:val="24"/>
                <w:szCs w:val="24"/>
                <w:lang w:val="en-US" w:eastAsia="zh-CN"/>
              </w:rPr>
              <w:t>2</w:t>
            </w:r>
            <w:r>
              <w:rPr>
                <w:rFonts w:ascii="宋体" w:hAnsi="宋体" w:eastAsia="宋体" w:cs="宋体"/>
                <w:color w:val="auto"/>
                <w:sz w:val="24"/>
                <w:szCs w:val="24"/>
              </w:rPr>
              <w:t>个表层样点。表层样在0</w:t>
            </w:r>
            <w:r>
              <w:rPr>
                <w:rFonts w:hint="eastAsia" w:ascii="宋体" w:hAnsi="宋体" w:cs="宋体"/>
                <w:color w:val="auto"/>
                <w:sz w:val="24"/>
                <w:szCs w:val="24"/>
                <w:lang w:val="en-US" w:eastAsia="zh-CN"/>
              </w:rPr>
              <w:t>-0.2</w:t>
            </w:r>
            <w:r>
              <w:rPr>
                <w:rFonts w:ascii="宋体" w:hAnsi="宋体" w:eastAsia="宋体" w:cs="宋体"/>
                <w:color w:val="auto"/>
                <w:sz w:val="24"/>
                <w:szCs w:val="24"/>
              </w:rPr>
              <w:t>m取样；柱状样通常在0.5m，1.5m，3m分别取样。其中T1~T4位于企业厂区内、T5位于厂区外</w:t>
            </w:r>
            <w:r>
              <w:rPr>
                <w:rFonts w:hint="eastAsia" w:ascii="宋体" w:hAnsi="宋体" w:cs="宋体"/>
                <w:color w:val="auto"/>
                <w:sz w:val="24"/>
                <w:szCs w:val="24"/>
                <w:lang w:val="en-US" w:eastAsia="zh-CN"/>
              </w:rPr>
              <w:t>西北</w:t>
            </w:r>
            <w:r>
              <w:rPr>
                <w:rFonts w:ascii="宋体" w:hAnsi="宋体" w:eastAsia="宋体" w:cs="宋体"/>
                <w:color w:val="auto"/>
                <w:sz w:val="24"/>
                <w:szCs w:val="24"/>
              </w:rPr>
              <w:t>侧、T6位于厂区外</w:t>
            </w:r>
            <w:r>
              <w:rPr>
                <w:rFonts w:hint="eastAsia" w:ascii="宋体" w:hAnsi="宋体" w:cs="宋体"/>
                <w:color w:val="auto"/>
                <w:sz w:val="24"/>
                <w:szCs w:val="24"/>
                <w:lang w:val="en-US" w:eastAsia="zh-CN"/>
              </w:rPr>
              <w:t>东北</w:t>
            </w:r>
            <w:r>
              <w:rPr>
                <w:rFonts w:ascii="宋体" w:hAnsi="宋体" w:eastAsia="宋体" w:cs="宋体"/>
                <w:color w:val="auto"/>
                <w:sz w:val="24"/>
                <w:szCs w:val="24"/>
              </w:rPr>
              <w:t>侧，检测点位见</w:t>
            </w:r>
            <w:r>
              <w:rPr>
                <w:rFonts w:hint="eastAsia" w:ascii="宋体" w:hAnsi="宋体" w:cs="宋体"/>
                <w:color w:val="auto"/>
                <w:sz w:val="24"/>
                <w:szCs w:val="24"/>
                <w:lang w:val="en-US" w:eastAsia="zh-CN"/>
              </w:rPr>
              <w:t>附件监测报告</w:t>
            </w:r>
            <w:r>
              <w:rPr>
                <w:rFonts w:ascii="宋体" w:hAnsi="宋体" w:eastAsia="宋体" w:cs="宋体"/>
                <w:color w:val="auto"/>
                <w:sz w:val="24"/>
                <w:szCs w:val="24"/>
              </w:rPr>
              <w:t>， 检测结果汇总见下表3-5 及 3-6：</w:t>
            </w:r>
          </w:p>
          <w:p>
            <w:pPr>
              <w:adjustRightInd w:val="0"/>
              <w:spacing w:line="360" w:lineRule="auto"/>
              <w:rPr>
                <w:rFonts w:hint="default" w:ascii="Times New Roman" w:hAnsi="Times New Roman" w:eastAsia="宋体" w:cs="Times New Roman"/>
                <w:color w:val="auto"/>
                <w:sz w:val="24"/>
              </w:rPr>
            </w:pPr>
          </w:p>
        </w:tc>
      </w:tr>
    </w:tbl>
    <w:p>
      <w:pPr>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br w:type="page"/>
      </w:r>
    </w:p>
    <w:p>
      <w:pPr>
        <w:rPr>
          <w:rFonts w:hint="default"/>
          <w:color w:val="auto"/>
        </w:rPr>
        <w:sectPr>
          <w:pgSz w:w="11906" w:h="16838"/>
          <w:pgMar w:top="1418" w:right="1418" w:bottom="1191" w:left="1701" w:header="851" w:footer="992" w:gutter="0"/>
          <w:pgBorders>
            <w:top w:val="none" w:sz="0" w:space="0"/>
            <w:left w:val="none" w:sz="0" w:space="0"/>
            <w:bottom w:val="none" w:sz="0" w:space="0"/>
            <w:right w:val="none" w:sz="0" w:space="0"/>
          </w:pgBorders>
          <w:cols w:space="720" w:num="1"/>
          <w:titlePg/>
          <w:docGrid w:type="linesAndChars" w:linePitch="312" w:charSpace="0"/>
        </w:sectPr>
      </w:pPr>
    </w:p>
    <w:tbl>
      <w:tblPr>
        <w:tblStyle w:val="22"/>
        <w:tblpPr w:leftFromText="180" w:rightFromText="180" w:vertAnchor="text" w:horzAnchor="page" w:tblpX="1368" w:tblpY="4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37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0" w:hRule="atLeast"/>
        </w:trPr>
        <w:tc>
          <w:tcPr>
            <w:tcW w:w="426" w:type="dxa"/>
            <w:vAlign w:val="center"/>
          </w:tcPr>
          <w:p>
            <w:pPr>
              <w:adjustRightInd w:val="0"/>
              <w:snapToGrid w:val="0"/>
              <w:jc w:val="center"/>
              <w:rPr>
                <w:rFonts w:hint="default" w:ascii="Times New Roman" w:hAnsi="Times New Roman" w:eastAsia="宋体" w:cs="Times New Roman"/>
                <w:color w:val="auto"/>
                <w:kern w:val="0"/>
                <w:szCs w:val="21"/>
              </w:rPr>
            </w:pPr>
          </w:p>
        </w:tc>
        <w:tc>
          <w:tcPr>
            <w:tcW w:w="13752" w:type="dxa"/>
            <w:vAlign w:val="center"/>
          </w:tcPr>
          <w:tbl>
            <w:tblPr>
              <w:tblStyle w:val="22"/>
              <w:tblW w:w="4999"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431"/>
              <w:gridCol w:w="871"/>
              <w:gridCol w:w="871"/>
              <w:gridCol w:w="871"/>
              <w:gridCol w:w="888"/>
              <w:gridCol w:w="872"/>
              <w:gridCol w:w="872"/>
              <w:gridCol w:w="888"/>
              <w:gridCol w:w="872"/>
              <w:gridCol w:w="872"/>
              <w:gridCol w:w="885"/>
              <w:gridCol w:w="872"/>
              <w:gridCol w:w="912"/>
              <w:gridCol w:w="774"/>
              <w:gridCol w:w="782"/>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vMerge w:val="restart"/>
                  <w:tcBorders>
                    <w:tl2br w:val="nil"/>
                    <w:tr2bl w:val="nil"/>
                  </w:tcBorders>
                  <w:vAlign w:val="center"/>
                </w:tcPr>
                <w:p>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监测因子</w:t>
                  </w:r>
                </w:p>
              </w:tc>
              <w:tc>
                <w:tcPr>
                  <w:tcW w:w="3896" w:type="pct"/>
                  <w:gridSpan w:val="12"/>
                  <w:tcBorders>
                    <w:tl2br w:val="nil"/>
                    <w:tr2bl w:val="nil"/>
                  </w:tcBorders>
                  <w:vAlign w:val="center"/>
                </w:tcPr>
                <w:p>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监测结果</w:t>
                  </w:r>
                </w:p>
              </w:tc>
              <w:tc>
                <w:tcPr>
                  <w:tcW w:w="286" w:type="pct"/>
                  <w:vMerge w:val="restart"/>
                  <w:tcBorders>
                    <w:tl2br w:val="nil"/>
                    <w:tr2bl w:val="nil"/>
                  </w:tcBorders>
                  <w:vAlign w:val="center"/>
                </w:tcPr>
                <w:p>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筛选值</w:t>
                  </w:r>
                </w:p>
              </w:tc>
              <w:tc>
                <w:tcPr>
                  <w:tcW w:w="289" w:type="pct"/>
                  <w:vMerge w:val="restart"/>
                  <w:tcBorders>
                    <w:tl2br w:val="nil"/>
                    <w:tr2bl w:val="nil"/>
                  </w:tcBorders>
                  <w:vAlign w:val="center"/>
                </w:tcPr>
                <w:p>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管制值</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vMerge w:val="continue"/>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p>
              </w:tc>
              <w:tc>
                <w:tcPr>
                  <w:tcW w:w="322" w:type="pct"/>
                  <w:tcBorders>
                    <w:tl2br w:val="nil"/>
                    <w:tr2bl w:val="nil"/>
                  </w:tcBorders>
                  <w:vAlign w:val="center"/>
                </w:tcPr>
                <w:p>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表层样T1</w:t>
                  </w:r>
                </w:p>
              </w:tc>
              <w:tc>
                <w:tcPr>
                  <w:tcW w:w="972" w:type="pct"/>
                  <w:gridSpan w:val="3"/>
                  <w:tcBorders>
                    <w:tl2br w:val="nil"/>
                    <w:tr2bl w:val="nil"/>
                  </w:tcBorders>
                  <w:vAlign w:val="center"/>
                </w:tcPr>
                <w:p>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柱状样T2</w:t>
                  </w:r>
                </w:p>
              </w:tc>
              <w:tc>
                <w:tcPr>
                  <w:tcW w:w="972" w:type="pct"/>
                  <w:gridSpan w:val="3"/>
                  <w:tcBorders>
                    <w:tl2br w:val="nil"/>
                    <w:tr2bl w:val="nil"/>
                  </w:tcBorders>
                  <w:vAlign w:val="center"/>
                </w:tcPr>
                <w:p>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柱状样T3</w:t>
                  </w:r>
                </w:p>
              </w:tc>
              <w:tc>
                <w:tcPr>
                  <w:tcW w:w="971" w:type="pct"/>
                  <w:gridSpan w:val="3"/>
                  <w:tcBorders>
                    <w:tl2br w:val="nil"/>
                    <w:tr2bl w:val="nil"/>
                  </w:tcBorders>
                  <w:vAlign w:val="center"/>
                </w:tcPr>
                <w:p>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柱状样T4</w:t>
                  </w:r>
                </w:p>
              </w:tc>
              <w:tc>
                <w:tcPr>
                  <w:tcW w:w="322" w:type="pct"/>
                  <w:tcBorders>
                    <w:tl2br w:val="nil"/>
                    <w:tr2bl w:val="nil"/>
                  </w:tcBorders>
                  <w:vAlign w:val="center"/>
                </w:tcPr>
                <w:p>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表层样T5</w:t>
                  </w:r>
                </w:p>
              </w:tc>
              <w:tc>
                <w:tcPr>
                  <w:tcW w:w="337" w:type="pct"/>
                  <w:tcBorders>
                    <w:tl2br w:val="nil"/>
                    <w:tr2bl w:val="nil"/>
                  </w:tcBorders>
                  <w:vAlign w:val="center"/>
                </w:tcPr>
                <w:p>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表层样T6</w:t>
                  </w:r>
                </w:p>
              </w:tc>
              <w:tc>
                <w:tcPr>
                  <w:tcW w:w="286" w:type="pct"/>
                  <w:vMerge w:val="continue"/>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p>
              </w:tc>
              <w:tc>
                <w:tcPr>
                  <w:tcW w:w="289" w:type="pct"/>
                  <w:vMerge w:val="continue"/>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vMerge w:val="continue"/>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p>
              </w:tc>
              <w:tc>
                <w:tcPr>
                  <w:tcW w:w="322" w:type="pct"/>
                  <w:tcBorders>
                    <w:tl2br w:val="nil"/>
                    <w:tr2bl w:val="nil"/>
                  </w:tcBorders>
                  <w:vAlign w:val="center"/>
                </w:tcPr>
                <w:p>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0-0.2m</w:t>
                  </w:r>
                </w:p>
              </w:tc>
              <w:tc>
                <w:tcPr>
                  <w:tcW w:w="322" w:type="pct"/>
                  <w:tcBorders>
                    <w:tl2br w:val="nil"/>
                    <w:tr2bl w:val="nil"/>
                  </w:tcBorders>
                  <w:vAlign w:val="center"/>
                </w:tcPr>
                <w:p>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0-0.5m</w:t>
                  </w:r>
                </w:p>
              </w:tc>
              <w:tc>
                <w:tcPr>
                  <w:tcW w:w="322" w:type="pct"/>
                  <w:tcBorders>
                    <w:tl2br w:val="nil"/>
                    <w:tr2bl w:val="nil"/>
                  </w:tcBorders>
                  <w:vAlign w:val="center"/>
                </w:tcPr>
                <w:p>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1.0-1.5m</w:t>
                  </w:r>
                </w:p>
              </w:tc>
              <w:tc>
                <w:tcPr>
                  <w:tcW w:w="328" w:type="pct"/>
                  <w:tcBorders>
                    <w:tl2br w:val="nil"/>
                    <w:tr2bl w:val="nil"/>
                  </w:tcBorders>
                  <w:vAlign w:val="center"/>
                </w:tcPr>
                <w:p>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2.5-3.0m</w:t>
                  </w:r>
                </w:p>
              </w:tc>
              <w:tc>
                <w:tcPr>
                  <w:tcW w:w="322" w:type="pct"/>
                  <w:tcBorders>
                    <w:tl2br w:val="nil"/>
                    <w:tr2bl w:val="nil"/>
                  </w:tcBorders>
                  <w:vAlign w:val="center"/>
                </w:tcPr>
                <w:p>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0-0.5m</w:t>
                  </w:r>
                </w:p>
              </w:tc>
              <w:tc>
                <w:tcPr>
                  <w:tcW w:w="322" w:type="pct"/>
                  <w:tcBorders>
                    <w:tl2br w:val="nil"/>
                    <w:tr2bl w:val="nil"/>
                  </w:tcBorders>
                  <w:vAlign w:val="center"/>
                </w:tcPr>
                <w:p>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1.0-1.5m</w:t>
                  </w:r>
                </w:p>
              </w:tc>
              <w:tc>
                <w:tcPr>
                  <w:tcW w:w="328" w:type="pct"/>
                  <w:tcBorders>
                    <w:tl2br w:val="nil"/>
                    <w:tr2bl w:val="nil"/>
                  </w:tcBorders>
                  <w:vAlign w:val="center"/>
                </w:tcPr>
                <w:p>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2.5-3.0m</w:t>
                  </w:r>
                </w:p>
              </w:tc>
              <w:tc>
                <w:tcPr>
                  <w:tcW w:w="322" w:type="pct"/>
                  <w:tcBorders>
                    <w:tl2br w:val="nil"/>
                    <w:tr2bl w:val="nil"/>
                  </w:tcBorders>
                  <w:vAlign w:val="center"/>
                </w:tcPr>
                <w:p>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0-0.5m</w:t>
                  </w:r>
                </w:p>
              </w:tc>
              <w:tc>
                <w:tcPr>
                  <w:tcW w:w="322" w:type="pct"/>
                  <w:tcBorders>
                    <w:tl2br w:val="nil"/>
                    <w:tr2bl w:val="nil"/>
                  </w:tcBorders>
                  <w:vAlign w:val="center"/>
                </w:tcPr>
                <w:p>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1.0-1.5m</w:t>
                  </w:r>
                </w:p>
              </w:tc>
              <w:tc>
                <w:tcPr>
                  <w:tcW w:w="327" w:type="pct"/>
                  <w:tcBorders>
                    <w:tl2br w:val="nil"/>
                    <w:tr2bl w:val="nil"/>
                  </w:tcBorders>
                  <w:vAlign w:val="center"/>
                </w:tcPr>
                <w:p>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2.5-3.0m</w:t>
                  </w:r>
                </w:p>
              </w:tc>
              <w:tc>
                <w:tcPr>
                  <w:tcW w:w="322" w:type="pct"/>
                  <w:tcBorders>
                    <w:tl2br w:val="nil"/>
                    <w:tr2bl w:val="nil"/>
                  </w:tcBorders>
                  <w:vAlign w:val="center"/>
                </w:tcPr>
                <w:p>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0-0.2m</w:t>
                  </w:r>
                </w:p>
              </w:tc>
              <w:tc>
                <w:tcPr>
                  <w:tcW w:w="337" w:type="pct"/>
                  <w:tcBorders>
                    <w:tl2br w:val="nil"/>
                    <w:tr2bl w:val="nil"/>
                  </w:tcBorders>
                  <w:vAlign w:val="center"/>
                </w:tcPr>
                <w:p>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0-0.2m</w:t>
                  </w:r>
                </w:p>
              </w:tc>
              <w:tc>
                <w:tcPr>
                  <w:tcW w:w="286" w:type="pct"/>
                  <w:vMerge w:val="continue"/>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p>
              </w:tc>
              <w:tc>
                <w:tcPr>
                  <w:tcW w:w="289" w:type="pct"/>
                  <w:vMerge w:val="continue"/>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pH</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7.38</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7.41</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7.52</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7.49</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7.38</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7.42</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7.51</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7.35</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7.38</w:t>
                  </w:r>
                </w:p>
              </w:tc>
              <w:tc>
                <w:tcPr>
                  <w:tcW w:w="32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7.49</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7.40</w:t>
                  </w:r>
                </w:p>
              </w:tc>
              <w:tc>
                <w:tcPr>
                  <w:tcW w:w="33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7.16</w:t>
                  </w:r>
                </w:p>
              </w:tc>
              <w:tc>
                <w:tcPr>
                  <w:tcW w:w="286"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w:t>
                  </w:r>
                </w:p>
              </w:tc>
              <w:tc>
                <w:tcPr>
                  <w:tcW w:w="28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砷</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7.84</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5.82</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7.92</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6.71</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6.58</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6.07</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5.81</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8.24</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6.36</w:t>
                  </w:r>
                </w:p>
              </w:tc>
              <w:tc>
                <w:tcPr>
                  <w:tcW w:w="32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7.60</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11.5</w:t>
                  </w:r>
                </w:p>
              </w:tc>
              <w:tc>
                <w:tcPr>
                  <w:tcW w:w="33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7.40</w:t>
                  </w:r>
                </w:p>
              </w:tc>
              <w:tc>
                <w:tcPr>
                  <w:tcW w:w="286"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60</w:t>
                  </w:r>
                </w:p>
              </w:tc>
              <w:tc>
                <w:tcPr>
                  <w:tcW w:w="28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140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镉</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0.12</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0.12</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0.12</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0.11</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0.12</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0.13</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0.13</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0.12</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0.14</w:t>
                  </w:r>
                </w:p>
              </w:tc>
              <w:tc>
                <w:tcPr>
                  <w:tcW w:w="32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0.14</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0.30</w:t>
                  </w:r>
                </w:p>
              </w:tc>
              <w:tc>
                <w:tcPr>
                  <w:tcW w:w="33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0.37</w:t>
                  </w:r>
                </w:p>
              </w:tc>
              <w:tc>
                <w:tcPr>
                  <w:tcW w:w="286"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65</w:t>
                  </w:r>
                </w:p>
              </w:tc>
              <w:tc>
                <w:tcPr>
                  <w:tcW w:w="28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172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铬（六价）</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7"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3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286"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5.7</w:t>
                  </w:r>
                </w:p>
              </w:tc>
              <w:tc>
                <w:tcPr>
                  <w:tcW w:w="28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78</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铜</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37</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36</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29</w:t>
                  </w:r>
                </w:p>
              </w:tc>
              <w:tc>
                <w:tcPr>
                  <w:tcW w:w="328"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30</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33</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31</w:t>
                  </w:r>
                </w:p>
              </w:tc>
              <w:tc>
                <w:tcPr>
                  <w:tcW w:w="328"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33</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33</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31</w:t>
                  </w:r>
                </w:p>
              </w:tc>
              <w:tc>
                <w:tcPr>
                  <w:tcW w:w="327"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33</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50</w:t>
                  </w:r>
                </w:p>
              </w:tc>
              <w:tc>
                <w:tcPr>
                  <w:tcW w:w="337"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48</w:t>
                  </w:r>
                </w:p>
              </w:tc>
              <w:tc>
                <w:tcPr>
                  <w:tcW w:w="286"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18000</w:t>
                  </w:r>
                </w:p>
              </w:tc>
              <w:tc>
                <w:tcPr>
                  <w:tcW w:w="289"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36000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铅</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34</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31</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38</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30</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33</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36</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36</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37</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37</w:t>
                  </w:r>
                </w:p>
              </w:tc>
              <w:tc>
                <w:tcPr>
                  <w:tcW w:w="32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37</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56</w:t>
                  </w:r>
                </w:p>
              </w:tc>
              <w:tc>
                <w:tcPr>
                  <w:tcW w:w="33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59</w:t>
                  </w:r>
                </w:p>
              </w:tc>
              <w:tc>
                <w:tcPr>
                  <w:tcW w:w="286"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800</w:t>
                  </w:r>
                </w:p>
              </w:tc>
              <w:tc>
                <w:tcPr>
                  <w:tcW w:w="28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2500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汞</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0.079</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0.022</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0.054</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0.046</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0.050</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0.056</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0.053</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0.051</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0.063</w:t>
                  </w:r>
                </w:p>
              </w:tc>
              <w:tc>
                <w:tcPr>
                  <w:tcW w:w="32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0.045</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0.158</w:t>
                  </w:r>
                </w:p>
              </w:tc>
              <w:tc>
                <w:tcPr>
                  <w:tcW w:w="33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0.088</w:t>
                  </w:r>
                </w:p>
              </w:tc>
              <w:tc>
                <w:tcPr>
                  <w:tcW w:w="286"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38</w:t>
                  </w:r>
                </w:p>
              </w:tc>
              <w:tc>
                <w:tcPr>
                  <w:tcW w:w="28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82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镍</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34</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40</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30</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32</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34</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34</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34</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33</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28</w:t>
                  </w:r>
                </w:p>
              </w:tc>
              <w:tc>
                <w:tcPr>
                  <w:tcW w:w="32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33</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42</w:t>
                  </w:r>
                </w:p>
              </w:tc>
              <w:tc>
                <w:tcPr>
                  <w:tcW w:w="33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31</w:t>
                  </w:r>
                </w:p>
              </w:tc>
              <w:tc>
                <w:tcPr>
                  <w:tcW w:w="286"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900</w:t>
                  </w:r>
                </w:p>
              </w:tc>
              <w:tc>
                <w:tcPr>
                  <w:tcW w:w="28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2000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四氯化碳</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37"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286"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2.8</w:t>
                  </w:r>
                </w:p>
              </w:tc>
              <w:tc>
                <w:tcPr>
                  <w:tcW w:w="28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36</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氯仿</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37"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286"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0.9</w:t>
                  </w:r>
                </w:p>
              </w:tc>
              <w:tc>
                <w:tcPr>
                  <w:tcW w:w="28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氯甲烷</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37"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286"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37</w:t>
                  </w:r>
                </w:p>
              </w:tc>
              <w:tc>
                <w:tcPr>
                  <w:tcW w:w="28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120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1,1-二氯乙烷</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37"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286"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9</w:t>
                  </w:r>
                </w:p>
              </w:tc>
              <w:tc>
                <w:tcPr>
                  <w:tcW w:w="28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1,2-二氯乙烷</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37"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286"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w:t>
                  </w:r>
                </w:p>
              </w:tc>
              <w:tc>
                <w:tcPr>
                  <w:tcW w:w="28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1,1-二氯乙烯</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37"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286"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66</w:t>
                  </w:r>
                </w:p>
              </w:tc>
              <w:tc>
                <w:tcPr>
                  <w:tcW w:w="28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顺-1,2-二氯乙烯</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37"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286"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596</w:t>
                  </w:r>
                </w:p>
              </w:tc>
              <w:tc>
                <w:tcPr>
                  <w:tcW w:w="28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2000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反-1,2-二氯乙烯</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37"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286"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54</w:t>
                  </w:r>
                </w:p>
              </w:tc>
              <w:tc>
                <w:tcPr>
                  <w:tcW w:w="28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163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二氯甲烷</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37"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286"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616</w:t>
                  </w:r>
                </w:p>
              </w:tc>
              <w:tc>
                <w:tcPr>
                  <w:tcW w:w="28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2000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1,2-二氯丙烷</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37"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286"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w:t>
                  </w:r>
                </w:p>
              </w:tc>
              <w:tc>
                <w:tcPr>
                  <w:tcW w:w="28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1,1,1,2-四氯乙烷</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37"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286"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10</w:t>
                  </w:r>
                </w:p>
              </w:tc>
              <w:tc>
                <w:tcPr>
                  <w:tcW w:w="28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1,1,2,2-四氯乙烷</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37"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286"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6.8</w:t>
                  </w:r>
                </w:p>
              </w:tc>
              <w:tc>
                <w:tcPr>
                  <w:tcW w:w="28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四氯乙烯</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37"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286"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53</w:t>
                  </w:r>
                </w:p>
              </w:tc>
              <w:tc>
                <w:tcPr>
                  <w:tcW w:w="28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183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1,1,1-三氯乙烷</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37"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286"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840</w:t>
                  </w:r>
                </w:p>
              </w:tc>
              <w:tc>
                <w:tcPr>
                  <w:tcW w:w="28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840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1,1,2-三氯乙烷</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37"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286"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2.8</w:t>
                  </w:r>
                </w:p>
              </w:tc>
              <w:tc>
                <w:tcPr>
                  <w:tcW w:w="28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三氯乙烯</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37"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286"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2.8</w:t>
                  </w:r>
                </w:p>
              </w:tc>
              <w:tc>
                <w:tcPr>
                  <w:tcW w:w="28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1,2,3-三氯丙烷</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37"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286"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0.5</w:t>
                  </w:r>
                </w:p>
              </w:tc>
              <w:tc>
                <w:tcPr>
                  <w:tcW w:w="28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氯乙烯</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37"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286"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0.43</w:t>
                  </w:r>
                </w:p>
              </w:tc>
              <w:tc>
                <w:tcPr>
                  <w:tcW w:w="28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苯</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37"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286"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w:t>
                  </w:r>
                </w:p>
              </w:tc>
              <w:tc>
                <w:tcPr>
                  <w:tcW w:w="28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氯苯</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37"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286"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270</w:t>
                  </w:r>
                </w:p>
              </w:tc>
              <w:tc>
                <w:tcPr>
                  <w:tcW w:w="28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1000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1,2-二氯苯</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37"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286"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560</w:t>
                  </w:r>
                </w:p>
              </w:tc>
              <w:tc>
                <w:tcPr>
                  <w:tcW w:w="28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560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1,4-二氯苯</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37"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286"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20</w:t>
                  </w:r>
                </w:p>
              </w:tc>
              <w:tc>
                <w:tcPr>
                  <w:tcW w:w="28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乙苯</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37"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286"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28</w:t>
                  </w:r>
                </w:p>
              </w:tc>
              <w:tc>
                <w:tcPr>
                  <w:tcW w:w="28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280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苯乙烯</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37"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286"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1290</w:t>
                  </w:r>
                </w:p>
              </w:tc>
              <w:tc>
                <w:tcPr>
                  <w:tcW w:w="28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1290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甲苯</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37"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286"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1200</w:t>
                  </w:r>
                </w:p>
              </w:tc>
              <w:tc>
                <w:tcPr>
                  <w:tcW w:w="28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1200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间二甲苯+对二甲苯</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37"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286"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570</w:t>
                  </w:r>
                </w:p>
              </w:tc>
              <w:tc>
                <w:tcPr>
                  <w:tcW w:w="28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570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邻二甲苯</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37"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286"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640</w:t>
                  </w:r>
                </w:p>
              </w:tc>
              <w:tc>
                <w:tcPr>
                  <w:tcW w:w="28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640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硝基苯</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37"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286"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76</w:t>
                  </w:r>
                </w:p>
              </w:tc>
              <w:tc>
                <w:tcPr>
                  <w:tcW w:w="28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760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苯胺</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37"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286"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260</w:t>
                  </w:r>
                </w:p>
              </w:tc>
              <w:tc>
                <w:tcPr>
                  <w:tcW w:w="28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663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2-氯酚</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37"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286"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2256</w:t>
                  </w:r>
                </w:p>
              </w:tc>
              <w:tc>
                <w:tcPr>
                  <w:tcW w:w="28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4500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苯并[a]蔥</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37"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286"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15</w:t>
                  </w:r>
                </w:p>
              </w:tc>
              <w:tc>
                <w:tcPr>
                  <w:tcW w:w="28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151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苯并[a]芘</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37"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286"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1.5</w:t>
                  </w:r>
                </w:p>
              </w:tc>
              <w:tc>
                <w:tcPr>
                  <w:tcW w:w="28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苯并[b]荧蔥</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37"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286"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15</w:t>
                  </w:r>
                </w:p>
              </w:tc>
              <w:tc>
                <w:tcPr>
                  <w:tcW w:w="28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151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苯并[k]荧蔥</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37"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286"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151</w:t>
                  </w:r>
                </w:p>
              </w:tc>
              <w:tc>
                <w:tcPr>
                  <w:tcW w:w="28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1500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䓛</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37"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286"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1293</w:t>
                  </w:r>
                </w:p>
              </w:tc>
              <w:tc>
                <w:tcPr>
                  <w:tcW w:w="28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12900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二苯并[a,h]蔥</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37"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286"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1.5</w:t>
                  </w:r>
                </w:p>
              </w:tc>
              <w:tc>
                <w:tcPr>
                  <w:tcW w:w="28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茚并[1,2,3-cd]芘</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37"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286"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15</w:t>
                  </w:r>
                </w:p>
              </w:tc>
              <w:tc>
                <w:tcPr>
                  <w:tcW w:w="28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151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29"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萘</w:t>
                  </w:r>
                </w:p>
              </w:tc>
              <w:tc>
                <w:tcPr>
                  <w:tcW w:w="322"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8"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7"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22"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337" w:type="pct"/>
                  <w:tcBorders>
                    <w:tl2br w:val="nil"/>
                    <w:tr2bl w:val="nil"/>
                  </w:tcBorders>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ND</w:t>
                  </w:r>
                </w:p>
              </w:tc>
              <w:tc>
                <w:tcPr>
                  <w:tcW w:w="286"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70</w:t>
                  </w:r>
                </w:p>
              </w:tc>
              <w:tc>
                <w:tcPr>
                  <w:tcW w:w="289" w:type="pct"/>
                  <w:tcBorders>
                    <w:tl2br w:val="nil"/>
                    <w:tr2bl w:val="nil"/>
                  </w:tcBorders>
                  <w:vAlign w:val="center"/>
                </w:tcPr>
                <w:p>
                  <w:pPr>
                    <w:pStyle w:val="5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700</w:t>
                  </w:r>
                </w:p>
              </w:tc>
            </w:tr>
          </w:tbl>
          <w:p>
            <w:pPr>
              <w:adjustRightInd w:val="0"/>
              <w:spacing w:line="360" w:lineRule="auto"/>
              <w:rPr>
                <w:rFonts w:hint="default" w:ascii="Times New Roman" w:hAnsi="Times New Roman" w:eastAsia="宋体" w:cs="Times New Roman"/>
                <w:color w:val="auto"/>
                <w:sz w:val="24"/>
              </w:rPr>
            </w:pPr>
          </w:p>
        </w:tc>
      </w:tr>
    </w:tbl>
    <w:p>
      <w:pPr>
        <w:rPr>
          <w:rFonts w:hint="default"/>
          <w:color w:val="auto"/>
        </w:rPr>
      </w:pPr>
      <w:r>
        <w:rPr>
          <w:rFonts w:hint="default"/>
          <w:color w:val="auto"/>
        </w:rPr>
        <w:br w:type="page"/>
      </w:r>
    </w:p>
    <w:p>
      <w:pPr>
        <w:rPr>
          <w:rFonts w:hint="default"/>
          <w:color w:val="auto"/>
        </w:rPr>
      </w:pPr>
    </w:p>
    <w:p>
      <w:pPr>
        <w:pStyle w:val="2"/>
        <w:rPr>
          <w:rFonts w:hint="default"/>
          <w:color w:val="auto"/>
        </w:rPr>
        <w:sectPr>
          <w:pgSz w:w="16838" w:h="11906" w:orient="landscape"/>
          <w:pgMar w:top="1701" w:right="1418" w:bottom="1418" w:left="1191" w:header="851" w:footer="992" w:gutter="0"/>
          <w:pgBorders>
            <w:top w:val="none" w:sz="0" w:space="0"/>
            <w:left w:val="none" w:sz="0" w:space="0"/>
            <w:bottom w:val="none" w:sz="0" w:space="0"/>
            <w:right w:val="none" w:sz="0" w:space="0"/>
          </w:pgBorders>
          <w:cols w:space="720" w:num="1"/>
          <w:titlePg/>
          <w:docGrid w:type="linesAndChars" w:linePitch="312" w:charSpace="0"/>
        </w:sectPr>
      </w:pP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86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426" w:type="dxa"/>
            <w:vAlign w:val="center"/>
          </w:tcPr>
          <w:p>
            <w:pPr>
              <w:adjustRightInd w:val="0"/>
              <w:snapToGri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环境保护目标</w:t>
            </w:r>
          </w:p>
        </w:tc>
        <w:tc>
          <w:tcPr>
            <w:tcW w:w="8633" w:type="dxa"/>
            <w:vAlign w:val="center"/>
          </w:tcPr>
          <w:p>
            <w:pPr>
              <w:adjustRightInd w:val="0"/>
              <w:snapToGrid w:val="0"/>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1、大气环境</w:t>
            </w:r>
          </w:p>
          <w:p>
            <w:pPr>
              <w:adjustRightInd w:val="0"/>
              <w:snapToGrid w:val="0"/>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项目周围主要环境保护目标见下表：</w:t>
            </w:r>
          </w:p>
          <w:p>
            <w:pPr>
              <w:autoSpaceDE w:val="0"/>
              <w:autoSpaceDN w:val="0"/>
              <w:adjustRightInd w:val="0"/>
              <w:snapToGrid w:val="0"/>
              <w:jc w:val="center"/>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表3-6 项目环境保护目标一览表</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49"/>
              <w:gridCol w:w="1784"/>
              <w:gridCol w:w="1066"/>
              <w:gridCol w:w="717"/>
              <w:gridCol w:w="1117"/>
              <w:gridCol w:w="1080"/>
              <w:gridCol w:w="190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44" w:type="pct"/>
                  <w:vMerge w:val="restar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环境</w:t>
                  </w:r>
                </w:p>
              </w:tc>
              <w:tc>
                <w:tcPr>
                  <w:tcW w:w="1059" w:type="pct"/>
                  <w:vMerge w:val="restar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环境保护对象</w:t>
                  </w:r>
                </w:p>
              </w:tc>
              <w:tc>
                <w:tcPr>
                  <w:tcW w:w="633" w:type="pct"/>
                  <w:vMerge w:val="restar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保护内容</w:t>
                  </w:r>
                </w:p>
              </w:tc>
              <w:tc>
                <w:tcPr>
                  <w:tcW w:w="425" w:type="pct"/>
                  <w:vMerge w:val="restar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方位</w:t>
                  </w:r>
                </w:p>
              </w:tc>
              <w:tc>
                <w:tcPr>
                  <w:tcW w:w="663" w:type="pct"/>
                  <w:vMerge w:val="restar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距离（m）</w:t>
                  </w:r>
                </w:p>
              </w:tc>
              <w:tc>
                <w:tcPr>
                  <w:tcW w:w="641" w:type="pct"/>
                  <w:vMerge w:val="restar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规模</w:t>
                  </w:r>
                </w:p>
              </w:tc>
              <w:tc>
                <w:tcPr>
                  <w:tcW w:w="1131" w:type="pct"/>
                  <w:vMerge w:val="restar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环境功能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44"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1059"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633"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425"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663"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641"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1131" w:type="pct"/>
                  <w:vMerge w:val="continue"/>
                  <w:vAlign w:val="center"/>
                </w:tcPr>
                <w:p>
                  <w:pPr>
                    <w:adjustRightInd w:val="0"/>
                    <w:snapToGrid w:val="0"/>
                    <w:jc w:val="center"/>
                    <w:rPr>
                      <w:rFonts w:hint="default" w:ascii="Times New Roman" w:hAnsi="Times New Roman" w:eastAsia="宋体" w:cs="Times New Roman"/>
                      <w:color w:val="auto"/>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44" w:type="pct"/>
                  <w:vMerge w:val="restar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大气</w:t>
                  </w:r>
                </w:p>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环境</w:t>
                  </w:r>
                </w:p>
              </w:tc>
              <w:tc>
                <w:tcPr>
                  <w:tcW w:w="1059" w:type="pct"/>
                  <w:vAlign w:val="center"/>
                </w:tcPr>
                <w:p>
                  <w:pPr>
                    <w:tabs>
                      <w:tab w:val="left" w:pos="1021"/>
                    </w:tabs>
                    <w:adjustRightInd w:val="0"/>
                    <w:snapToGrid w:val="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val="en-US" w:eastAsia="zh-CN"/>
                    </w:rPr>
                    <w:t>小沟村</w:t>
                  </w:r>
                </w:p>
              </w:tc>
              <w:tc>
                <w:tcPr>
                  <w:tcW w:w="633" w:type="pct"/>
                  <w:vMerge w:val="restar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居民</w:t>
                  </w:r>
                </w:p>
              </w:tc>
              <w:tc>
                <w:tcPr>
                  <w:tcW w:w="425"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NW</w:t>
                  </w:r>
                </w:p>
              </w:tc>
              <w:tc>
                <w:tcPr>
                  <w:tcW w:w="663" w:type="pct"/>
                  <w:vAlign w:val="center"/>
                </w:tcPr>
                <w:p>
                  <w:pPr>
                    <w:pStyle w:val="61"/>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108</w:t>
                  </w:r>
                </w:p>
              </w:tc>
              <w:tc>
                <w:tcPr>
                  <w:tcW w:w="641"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20户</w:t>
                  </w:r>
                </w:p>
              </w:tc>
              <w:tc>
                <w:tcPr>
                  <w:tcW w:w="1131" w:type="pct"/>
                  <w:vMerge w:val="restar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《环境空气质量标准》（GB3095-2012）中二级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44"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1059" w:type="pct"/>
                  <w:vAlign w:val="center"/>
                </w:tcPr>
                <w:p>
                  <w:pPr>
                    <w:tabs>
                      <w:tab w:val="left" w:pos="1021"/>
                    </w:tabs>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振鑫花园</w:t>
                  </w:r>
                </w:p>
              </w:tc>
              <w:tc>
                <w:tcPr>
                  <w:tcW w:w="633"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425"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NW</w:t>
                  </w:r>
                </w:p>
              </w:tc>
              <w:tc>
                <w:tcPr>
                  <w:tcW w:w="663" w:type="pct"/>
                  <w:vAlign w:val="center"/>
                </w:tcPr>
                <w:p>
                  <w:pPr>
                    <w:pStyle w:val="61"/>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274</w:t>
                  </w:r>
                </w:p>
              </w:tc>
              <w:tc>
                <w:tcPr>
                  <w:tcW w:w="641"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300户</w:t>
                  </w:r>
                </w:p>
              </w:tc>
              <w:tc>
                <w:tcPr>
                  <w:tcW w:w="1131" w:type="pct"/>
                  <w:vMerge w:val="continue"/>
                  <w:vAlign w:val="center"/>
                </w:tcPr>
                <w:p>
                  <w:pPr>
                    <w:adjustRightInd w:val="0"/>
                    <w:snapToGrid w:val="0"/>
                    <w:jc w:val="center"/>
                    <w:rPr>
                      <w:rFonts w:hint="default" w:ascii="Times New Roman" w:hAnsi="Times New Roman" w:eastAsia="宋体" w:cs="Times New Roman"/>
                      <w:color w:val="auto"/>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44"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1059" w:type="pct"/>
                  <w:vAlign w:val="center"/>
                </w:tcPr>
                <w:p>
                  <w:pPr>
                    <w:tabs>
                      <w:tab w:val="left" w:pos="1021"/>
                    </w:tabs>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秦庄里</w:t>
                  </w:r>
                </w:p>
              </w:tc>
              <w:tc>
                <w:tcPr>
                  <w:tcW w:w="633"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425"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NW</w:t>
                  </w:r>
                </w:p>
              </w:tc>
              <w:tc>
                <w:tcPr>
                  <w:tcW w:w="663" w:type="pct"/>
                  <w:vAlign w:val="center"/>
                </w:tcPr>
                <w:p>
                  <w:pPr>
                    <w:pStyle w:val="61"/>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443</w:t>
                  </w:r>
                </w:p>
              </w:tc>
              <w:tc>
                <w:tcPr>
                  <w:tcW w:w="641"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20户</w:t>
                  </w:r>
                </w:p>
              </w:tc>
              <w:tc>
                <w:tcPr>
                  <w:tcW w:w="1131" w:type="pct"/>
                  <w:vMerge w:val="continue"/>
                  <w:vAlign w:val="center"/>
                </w:tcPr>
                <w:p>
                  <w:pPr>
                    <w:adjustRightInd w:val="0"/>
                    <w:snapToGrid w:val="0"/>
                    <w:jc w:val="center"/>
                    <w:rPr>
                      <w:rFonts w:hint="default" w:ascii="Times New Roman" w:hAnsi="Times New Roman" w:eastAsia="宋体" w:cs="Times New Roman"/>
                      <w:color w:val="auto"/>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44"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1059" w:type="pct"/>
                  <w:vAlign w:val="center"/>
                </w:tcPr>
                <w:p>
                  <w:pPr>
                    <w:tabs>
                      <w:tab w:val="left" w:pos="1021"/>
                    </w:tabs>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史家塘</w:t>
                  </w:r>
                </w:p>
              </w:tc>
              <w:tc>
                <w:tcPr>
                  <w:tcW w:w="633"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425"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SW</w:t>
                  </w:r>
                </w:p>
              </w:tc>
              <w:tc>
                <w:tcPr>
                  <w:tcW w:w="663" w:type="pct"/>
                  <w:vAlign w:val="center"/>
                </w:tcPr>
                <w:p>
                  <w:pPr>
                    <w:pStyle w:val="61"/>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371</w:t>
                  </w:r>
                </w:p>
              </w:tc>
              <w:tc>
                <w:tcPr>
                  <w:tcW w:w="641"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20户</w:t>
                  </w:r>
                </w:p>
              </w:tc>
              <w:tc>
                <w:tcPr>
                  <w:tcW w:w="1131" w:type="pct"/>
                  <w:vMerge w:val="continue"/>
                  <w:vAlign w:val="center"/>
                </w:tcPr>
                <w:p>
                  <w:pPr>
                    <w:adjustRightInd w:val="0"/>
                    <w:snapToGrid w:val="0"/>
                    <w:jc w:val="center"/>
                    <w:rPr>
                      <w:rFonts w:hint="default" w:ascii="Times New Roman" w:hAnsi="Times New Roman" w:eastAsia="宋体" w:cs="Times New Roman"/>
                      <w:color w:val="auto"/>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44"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1059" w:type="pct"/>
                  <w:vAlign w:val="center"/>
                </w:tcPr>
                <w:p>
                  <w:pPr>
                    <w:tabs>
                      <w:tab w:val="left" w:pos="1021"/>
                    </w:tabs>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寨桥</w:t>
                  </w:r>
                </w:p>
              </w:tc>
              <w:tc>
                <w:tcPr>
                  <w:tcW w:w="633"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425"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E</w:t>
                  </w:r>
                </w:p>
              </w:tc>
              <w:tc>
                <w:tcPr>
                  <w:tcW w:w="663" w:type="pct"/>
                  <w:vAlign w:val="center"/>
                </w:tcPr>
                <w:p>
                  <w:pPr>
                    <w:pStyle w:val="61"/>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449</w:t>
                  </w:r>
                </w:p>
              </w:tc>
              <w:tc>
                <w:tcPr>
                  <w:tcW w:w="641"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2000户</w:t>
                  </w:r>
                </w:p>
              </w:tc>
              <w:tc>
                <w:tcPr>
                  <w:tcW w:w="1131" w:type="pct"/>
                  <w:vMerge w:val="continue"/>
                  <w:vAlign w:val="center"/>
                </w:tcPr>
                <w:p>
                  <w:pPr>
                    <w:adjustRightInd w:val="0"/>
                    <w:snapToGrid w:val="0"/>
                    <w:jc w:val="center"/>
                    <w:rPr>
                      <w:rFonts w:hint="default" w:ascii="Times New Roman" w:hAnsi="Times New Roman" w:eastAsia="宋体" w:cs="Times New Roman"/>
                      <w:color w:val="auto"/>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44"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1059" w:type="pct"/>
                  <w:vAlign w:val="center"/>
                </w:tcPr>
                <w:p>
                  <w:pPr>
                    <w:tabs>
                      <w:tab w:val="left" w:pos="1021"/>
                    </w:tabs>
                    <w:adjustRightInd w:val="0"/>
                    <w:snapToGrid w:val="0"/>
                    <w:jc w:val="center"/>
                    <w:rPr>
                      <w:rFonts w:hint="default" w:cs="Times New Roman"/>
                      <w:color w:val="auto"/>
                      <w:szCs w:val="21"/>
                      <w:lang w:val="en-US" w:eastAsia="zh-CN"/>
                    </w:rPr>
                  </w:pPr>
                  <w:r>
                    <w:rPr>
                      <w:rFonts w:hint="eastAsia" w:cs="Times New Roman"/>
                      <w:color w:val="auto"/>
                      <w:szCs w:val="21"/>
                      <w:lang w:val="en-US" w:eastAsia="zh-CN"/>
                    </w:rPr>
                    <w:t>聚龙湾小区</w:t>
                  </w:r>
                </w:p>
              </w:tc>
              <w:tc>
                <w:tcPr>
                  <w:tcW w:w="633"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425" w:type="pct"/>
                  <w:vAlign w:val="center"/>
                </w:tcPr>
                <w:p>
                  <w:pPr>
                    <w:adjustRightInd w:val="0"/>
                    <w:snapToGrid w:val="0"/>
                    <w:jc w:val="center"/>
                    <w:rPr>
                      <w:rFonts w:hint="default" w:cs="Times New Roman"/>
                      <w:color w:val="auto"/>
                      <w:szCs w:val="21"/>
                      <w:lang w:val="en-US" w:eastAsia="zh-CN"/>
                    </w:rPr>
                  </w:pPr>
                  <w:r>
                    <w:rPr>
                      <w:rFonts w:hint="eastAsia" w:cs="Times New Roman"/>
                      <w:color w:val="auto"/>
                      <w:szCs w:val="21"/>
                      <w:lang w:val="en-US" w:eastAsia="zh-CN"/>
                    </w:rPr>
                    <w:t>SE</w:t>
                  </w:r>
                </w:p>
              </w:tc>
              <w:tc>
                <w:tcPr>
                  <w:tcW w:w="663" w:type="pct"/>
                  <w:vAlign w:val="center"/>
                </w:tcPr>
                <w:p>
                  <w:pPr>
                    <w:pStyle w:val="61"/>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437</w:t>
                  </w:r>
                </w:p>
              </w:tc>
              <w:tc>
                <w:tcPr>
                  <w:tcW w:w="641" w:type="pct"/>
                  <w:vAlign w:val="center"/>
                </w:tcPr>
                <w:p>
                  <w:pPr>
                    <w:adjustRightInd w:val="0"/>
                    <w:snapToGrid w:val="0"/>
                    <w:jc w:val="center"/>
                    <w:rPr>
                      <w:rFonts w:hint="default" w:cs="Times New Roman"/>
                      <w:color w:val="auto"/>
                      <w:szCs w:val="21"/>
                      <w:lang w:val="en-US" w:eastAsia="zh-CN"/>
                    </w:rPr>
                  </w:pPr>
                  <w:r>
                    <w:rPr>
                      <w:rFonts w:hint="eastAsia" w:cs="Times New Roman"/>
                      <w:color w:val="auto"/>
                      <w:szCs w:val="21"/>
                      <w:lang w:val="en-US" w:eastAsia="zh-CN"/>
                    </w:rPr>
                    <w:t>300户</w:t>
                  </w:r>
                </w:p>
              </w:tc>
              <w:tc>
                <w:tcPr>
                  <w:tcW w:w="1131" w:type="pct"/>
                  <w:vMerge w:val="continue"/>
                  <w:vAlign w:val="center"/>
                </w:tcPr>
                <w:p>
                  <w:pPr>
                    <w:adjustRightInd w:val="0"/>
                    <w:snapToGrid w:val="0"/>
                    <w:jc w:val="center"/>
                    <w:rPr>
                      <w:rFonts w:hint="default" w:ascii="Times New Roman" w:hAnsi="Times New Roman" w:eastAsia="宋体" w:cs="Times New Roman"/>
                      <w:color w:val="auto"/>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44"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1059" w:type="pct"/>
                  <w:vAlign w:val="center"/>
                </w:tcPr>
                <w:p>
                  <w:pPr>
                    <w:tabs>
                      <w:tab w:val="left" w:pos="1021"/>
                    </w:tabs>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寨桥小学</w:t>
                  </w:r>
                </w:p>
              </w:tc>
              <w:tc>
                <w:tcPr>
                  <w:tcW w:w="633" w:type="pct"/>
                  <w:vMerge w:val="restar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学校</w:t>
                  </w:r>
                </w:p>
              </w:tc>
              <w:tc>
                <w:tcPr>
                  <w:tcW w:w="425"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NW</w:t>
                  </w:r>
                </w:p>
              </w:tc>
              <w:tc>
                <w:tcPr>
                  <w:tcW w:w="663" w:type="pct"/>
                  <w:vAlign w:val="center"/>
                </w:tcPr>
                <w:p>
                  <w:pPr>
                    <w:pStyle w:val="61"/>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477</w:t>
                  </w:r>
                </w:p>
              </w:tc>
              <w:tc>
                <w:tcPr>
                  <w:tcW w:w="641"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500人</w:t>
                  </w:r>
                </w:p>
              </w:tc>
              <w:tc>
                <w:tcPr>
                  <w:tcW w:w="1131" w:type="pct"/>
                  <w:vMerge w:val="continue"/>
                  <w:vAlign w:val="center"/>
                </w:tcPr>
                <w:p>
                  <w:pPr>
                    <w:adjustRightInd w:val="0"/>
                    <w:snapToGrid w:val="0"/>
                    <w:jc w:val="center"/>
                    <w:rPr>
                      <w:rFonts w:hint="default" w:ascii="Times New Roman" w:hAnsi="Times New Roman" w:eastAsia="宋体" w:cs="Times New Roman"/>
                      <w:color w:val="auto"/>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44"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1059" w:type="pct"/>
                  <w:vAlign w:val="center"/>
                </w:tcPr>
                <w:p>
                  <w:pPr>
                    <w:tabs>
                      <w:tab w:val="left" w:pos="1021"/>
                    </w:tabs>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寨桥初级中学</w:t>
                  </w:r>
                </w:p>
              </w:tc>
              <w:tc>
                <w:tcPr>
                  <w:tcW w:w="633"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425"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szCs w:val="21"/>
                    </w:rPr>
                    <w:t>NE</w:t>
                  </w:r>
                </w:p>
              </w:tc>
              <w:tc>
                <w:tcPr>
                  <w:tcW w:w="663" w:type="pct"/>
                  <w:vAlign w:val="center"/>
                </w:tcPr>
                <w:p>
                  <w:pPr>
                    <w:pStyle w:val="61"/>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470</w:t>
                  </w:r>
                </w:p>
              </w:tc>
              <w:tc>
                <w:tcPr>
                  <w:tcW w:w="641"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500人</w:t>
                  </w:r>
                </w:p>
              </w:tc>
              <w:tc>
                <w:tcPr>
                  <w:tcW w:w="1131" w:type="pct"/>
                  <w:vMerge w:val="continue"/>
                  <w:vAlign w:val="center"/>
                </w:tcPr>
                <w:p>
                  <w:pPr>
                    <w:adjustRightInd w:val="0"/>
                    <w:snapToGrid w:val="0"/>
                    <w:jc w:val="center"/>
                    <w:rPr>
                      <w:rFonts w:hint="default" w:ascii="Times New Roman" w:hAnsi="Times New Roman" w:eastAsia="宋体" w:cs="Times New Roman"/>
                      <w:color w:val="auto"/>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44"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1059" w:type="pct"/>
                  <w:vAlign w:val="center"/>
                </w:tcPr>
                <w:p>
                  <w:pPr>
                    <w:tabs>
                      <w:tab w:val="left" w:pos="1021"/>
                    </w:tabs>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寨桥试验幼儿园</w:t>
                  </w:r>
                </w:p>
              </w:tc>
              <w:tc>
                <w:tcPr>
                  <w:tcW w:w="633"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42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NE</w:t>
                  </w:r>
                </w:p>
              </w:tc>
              <w:tc>
                <w:tcPr>
                  <w:tcW w:w="663" w:type="pct"/>
                  <w:vAlign w:val="center"/>
                </w:tcPr>
                <w:p>
                  <w:pPr>
                    <w:pStyle w:val="61"/>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463</w:t>
                  </w:r>
                </w:p>
              </w:tc>
              <w:tc>
                <w:tcPr>
                  <w:tcW w:w="641"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500人</w:t>
                  </w:r>
                </w:p>
              </w:tc>
              <w:tc>
                <w:tcPr>
                  <w:tcW w:w="1131" w:type="pct"/>
                  <w:vMerge w:val="continue"/>
                  <w:vAlign w:val="center"/>
                </w:tcPr>
                <w:p>
                  <w:pPr>
                    <w:adjustRightInd w:val="0"/>
                    <w:snapToGrid w:val="0"/>
                    <w:jc w:val="center"/>
                    <w:rPr>
                      <w:rFonts w:hint="default" w:ascii="Times New Roman" w:hAnsi="Times New Roman" w:eastAsia="宋体" w:cs="Times New Roman"/>
                      <w:color w:val="auto"/>
                      <w:szCs w:val="21"/>
                    </w:rPr>
                  </w:pPr>
                </w:p>
              </w:tc>
            </w:tr>
          </w:tbl>
          <w:p>
            <w:pPr>
              <w:autoSpaceDE w:val="0"/>
              <w:autoSpaceDN w:val="0"/>
              <w:adjustRightInd w:val="0"/>
              <w:snapToGrid w:val="0"/>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注：本项目以</w:t>
            </w:r>
            <w:r>
              <w:rPr>
                <w:rFonts w:hint="eastAsia" w:cs="Times New Roman"/>
                <w:b/>
                <w:bCs/>
                <w:color w:val="auto"/>
                <w:szCs w:val="21"/>
                <w:lang w:val="en-US" w:eastAsia="zh-CN"/>
              </w:rPr>
              <w:t>厂区边界</w:t>
            </w:r>
            <w:r>
              <w:rPr>
                <w:rFonts w:hint="default" w:ascii="Times New Roman" w:hAnsi="Times New Roman" w:eastAsia="宋体" w:cs="Times New Roman"/>
                <w:b/>
                <w:bCs/>
                <w:color w:val="auto"/>
                <w:szCs w:val="21"/>
              </w:rPr>
              <w:t>为起点。</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2、声环境</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本项目周边50m范围内无环境敏感点。</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3、地下水环境</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厂界外500m范围内无地下水集中式饮用水水源和热水、矿泉水、温泉等特殊地下水资源。</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4、生态环境</w:t>
            </w:r>
          </w:p>
          <w:p>
            <w:pPr>
              <w:autoSpaceDE w:val="0"/>
              <w:autoSpaceDN w:val="0"/>
              <w:adjustRightInd w:val="0"/>
              <w:snapToGrid w:val="0"/>
              <w:jc w:val="center"/>
              <w:rPr>
                <w:rFonts w:hint="default" w:ascii="Times New Roman" w:hAnsi="Times New Roman" w:eastAsia="宋体" w:cs="Times New Roman"/>
                <w:color w:val="auto"/>
              </w:rPr>
            </w:pPr>
            <w:r>
              <w:rPr>
                <w:rFonts w:hint="default" w:ascii="Times New Roman" w:hAnsi="Times New Roman" w:eastAsia="宋体" w:cs="Times New Roman"/>
                <w:b/>
                <w:bCs/>
                <w:color w:val="auto"/>
                <w:sz w:val="24"/>
              </w:rPr>
              <w:t>表3-7 项目环境保护目标一览表</w:t>
            </w:r>
          </w:p>
          <w:tbl>
            <w:tblPr>
              <w:tblStyle w:val="22"/>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80"/>
              <w:gridCol w:w="1850"/>
              <w:gridCol w:w="793"/>
              <w:gridCol w:w="978"/>
              <w:gridCol w:w="1481"/>
              <w:gridCol w:w="243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23" w:type="pc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环境</w:t>
                  </w:r>
                </w:p>
              </w:tc>
              <w:tc>
                <w:tcPr>
                  <w:tcW w:w="1099" w:type="pc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环境保护对象</w:t>
                  </w:r>
                </w:p>
              </w:tc>
              <w:tc>
                <w:tcPr>
                  <w:tcW w:w="471" w:type="pc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方位</w:t>
                  </w:r>
                </w:p>
              </w:tc>
              <w:tc>
                <w:tcPr>
                  <w:tcW w:w="581" w:type="pc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距离（m）</w:t>
                  </w:r>
                </w:p>
              </w:tc>
              <w:tc>
                <w:tcPr>
                  <w:tcW w:w="880" w:type="pc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规模</w:t>
                  </w:r>
                </w:p>
              </w:tc>
              <w:tc>
                <w:tcPr>
                  <w:tcW w:w="1444" w:type="pct"/>
                  <w:tcBorders>
                    <w:bottom w:val="single" w:color="auto" w:sz="4" w:space="0"/>
                  </w:tcBorders>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环境功能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23" w:type="pct"/>
                  <w:vMerge w:val="restar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生</w:t>
                  </w:r>
                </w:p>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态</w:t>
                  </w:r>
                </w:p>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环</w:t>
                  </w:r>
                </w:p>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境</w:t>
                  </w:r>
                </w:p>
              </w:tc>
              <w:tc>
                <w:tcPr>
                  <w:tcW w:w="1099" w:type="pct"/>
                  <w:vAlign w:val="center"/>
                </w:tcPr>
                <w:p>
                  <w:pPr>
                    <w:autoSpaceDE w:val="0"/>
                    <w:autoSpaceDN w:val="0"/>
                    <w:adjustRightInd w:val="0"/>
                    <w:snapToGrid w:val="0"/>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滆湖重要湿地（武进区）</w:t>
                  </w:r>
                </w:p>
              </w:tc>
              <w:tc>
                <w:tcPr>
                  <w:tcW w:w="471" w:type="pct"/>
                  <w:vAlign w:val="center"/>
                </w:tcPr>
                <w:p>
                  <w:pPr>
                    <w:adjustRightInd w:val="0"/>
                    <w:snapToGrid w:val="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val="en-US" w:eastAsia="zh-CN"/>
                    </w:rPr>
                    <w:t>W</w:t>
                  </w:r>
                </w:p>
              </w:tc>
              <w:tc>
                <w:tcPr>
                  <w:tcW w:w="581"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2500</w:t>
                  </w:r>
                </w:p>
              </w:tc>
              <w:tc>
                <w:tcPr>
                  <w:tcW w:w="880"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国家级生态保护红线范围</w:t>
                  </w:r>
                </w:p>
                <w:p>
                  <w:pPr>
                    <w:adjustRightInd w:val="0"/>
                    <w:snapToGrid w:val="0"/>
                    <w:jc w:val="center"/>
                    <w:rPr>
                      <w:rFonts w:hint="default" w:ascii="Times New Roman" w:hAnsi="Times New Roman" w:eastAsia="宋体" w:cs="Times New Roman"/>
                      <w:color w:val="auto"/>
                      <w:szCs w:val="21"/>
                      <w:vertAlign w:val="superscript"/>
                    </w:rPr>
                  </w:pPr>
                  <w:r>
                    <w:rPr>
                      <w:rFonts w:hint="default" w:ascii="Times New Roman" w:hAnsi="Times New Roman" w:eastAsia="宋体" w:cs="Times New Roman"/>
                      <w:color w:val="auto"/>
                      <w:szCs w:val="21"/>
                    </w:rPr>
                    <w:t>11</w:t>
                  </w:r>
                  <w:r>
                    <w:rPr>
                      <w:rFonts w:hint="default" w:ascii="Times New Roman" w:hAnsi="Times New Roman" w:eastAsia="宋体" w:cs="Times New Roman"/>
                      <w:color w:val="auto"/>
                      <w:szCs w:val="21"/>
                      <w:lang w:val="en-US" w:eastAsia="zh-CN"/>
                    </w:rPr>
                    <w:t>8</w:t>
                  </w:r>
                  <w:r>
                    <w:rPr>
                      <w:rFonts w:hint="default" w:ascii="Times New Roman" w:hAnsi="Times New Roman" w:eastAsia="宋体" w:cs="Times New Roman"/>
                      <w:color w:val="auto"/>
                      <w:szCs w:val="21"/>
                    </w:rPr>
                    <w:t>.2</w:t>
                  </w:r>
                  <w:r>
                    <w:rPr>
                      <w:rFonts w:hint="default" w:ascii="Times New Roman" w:hAnsi="Times New Roman" w:eastAsia="宋体" w:cs="Times New Roman"/>
                      <w:color w:val="auto"/>
                      <w:szCs w:val="21"/>
                      <w:lang w:val="en-US" w:eastAsia="zh-CN"/>
                    </w:rPr>
                    <w:t>14</w:t>
                  </w:r>
                  <w:r>
                    <w:rPr>
                      <w:rFonts w:hint="default" w:ascii="Times New Roman" w:hAnsi="Times New Roman" w:eastAsia="宋体" w:cs="Times New Roman"/>
                      <w:color w:val="auto"/>
                      <w:szCs w:val="21"/>
                    </w:rPr>
                    <w:t>m</w:t>
                  </w:r>
                  <w:r>
                    <w:rPr>
                      <w:rFonts w:hint="default" w:ascii="Times New Roman" w:hAnsi="Times New Roman" w:eastAsia="宋体" w:cs="Times New Roman"/>
                      <w:color w:val="auto"/>
                      <w:szCs w:val="21"/>
                      <w:vertAlign w:val="superscript"/>
                    </w:rPr>
                    <w:t>2</w:t>
                  </w:r>
                </w:p>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生态空间管控区域范围</w:t>
                  </w:r>
                </w:p>
                <w:p>
                  <w:pPr>
                    <w:adjustRightInd w:val="0"/>
                    <w:snapToGrid w:val="0"/>
                    <w:jc w:val="center"/>
                    <w:rPr>
                      <w:rFonts w:hint="default" w:ascii="Times New Roman" w:hAnsi="Times New Roman" w:eastAsia="宋体" w:cs="Times New Roman"/>
                      <w:color w:val="auto"/>
                      <w:szCs w:val="21"/>
                      <w:vertAlign w:val="superscript"/>
                    </w:rPr>
                  </w:pPr>
                  <w:r>
                    <w:rPr>
                      <w:rFonts w:hint="default" w:ascii="Times New Roman" w:hAnsi="Times New Roman" w:eastAsia="宋体" w:cs="Times New Roman"/>
                      <w:color w:val="auto"/>
                      <w:szCs w:val="21"/>
                      <w:lang w:val="en-US" w:eastAsia="zh-CN"/>
                    </w:rPr>
                    <w:t>18.47</w:t>
                  </w:r>
                  <w:r>
                    <w:rPr>
                      <w:rFonts w:hint="default" w:ascii="Times New Roman" w:hAnsi="Times New Roman" w:eastAsia="宋体" w:cs="Times New Roman"/>
                      <w:color w:val="auto"/>
                      <w:szCs w:val="21"/>
                    </w:rPr>
                    <w:t>km</w:t>
                  </w:r>
                  <w:r>
                    <w:rPr>
                      <w:rFonts w:hint="default" w:ascii="Times New Roman" w:hAnsi="Times New Roman" w:eastAsia="宋体" w:cs="Times New Roman"/>
                      <w:color w:val="auto"/>
                      <w:szCs w:val="21"/>
                      <w:vertAlign w:val="superscript"/>
                    </w:rPr>
                    <w:t>2</w:t>
                  </w:r>
                </w:p>
              </w:tc>
              <w:tc>
                <w:tcPr>
                  <w:tcW w:w="1444"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《省政府关于印发江苏省生态空间管控区域规划的通知》(苏政发[2020]1号)湿地生态</w:t>
                  </w:r>
                </w:p>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系统保护</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23"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1099" w:type="pct"/>
                  <w:vAlign w:val="center"/>
                </w:tcPr>
                <w:p>
                  <w:pPr>
                    <w:autoSpaceDE w:val="0"/>
                    <w:autoSpaceDN w:val="0"/>
                    <w:adjustRightInd w:val="0"/>
                    <w:snapToGrid w:val="0"/>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滆湖饮用水源保护区</w:t>
                  </w:r>
                </w:p>
              </w:tc>
              <w:tc>
                <w:tcPr>
                  <w:tcW w:w="471"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NW</w:t>
                  </w:r>
                </w:p>
              </w:tc>
              <w:tc>
                <w:tcPr>
                  <w:tcW w:w="581"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6700</w:t>
                  </w:r>
                </w:p>
              </w:tc>
              <w:tc>
                <w:tcPr>
                  <w:tcW w:w="880"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国家级生态保护红线范围</w:t>
                  </w:r>
                </w:p>
                <w:p>
                  <w:pPr>
                    <w:adjustRightInd w:val="0"/>
                    <w:snapToGrid w:val="0"/>
                    <w:jc w:val="center"/>
                    <w:rPr>
                      <w:rFonts w:hint="default" w:ascii="Times New Roman" w:hAnsi="Times New Roman" w:eastAsia="宋体" w:cs="Times New Roman"/>
                      <w:color w:val="auto"/>
                      <w:szCs w:val="21"/>
                      <w:vertAlign w:val="superscript"/>
                    </w:rPr>
                  </w:pPr>
                  <w:r>
                    <w:rPr>
                      <w:rFonts w:hint="default" w:ascii="Times New Roman" w:hAnsi="Times New Roman" w:eastAsia="宋体" w:cs="Times New Roman"/>
                      <w:color w:val="auto"/>
                      <w:szCs w:val="21"/>
                      <w:lang w:val="en-US" w:eastAsia="zh-CN"/>
                    </w:rPr>
                    <w:t>24.4</w:t>
                  </w:r>
                  <w:r>
                    <w:rPr>
                      <w:rFonts w:hint="default" w:ascii="Times New Roman" w:hAnsi="Times New Roman" w:eastAsia="宋体" w:cs="Times New Roman"/>
                      <w:color w:val="auto"/>
                      <w:szCs w:val="21"/>
                    </w:rPr>
                    <w:t>km</w:t>
                  </w:r>
                  <w:r>
                    <w:rPr>
                      <w:rFonts w:hint="default" w:ascii="Times New Roman" w:hAnsi="Times New Roman" w:eastAsia="宋体" w:cs="Times New Roman"/>
                      <w:color w:val="auto"/>
                      <w:szCs w:val="21"/>
                      <w:vertAlign w:val="superscript"/>
                    </w:rPr>
                    <w:t>2</w:t>
                  </w:r>
                </w:p>
              </w:tc>
              <w:tc>
                <w:tcPr>
                  <w:tcW w:w="1444"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《省政府关于印发江苏省生态空间管控区域规划的通知》(苏政发[2020]1号)水源水质保护</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23"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1099"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滆湖重要渔业水域</w:t>
                  </w:r>
                </w:p>
              </w:tc>
              <w:tc>
                <w:tcPr>
                  <w:tcW w:w="471"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w:t>
                  </w:r>
                </w:p>
              </w:tc>
              <w:tc>
                <w:tcPr>
                  <w:tcW w:w="581"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2500</w:t>
                  </w:r>
                </w:p>
              </w:tc>
              <w:tc>
                <w:tcPr>
                  <w:tcW w:w="880"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生态空间管控区域范围</w:t>
                  </w:r>
                </w:p>
                <w:p>
                  <w:pPr>
                    <w:adjustRightInd w:val="0"/>
                    <w:snapToGrid w:val="0"/>
                    <w:jc w:val="center"/>
                    <w:rPr>
                      <w:rFonts w:hint="default" w:ascii="Times New Roman" w:hAnsi="Times New Roman" w:eastAsia="宋体" w:cs="Times New Roman"/>
                      <w:color w:val="auto"/>
                      <w:szCs w:val="21"/>
                      <w:vertAlign w:val="superscript"/>
                    </w:rPr>
                  </w:pPr>
                  <w:r>
                    <w:rPr>
                      <w:rFonts w:hint="default" w:ascii="Times New Roman" w:hAnsi="Times New Roman" w:eastAsia="宋体" w:cs="Times New Roman"/>
                      <w:color w:val="auto"/>
                      <w:szCs w:val="21"/>
                      <w:lang w:val="en-US" w:eastAsia="zh-CN"/>
                    </w:rPr>
                    <w:t>27.62</w:t>
                  </w:r>
                  <w:r>
                    <w:rPr>
                      <w:rFonts w:hint="default" w:ascii="Times New Roman" w:hAnsi="Times New Roman" w:eastAsia="宋体" w:cs="Times New Roman"/>
                      <w:color w:val="auto"/>
                      <w:szCs w:val="21"/>
                    </w:rPr>
                    <w:t>km</w:t>
                  </w:r>
                  <w:r>
                    <w:rPr>
                      <w:rFonts w:hint="default" w:ascii="Times New Roman" w:hAnsi="Times New Roman" w:eastAsia="宋体" w:cs="Times New Roman"/>
                      <w:color w:val="auto"/>
                      <w:szCs w:val="21"/>
                      <w:vertAlign w:val="superscript"/>
                    </w:rPr>
                    <w:t>2</w:t>
                  </w:r>
                </w:p>
              </w:tc>
              <w:tc>
                <w:tcPr>
                  <w:tcW w:w="1444"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《省政府关于印发江苏省生态空间管控区域规划的通知》(苏政发[2020]1号)渔业资源</w:t>
                  </w:r>
                </w:p>
                <w:p>
                  <w:pPr>
                    <w:adjustRightInd w:val="0"/>
                    <w:snapToGrid w:val="0"/>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rPr>
                    <w:t>保护</w:t>
                  </w:r>
                </w:p>
              </w:tc>
            </w:tr>
          </w:tbl>
          <w:p>
            <w:pPr>
              <w:adjustRightInd w:val="0"/>
              <w:snapToGrid w:val="0"/>
              <w:jc w:val="center"/>
              <w:rPr>
                <w:rFonts w:hint="default" w:ascii="Times New Roman" w:hAnsi="Times New Roman" w:eastAsia="宋体" w:cs="Times New Roman"/>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9" w:hRule="atLeast"/>
          <w:jc w:val="center"/>
        </w:trPr>
        <w:tc>
          <w:tcPr>
            <w:tcW w:w="426" w:type="dxa"/>
            <w:tcMar>
              <w:left w:w="28" w:type="dxa"/>
              <w:right w:w="28" w:type="dxa"/>
            </w:tcMar>
            <w:vAlign w:val="center"/>
          </w:tcPr>
          <w:p>
            <w:pPr>
              <w:adjustRightInd w:val="0"/>
              <w:snapToGri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污染</w:t>
            </w:r>
          </w:p>
          <w:p>
            <w:pPr>
              <w:adjustRightInd w:val="0"/>
              <w:snapToGri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物排</w:t>
            </w:r>
          </w:p>
          <w:p>
            <w:pPr>
              <w:adjustRightInd w:val="0"/>
              <w:snapToGri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放控</w:t>
            </w:r>
          </w:p>
          <w:p>
            <w:pPr>
              <w:adjustRightInd w:val="0"/>
              <w:snapToGri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制标</w:t>
            </w:r>
          </w:p>
          <w:p>
            <w:pPr>
              <w:adjustRightInd w:val="0"/>
              <w:snapToGri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准</w:t>
            </w:r>
          </w:p>
        </w:tc>
        <w:tc>
          <w:tcPr>
            <w:tcW w:w="8633" w:type="dxa"/>
            <w:vAlign w:val="center"/>
          </w:tcPr>
          <w:p>
            <w:pPr>
              <w:spacing w:line="360" w:lineRule="auto"/>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1、废气排放标准</w:t>
            </w:r>
          </w:p>
          <w:p>
            <w:pPr>
              <w:adjustRightInd w:val="0"/>
              <w:snapToGrid w:val="0"/>
              <w:spacing w:line="360" w:lineRule="auto"/>
              <w:ind w:firstLine="480" w:firstLineChars="200"/>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本项目</w:t>
            </w:r>
            <w:r>
              <w:rPr>
                <w:rFonts w:hint="default" w:ascii="Times New Roman" w:hAnsi="Times New Roman" w:eastAsia="宋体" w:cs="Times New Roman"/>
                <w:color w:val="auto"/>
                <w:sz w:val="24"/>
                <w:lang w:val="en-US" w:eastAsia="zh-CN"/>
              </w:rPr>
              <w:t>电泳、烘干过程中产生的非甲烷总烃排放</w:t>
            </w:r>
            <w:r>
              <w:rPr>
                <w:rFonts w:hint="default" w:ascii="Times New Roman" w:hAnsi="Times New Roman" w:eastAsia="宋体" w:cs="Times New Roman"/>
                <w:color w:val="auto"/>
                <w:sz w:val="24"/>
              </w:rPr>
              <w:t>执行《大气污染物综合排放标准》（DB32/4041-2021）表1和表3标准</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val="en-US" w:eastAsia="zh-CN"/>
              </w:rPr>
              <w:t>具体见表3-8：</w:t>
            </w:r>
          </w:p>
          <w:p>
            <w:pPr>
              <w:wordWrap w:val="0"/>
              <w:adjustRightInd w:val="0"/>
              <w:ind w:firstLine="2474" w:firstLineChars="1027"/>
              <w:jc w:val="left"/>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表3-8 大气污染物排放标准</w:t>
            </w:r>
          </w:p>
          <w:tbl>
            <w:tblPr>
              <w:tblStyle w:val="22"/>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64"/>
              <w:gridCol w:w="1451"/>
              <w:gridCol w:w="1109"/>
              <w:gridCol w:w="1187"/>
              <w:gridCol w:w="1437"/>
              <w:gridCol w:w="216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632" w:type="pct"/>
                  <w:vMerge w:val="restart"/>
                  <w:vAlign w:val="center"/>
                </w:tcPr>
                <w:p>
                  <w:pPr>
                    <w:pStyle w:val="51"/>
                    <w:adjustRightInd w:val="0"/>
                    <w:snapToGrid w:val="0"/>
                    <w:spacing w:line="240" w:lineRule="auto"/>
                    <w:rPr>
                      <w:rFonts w:hint="default" w:ascii="Times New Roman" w:hAnsi="Times New Roman" w:eastAsia="宋体" w:cs="Times New Roman"/>
                      <w:color w:val="auto"/>
                      <w:szCs w:val="21"/>
                    </w:rPr>
                  </w:pPr>
                  <w:r>
                    <w:rPr>
                      <w:rFonts w:hint="default" w:ascii="Times New Roman" w:hAnsi="Times New Roman" w:eastAsia="宋体" w:cs="Times New Roman"/>
                      <w:b/>
                      <w:bCs w:val="0"/>
                      <w:color w:val="auto"/>
                      <w:szCs w:val="21"/>
                    </w:rPr>
                    <w:t>污染物名称</w:t>
                  </w:r>
                </w:p>
              </w:tc>
              <w:tc>
                <w:tcPr>
                  <w:tcW w:w="862" w:type="pct"/>
                  <w:vMerge w:val="restart"/>
                  <w:vAlign w:val="center"/>
                </w:tcPr>
                <w:p>
                  <w:pPr>
                    <w:pStyle w:val="51"/>
                    <w:adjustRightInd w:val="0"/>
                    <w:snapToGrid w:val="0"/>
                    <w:spacing w:line="240" w:lineRule="auto"/>
                    <w:rPr>
                      <w:rFonts w:hint="default" w:ascii="Times New Roman" w:hAnsi="Times New Roman" w:eastAsia="宋体" w:cs="Times New Roman"/>
                      <w:color w:val="auto"/>
                      <w:szCs w:val="21"/>
                    </w:rPr>
                  </w:pPr>
                  <w:r>
                    <w:rPr>
                      <w:rFonts w:hint="default" w:ascii="Times New Roman" w:hAnsi="Times New Roman" w:eastAsia="宋体" w:cs="Times New Roman"/>
                      <w:b/>
                      <w:bCs w:val="0"/>
                      <w:color w:val="auto"/>
                      <w:szCs w:val="21"/>
                      <w:lang w:val="en-US" w:eastAsia="zh-CN"/>
                    </w:rPr>
                    <w:t>最高允许排放浓度</w:t>
                  </w:r>
                  <w:r>
                    <w:rPr>
                      <w:rFonts w:hint="default" w:ascii="Times New Roman" w:hAnsi="Times New Roman" w:eastAsia="宋体" w:cs="Times New Roman"/>
                      <w:b/>
                      <w:bCs w:val="0"/>
                      <w:color w:val="auto"/>
                      <w:szCs w:val="21"/>
                    </w:rPr>
                    <w:t>（mg/m</w:t>
                  </w:r>
                  <w:r>
                    <w:rPr>
                      <w:rFonts w:hint="default" w:ascii="Times New Roman" w:hAnsi="Times New Roman" w:eastAsia="宋体" w:cs="Times New Roman"/>
                      <w:b/>
                      <w:bCs w:val="0"/>
                      <w:color w:val="auto"/>
                      <w:szCs w:val="21"/>
                      <w:vertAlign w:val="superscript"/>
                    </w:rPr>
                    <w:t>3</w:t>
                  </w:r>
                  <w:r>
                    <w:rPr>
                      <w:rFonts w:hint="default" w:ascii="Times New Roman" w:hAnsi="Times New Roman" w:eastAsia="宋体" w:cs="Times New Roman"/>
                      <w:b/>
                      <w:bCs w:val="0"/>
                      <w:color w:val="auto"/>
                      <w:szCs w:val="21"/>
                    </w:rPr>
                    <w:t>）</w:t>
                  </w:r>
                </w:p>
              </w:tc>
              <w:tc>
                <w:tcPr>
                  <w:tcW w:w="659" w:type="pct"/>
                  <w:vMerge w:val="restart"/>
                  <w:vAlign w:val="center"/>
                </w:tcPr>
                <w:p>
                  <w:pPr>
                    <w:pStyle w:val="51"/>
                    <w:adjustRightInd w:val="0"/>
                    <w:snapToGrid w:val="0"/>
                    <w:spacing w:line="240" w:lineRule="auto"/>
                    <w:rPr>
                      <w:rFonts w:hint="default" w:ascii="Times New Roman" w:hAnsi="Times New Roman" w:eastAsia="宋体" w:cs="Times New Roman"/>
                      <w:color w:val="auto"/>
                      <w:szCs w:val="21"/>
                    </w:rPr>
                  </w:pPr>
                  <w:r>
                    <w:rPr>
                      <w:rFonts w:hint="default" w:ascii="Times New Roman" w:hAnsi="Times New Roman" w:eastAsia="宋体" w:cs="Times New Roman"/>
                      <w:b/>
                      <w:bCs w:val="0"/>
                      <w:color w:val="auto"/>
                      <w:szCs w:val="21"/>
                      <w:lang w:val="en-US" w:eastAsia="zh-CN"/>
                    </w:rPr>
                    <w:t>最高允许排放速率</w:t>
                  </w:r>
                  <w:r>
                    <w:rPr>
                      <w:rFonts w:hint="default" w:ascii="Times New Roman" w:hAnsi="Times New Roman" w:eastAsia="宋体" w:cs="Times New Roman"/>
                      <w:b/>
                      <w:bCs w:val="0"/>
                      <w:color w:val="auto"/>
                      <w:szCs w:val="21"/>
                    </w:rPr>
                    <w:t>（</w:t>
                  </w:r>
                  <w:r>
                    <w:rPr>
                      <w:rFonts w:hint="default" w:ascii="Times New Roman" w:hAnsi="Times New Roman" w:eastAsia="宋体" w:cs="Times New Roman"/>
                      <w:b/>
                      <w:bCs w:val="0"/>
                      <w:color w:val="auto"/>
                      <w:szCs w:val="21"/>
                      <w:lang w:val="en-US" w:eastAsia="zh-CN"/>
                    </w:rPr>
                    <w:t>kg/h</w:t>
                  </w:r>
                  <w:r>
                    <w:rPr>
                      <w:rFonts w:hint="default" w:ascii="Times New Roman" w:hAnsi="Times New Roman" w:eastAsia="宋体" w:cs="Times New Roman"/>
                      <w:b/>
                      <w:bCs w:val="0"/>
                      <w:color w:val="auto"/>
                      <w:szCs w:val="21"/>
                    </w:rPr>
                    <w:t>）</w:t>
                  </w:r>
                </w:p>
              </w:tc>
              <w:tc>
                <w:tcPr>
                  <w:tcW w:w="1559" w:type="pct"/>
                  <w:gridSpan w:val="2"/>
                  <w:vAlign w:val="center"/>
                </w:tcPr>
                <w:p>
                  <w:pPr>
                    <w:pStyle w:val="51"/>
                    <w:adjustRightInd w:val="0"/>
                    <w:snapToGrid w:val="0"/>
                    <w:spacing w:line="240" w:lineRule="auto"/>
                    <w:rPr>
                      <w:rFonts w:hint="default" w:ascii="Times New Roman" w:hAnsi="Times New Roman" w:eastAsia="宋体" w:cs="Times New Roman"/>
                      <w:b/>
                      <w:bCs w:val="0"/>
                      <w:color w:val="auto"/>
                      <w:szCs w:val="21"/>
                      <w:lang w:val="en-US" w:eastAsia="zh-CN"/>
                    </w:rPr>
                  </w:pPr>
                  <w:r>
                    <w:rPr>
                      <w:rFonts w:hint="default" w:ascii="Times New Roman" w:hAnsi="Times New Roman" w:eastAsia="宋体" w:cs="Times New Roman"/>
                      <w:b/>
                      <w:bCs w:val="0"/>
                      <w:color w:val="auto"/>
                      <w:szCs w:val="21"/>
                      <w:lang w:val="en-US" w:eastAsia="zh-CN"/>
                    </w:rPr>
                    <w:t>无组织排放监控浓度限值</w:t>
                  </w:r>
                </w:p>
              </w:tc>
              <w:tc>
                <w:tcPr>
                  <w:tcW w:w="1287" w:type="pct"/>
                  <w:vMerge w:val="restart"/>
                  <w:vAlign w:val="center"/>
                </w:tcPr>
                <w:p>
                  <w:pPr>
                    <w:pStyle w:val="51"/>
                    <w:adjustRightInd w:val="0"/>
                    <w:snapToGrid w:val="0"/>
                    <w:spacing w:line="240" w:lineRule="auto"/>
                    <w:rPr>
                      <w:rFonts w:hint="default" w:ascii="Times New Roman" w:hAnsi="Times New Roman" w:eastAsia="宋体" w:cs="Times New Roman"/>
                      <w:b/>
                      <w:bCs w:val="0"/>
                      <w:color w:val="auto"/>
                      <w:szCs w:val="21"/>
                      <w:lang w:val="en-US" w:eastAsia="zh-CN"/>
                    </w:rPr>
                  </w:pPr>
                  <w:r>
                    <w:rPr>
                      <w:rFonts w:hint="default" w:ascii="Times New Roman" w:hAnsi="Times New Roman" w:eastAsia="宋体" w:cs="Times New Roman"/>
                      <w:b/>
                      <w:bCs w:val="0"/>
                      <w:color w:val="auto"/>
                      <w:szCs w:val="21"/>
                      <w:lang w:val="en-US" w:eastAsia="zh-CN"/>
                    </w:rPr>
                    <w:t>标准来源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632" w:type="pct"/>
                  <w:vMerge w:val="continue"/>
                  <w:vAlign w:val="center"/>
                </w:tcPr>
                <w:p>
                  <w:pPr>
                    <w:pStyle w:val="51"/>
                    <w:adjustRightInd w:val="0"/>
                    <w:snapToGrid w:val="0"/>
                    <w:spacing w:line="240" w:lineRule="auto"/>
                    <w:rPr>
                      <w:rFonts w:hint="default" w:ascii="Times New Roman" w:hAnsi="Times New Roman" w:eastAsia="宋体" w:cs="Times New Roman"/>
                      <w:color w:val="auto"/>
                      <w:szCs w:val="21"/>
                    </w:rPr>
                  </w:pPr>
                </w:p>
              </w:tc>
              <w:tc>
                <w:tcPr>
                  <w:tcW w:w="862" w:type="pct"/>
                  <w:vMerge w:val="continue"/>
                  <w:vAlign w:val="center"/>
                </w:tcPr>
                <w:p>
                  <w:pPr>
                    <w:pStyle w:val="51"/>
                    <w:adjustRightInd w:val="0"/>
                    <w:snapToGrid w:val="0"/>
                    <w:spacing w:line="240" w:lineRule="auto"/>
                    <w:rPr>
                      <w:rFonts w:hint="default" w:ascii="Times New Roman" w:hAnsi="Times New Roman" w:eastAsia="宋体" w:cs="Times New Roman"/>
                      <w:color w:val="auto"/>
                      <w:szCs w:val="21"/>
                    </w:rPr>
                  </w:pPr>
                </w:p>
              </w:tc>
              <w:tc>
                <w:tcPr>
                  <w:tcW w:w="659" w:type="pct"/>
                  <w:vMerge w:val="continue"/>
                  <w:vAlign w:val="center"/>
                </w:tcPr>
                <w:p>
                  <w:pPr>
                    <w:pStyle w:val="51"/>
                    <w:adjustRightInd w:val="0"/>
                    <w:snapToGrid w:val="0"/>
                    <w:spacing w:line="240" w:lineRule="auto"/>
                    <w:rPr>
                      <w:rFonts w:hint="default" w:ascii="Times New Roman" w:hAnsi="Times New Roman" w:eastAsia="宋体" w:cs="Times New Roman"/>
                      <w:color w:val="auto"/>
                      <w:szCs w:val="21"/>
                    </w:rPr>
                  </w:pPr>
                </w:p>
              </w:tc>
              <w:tc>
                <w:tcPr>
                  <w:tcW w:w="705" w:type="pct"/>
                  <w:vAlign w:val="center"/>
                </w:tcPr>
                <w:p>
                  <w:pPr>
                    <w:pStyle w:val="51"/>
                    <w:adjustRightInd w:val="0"/>
                    <w:snapToGrid w:val="0"/>
                    <w:spacing w:line="240" w:lineRule="auto"/>
                    <w:rPr>
                      <w:rFonts w:hint="default" w:ascii="Times New Roman" w:hAnsi="Times New Roman" w:eastAsia="宋体" w:cs="Times New Roman"/>
                      <w:b/>
                      <w:bCs w:val="0"/>
                      <w:color w:val="auto"/>
                      <w:szCs w:val="21"/>
                      <w:lang w:eastAsia="zh-CN"/>
                    </w:rPr>
                  </w:pPr>
                  <w:r>
                    <w:rPr>
                      <w:rFonts w:hint="default" w:ascii="Times New Roman" w:hAnsi="Times New Roman" w:eastAsia="宋体" w:cs="Times New Roman"/>
                      <w:b/>
                      <w:bCs w:val="0"/>
                      <w:color w:val="auto"/>
                      <w:szCs w:val="21"/>
                      <w:lang w:val="en-US" w:eastAsia="zh-CN"/>
                    </w:rPr>
                    <w:t>监控点</w:t>
                  </w:r>
                </w:p>
              </w:tc>
              <w:tc>
                <w:tcPr>
                  <w:tcW w:w="853" w:type="pct"/>
                  <w:vAlign w:val="center"/>
                </w:tcPr>
                <w:p>
                  <w:pPr>
                    <w:pStyle w:val="51"/>
                    <w:adjustRightInd w:val="0"/>
                    <w:snapToGrid w:val="0"/>
                    <w:spacing w:line="240" w:lineRule="auto"/>
                    <w:rPr>
                      <w:rFonts w:hint="default" w:ascii="Times New Roman" w:hAnsi="Times New Roman" w:eastAsia="宋体" w:cs="Times New Roman"/>
                      <w:b/>
                      <w:bCs w:val="0"/>
                      <w:color w:val="auto"/>
                      <w:szCs w:val="21"/>
                      <w:lang w:val="en-US" w:eastAsia="zh-CN"/>
                    </w:rPr>
                  </w:pPr>
                  <w:r>
                    <w:rPr>
                      <w:rFonts w:hint="default" w:ascii="Times New Roman" w:hAnsi="Times New Roman" w:eastAsia="宋体" w:cs="Times New Roman"/>
                      <w:b/>
                      <w:bCs w:val="0"/>
                      <w:color w:val="auto"/>
                      <w:szCs w:val="21"/>
                      <w:lang w:val="en-US" w:eastAsia="zh-CN"/>
                    </w:rPr>
                    <w:t>浓度（</w:t>
                  </w:r>
                  <w:r>
                    <w:rPr>
                      <w:rFonts w:hint="default" w:ascii="Times New Roman" w:hAnsi="Times New Roman" w:eastAsia="宋体" w:cs="Times New Roman"/>
                      <w:b/>
                      <w:bCs w:val="0"/>
                      <w:color w:val="auto"/>
                      <w:szCs w:val="21"/>
                    </w:rPr>
                    <w:t>mg/m</w:t>
                  </w:r>
                  <w:r>
                    <w:rPr>
                      <w:rFonts w:hint="default" w:ascii="Times New Roman" w:hAnsi="Times New Roman" w:eastAsia="宋体" w:cs="Times New Roman"/>
                      <w:b/>
                      <w:bCs w:val="0"/>
                      <w:color w:val="auto"/>
                      <w:szCs w:val="21"/>
                      <w:vertAlign w:val="superscript"/>
                    </w:rPr>
                    <w:t>3</w:t>
                  </w:r>
                  <w:r>
                    <w:rPr>
                      <w:rFonts w:hint="default" w:ascii="Times New Roman" w:hAnsi="Times New Roman" w:eastAsia="宋体" w:cs="Times New Roman"/>
                      <w:b/>
                      <w:bCs w:val="0"/>
                      <w:color w:val="auto"/>
                      <w:szCs w:val="21"/>
                      <w:lang w:val="en-US" w:eastAsia="zh-CN"/>
                    </w:rPr>
                    <w:t>）</w:t>
                  </w:r>
                </w:p>
              </w:tc>
              <w:tc>
                <w:tcPr>
                  <w:tcW w:w="1287" w:type="pct"/>
                  <w:vMerge w:val="continue"/>
                  <w:vAlign w:val="center"/>
                </w:tcPr>
                <w:p>
                  <w:pPr>
                    <w:pStyle w:val="51"/>
                    <w:adjustRightInd w:val="0"/>
                    <w:snapToGrid w:val="0"/>
                    <w:spacing w:line="240" w:lineRule="auto"/>
                    <w:rPr>
                      <w:rFonts w:hint="default" w:ascii="Times New Roman" w:hAnsi="Times New Roman" w:eastAsia="宋体" w:cs="Times New Roman"/>
                      <w:b/>
                      <w:bCs w:val="0"/>
                      <w:color w:val="auto"/>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94" w:hRule="atLeast"/>
                <w:jc w:val="center"/>
              </w:trPr>
              <w:tc>
                <w:tcPr>
                  <w:tcW w:w="632" w:type="pct"/>
                  <w:vAlign w:val="center"/>
                </w:tcPr>
                <w:p>
                  <w:pPr>
                    <w:pStyle w:val="51"/>
                    <w:adjustRightInd w:val="0"/>
                    <w:snapToGrid w:val="0"/>
                    <w:spacing w:line="240" w:lineRule="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val="en-US" w:eastAsia="zh-CN"/>
                    </w:rPr>
                    <w:t>非甲烷总烃</w:t>
                  </w:r>
                </w:p>
              </w:tc>
              <w:tc>
                <w:tcPr>
                  <w:tcW w:w="862" w:type="pct"/>
                  <w:vAlign w:val="center"/>
                </w:tcPr>
                <w:p>
                  <w:pPr>
                    <w:pStyle w:val="51"/>
                    <w:adjustRightInd w:val="0"/>
                    <w:snapToGrid w:val="0"/>
                    <w:spacing w:line="240" w:lineRule="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60</w:t>
                  </w:r>
                </w:p>
              </w:tc>
              <w:tc>
                <w:tcPr>
                  <w:tcW w:w="659" w:type="pct"/>
                  <w:vAlign w:val="center"/>
                </w:tcPr>
                <w:p>
                  <w:pPr>
                    <w:pStyle w:val="51"/>
                    <w:adjustRightInd w:val="0"/>
                    <w:snapToGrid w:val="0"/>
                    <w:spacing w:line="240" w:lineRule="auto"/>
                    <w:rPr>
                      <w:rFonts w:hint="default" w:ascii="Times New Roman" w:hAnsi="Times New Roman" w:eastAsia="宋体" w:cs="Times New Roman"/>
                      <w:color w:val="auto"/>
                      <w:szCs w:val="21"/>
                      <w:lang w:eastAsia="zh-CN"/>
                    </w:rPr>
                  </w:pPr>
                  <w:r>
                    <w:rPr>
                      <w:rFonts w:hint="eastAsia" w:ascii="Times New Roman" w:hAnsi="Times New Roman" w:cs="Times New Roman"/>
                      <w:color w:val="auto"/>
                      <w:szCs w:val="21"/>
                      <w:lang w:val="en-US" w:eastAsia="zh-CN"/>
                    </w:rPr>
                    <w:t>3</w:t>
                  </w:r>
                </w:p>
              </w:tc>
              <w:tc>
                <w:tcPr>
                  <w:tcW w:w="705" w:type="pct"/>
                  <w:vAlign w:val="center"/>
                </w:tcPr>
                <w:p>
                  <w:pPr>
                    <w:pStyle w:val="51"/>
                    <w:adjustRightInd w:val="0"/>
                    <w:snapToGrid w:val="0"/>
                    <w:spacing w:line="240" w:lineRule="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边界外浓度最高点</w:t>
                  </w:r>
                </w:p>
              </w:tc>
              <w:tc>
                <w:tcPr>
                  <w:tcW w:w="853" w:type="pct"/>
                  <w:vAlign w:val="center"/>
                </w:tcPr>
                <w:p>
                  <w:pPr>
                    <w:pStyle w:val="51"/>
                    <w:adjustRightInd w:val="0"/>
                    <w:snapToGrid w:val="0"/>
                    <w:spacing w:line="240" w:lineRule="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4</w:t>
                  </w:r>
                </w:p>
              </w:tc>
              <w:tc>
                <w:tcPr>
                  <w:tcW w:w="1287" w:type="pct"/>
                  <w:vAlign w:val="center"/>
                </w:tcPr>
                <w:p>
                  <w:pPr>
                    <w:pStyle w:val="51"/>
                    <w:adjustRightInd w:val="0"/>
                    <w:snapToGrid w:val="0"/>
                    <w:spacing w:line="240" w:lineRule="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（DB32/4041-2021）表</w:t>
                  </w:r>
                  <w:r>
                    <w:rPr>
                      <w:rFonts w:hint="default" w:ascii="Times New Roman" w:hAnsi="Times New Roman" w:eastAsia="宋体" w:cs="Times New Roman"/>
                      <w:color w:val="auto"/>
                      <w:szCs w:val="21"/>
                      <w:lang w:val="en-US" w:eastAsia="zh-CN"/>
                    </w:rPr>
                    <w:t>1、表3</w:t>
                  </w:r>
                  <w:r>
                    <w:rPr>
                      <w:rFonts w:hint="default" w:ascii="Times New Roman" w:hAnsi="Times New Roman" w:eastAsia="宋体" w:cs="Times New Roman"/>
                      <w:color w:val="auto"/>
                      <w:szCs w:val="21"/>
                    </w:rPr>
                    <w:t>标准</w:t>
                  </w:r>
                </w:p>
              </w:tc>
            </w:tr>
          </w:tbl>
          <w:p>
            <w:pPr>
              <w:widowControl/>
              <w:spacing w:line="360" w:lineRule="auto"/>
              <w:ind w:firstLine="468" w:firstLineChars="200"/>
              <w:rPr>
                <w:rFonts w:hint="default" w:ascii="Times New Roman" w:hAnsi="Times New Roman" w:eastAsia="宋体" w:cs="Times New Roman"/>
                <w:color w:val="auto"/>
                <w:spacing w:val="-3"/>
                <w:sz w:val="24"/>
                <w:lang w:eastAsia="zh-CN"/>
              </w:rPr>
            </w:pPr>
            <w:r>
              <w:rPr>
                <w:rFonts w:hint="default" w:ascii="Times New Roman" w:hAnsi="Times New Roman" w:eastAsia="宋体" w:cs="Times New Roman"/>
                <w:color w:val="auto"/>
                <w:spacing w:val="-3"/>
                <w:sz w:val="24"/>
                <w:lang w:val="en-US" w:eastAsia="zh-CN"/>
              </w:rPr>
              <w:t>本项目天然气燃烧产生的</w:t>
            </w:r>
            <w:r>
              <w:rPr>
                <w:rFonts w:hint="default" w:ascii="Times New Roman" w:hAnsi="Times New Roman" w:eastAsia="宋体" w:cs="Times New Roman"/>
                <w:color w:val="auto"/>
                <w:spacing w:val="-3"/>
                <w:sz w:val="24"/>
              </w:rPr>
              <w:t>颗粒物、二氧化硫执行《锅炉大气污染物排放标准》（GB13271-2014）中表3大气污染物特别排放限值；氮氧化物从严执行常州市政府印发的《2020年常州市打好污染防治攻坚战工作方案》（常政发（2020）29号）文件中的排放限值。具体标准值见下表</w:t>
            </w:r>
            <w:r>
              <w:rPr>
                <w:rFonts w:hint="default" w:ascii="Times New Roman" w:hAnsi="Times New Roman" w:eastAsia="宋体" w:cs="Times New Roman"/>
                <w:color w:val="auto"/>
                <w:spacing w:val="-3"/>
                <w:sz w:val="24"/>
                <w:lang w:eastAsia="zh-CN"/>
              </w:rPr>
              <w:t>：</w:t>
            </w:r>
          </w:p>
          <w:p>
            <w:pPr>
              <w:adjustRightInd w:val="0"/>
              <w:jc w:val="center"/>
              <w:rPr>
                <w:rFonts w:hint="default" w:ascii="Times New Roman" w:hAnsi="Times New Roman" w:eastAsia="宋体" w:cs="Times New Roman"/>
                <w:b/>
                <w:bCs/>
                <w:color w:val="auto"/>
                <w:sz w:val="24"/>
                <w:szCs w:val="22"/>
              </w:rPr>
            </w:pPr>
            <w:r>
              <w:rPr>
                <w:rFonts w:hint="default" w:ascii="Times New Roman" w:hAnsi="Times New Roman" w:eastAsia="宋体" w:cs="Times New Roman"/>
                <w:b/>
                <w:bCs/>
                <w:color w:val="auto"/>
                <w:sz w:val="24"/>
                <w:szCs w:val="22"/>
              </w:rPr>
              <w:t>表3-</w:t>
            </w:r>
            <w:r>
              <w:rPr>
                <w:rFonts w:hint="default" w:ascii="Times New Roman" w:hAnsi="Times New Roman" w:eastAsia="宋体" w:cs="Times New Roman"/>
                <w:b/>
                <w:bCs/>
                <w:color w:val="auto"/>
                <w:sz w:val="24"/>
                <w:szCs w:val="22"/>
                <w:lang w:val="en-US" w:eastAsia="zh-CN"/>
              </w:rPr>
              <w:t>9</w:t>
            </w:r>
            <w:r>
              <w:rPr>
                <w:rFonts w:hint="default" w:ascii="Times New Roman" w:hAnsi="Times New Roman" w:eastAsia="宋体" w:cs="Times New Roman"/>
                <w:b/>
                <w:bCs/>
                <w:color w:val="auto"/>
                <w:sz w:val="24"/>
                <w:szCs w:val="22"/>
              </w:rPr>
              <w:t xml:space="preserve">  </w:t>
            </w:r>
            <w:r>
              <w:rPr>
                <w:rFonts w:hint="default" w:ascii="Times New Roman" w:hAnsi="Times New Roman" w:eastAsia="宋体" w:cs="Times New Roman"/>
                <w:b/>
                <w:bCs/>
                <w:color w:val="auto"/>
                <w:spacing w:val="-3"/>
                <w:sz w:val="24"/>
              </w:rPr>
              <w:t>锅炉大气污染物排放标准  单位：</w:t>
            </w:r>
            <w:r>
              <w:rPr>
                <w:rFonts w:hint="default" w:ascii="Times New Roman" w:hAnsi="Times New Roman" w:eastAsia="宋体" w:cs="Times New Roman"/>
                <w:b/>
                <w:color w:val="auto"/>
                <w:szCs w:val="21"/>
              </w:rPr>
              <w:t>mg/m</w:t>
            </w:r>
            <w:r>
              <w:rPr>
                <w:rFonts w:hint="default" w:ascii="Times New Roman" w:hAnsi="Times New Roman" w:eastAsia="宋体" w:cs="Times New Roman"/>
                <w:b/>
                <w:color w:val="auto"/>
                <w:szCs w:val="21"/>
                <w:vertAlign w:val="superscript"/>
              </w:rPr>
              <w:t>3</w:t>
            </w:r>
          </w:p>
          <w:tbl>
            <w:tblPr>
              <w:tblStyle w:val="23"/>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49"/>
              <w:gridCol w:w="1101"/>
              <w:gridCol w:w="1315"/>
              <w:gridCol w:w="444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920" w:type="pct"/>
                  <w:vAlign w:val="center"/>
                </w:tcPr>
                <w:p>
                  <w:pPr>
                    <w:pStyle w:val="51"/>
                    <w:adjustRightInd w:val="0"/>
                    <w:snapToGrid w:val="0"/>
                    <w:spacing w:line="240" w:lineRule="auto"/>
                    <w:rPr>
                      <w:rFonts w:hint="default" w:ascii="Times New Roman" w:hAnsi="Times New Roman" w:eastAsia="宋体" w:cs="Times New Roman"/>
                      <w:b/>
                      <w:bCs w:val="0"/>
                      <w:color w:val="auto"/>
                      <w:szCs w:val="21"/>
                    </w:rPr>
                  </w:pPr>
                  <w:r>
                    <w:rPr>
                      <w:rFonts w:hint="default" w:ascii="Times New Roman" w:hAnsi="Times New Roman" w:eastAsia="宋体" w:cs="Times New Roman"/>
                      <w:b/>
                      <w:bCs w:val="0"/>
                      <w:color w:val="auto"/>
                      <w:szCs w:val="21"/>
                    </w:rPr>
                    <w:t>污染物项目</w:t>
                  </w:r>
                </w:p>
              </w:tc>
              <w:tc>
                <w:tcPr>
                  <w:tcW w:w="654" w:type="pct"/>
                  <w:vAlign w:val="center"/>
                </w:tcPr>
                <w:p>
                  <w:pPr>
                    <w:pStyle w:val="51"/>
                    <w:adjustRightInd w:val="0"/>
                    <w:snapToGrid w:val="0"/>
                    <w:spacing w:line="240" w:lineRule="auto"/>
                    <w:rPr>
                      <w:rFonts w:hint="default" w:ascii="Times New Roman" w:hAnsi="Times New Roman" w:eastAsia="宋体" w:cs="Times New Roman"/>
                      <w:b/>
                      <w:bCs w:val="0"/>
                      <w:color w:val="auto"/>
                      <w:szCs w:val="21"/>
                    </w:rPr>
                  </w:pPr>
                  <w:r>
                    <w:rPr>
                      <w:rFonts w:hint="default" w:ascii="Times New Roman" w:hAnsi="Times New Roman" w:eastAsia="宋体" w:cs="Times New Roman"/>
                      <w:b/>
                      <w:bCs w:val="0"/>
                      <w:color w:val="auto"/>
                      <w:szCs w:val="21"/>
                    </w:rPr>
                    <w:t>燃气锅炉排放限值</w:t>
                  </w:r>
                </w:p>
              </w:tc>
              <w:tc>
                <w:tcPr>
                  <w:tcW w:w="781" w:type="pct"/>
                  <w:vAlign w:val="center"/>
                </w:tcPr>
                <w:p>
                  <w:pPr>
                    <w:pStyle w:val="51"/>
                    <w:adjustRightInd w:val="0"/>
                    <w:snapToGrid w:val="0"/>
                    <w:spacing w:line="240" w:lineRule="auto"/>
                    <w:rPr>
                      <w:rFonts w:hint="default" w:ascii="Times New Roman" w:hAnsi="Times New Roman" w:eastAsia="宋体" w:cs="Times New Roman"/>
                      <w:b/>
                      <w:bCs w:val="0"/>
                      <w:color w:val="auto"/>
                      <w:szCs w:val="21"/>
                    </w:rPr>
                  </w:pPr>
                  <w:r>
                    <w:rPr>
                      <w:rFonts w:hint="default" w:ascii="Times New Roman" w:hAnsi="Times New Roman" w:eastAsia="宋体" w:cs="Times New Roman"/>
                      <w:b/>
                      <w:bCs w:val="0"/>
                      <w:color w:val="auto"/>
                      <w:szCs w:val="21"/>
                    </w:rPr>
                    <w:t>污染物排放监控位置</w:t>
                  </w:r>
                </w:p>
              </w:tc>
              <w:tc>
                <w:tcPr>
                  <w:tcW w:w="2643" w:type="pct"/>
                  <w:vAlign w:val="center"/>
                </w:tcPr>
                <w:p>
                  <w:pPr>
                    <w:pStyle w:val="51"/>
                    <w:adjustRightInd w:val="0"/>
                    <w:snapToGrid w:val="0"/>
                    <w:spacing w:line="240" w:lineRule="auto"/>
                    <w:rPr>
                      <w:rFonts w:hint="default" w:ascii="Times New Roman" w:hAnsi="Times New Roman" w:eastAsia="宋体" w:cs="Times New Roman"/>
                      <w:b/>
                      <w:bCs w:val="0"/>
                      <w:color w:val="auto"/>
                      <w:szCs w:val="21"/>
                    </w:rPr>
                  </w:pPr>
                  <w:r>
                    <w:rPr>
                      <w:rFonts w:hint="default" w:ascii="Times New Roman" w:hAnsi="Times New Roman" w:eastAsia="宋体" w:cs="Times New Roman"/>
                      <w:b/>
                      <w:bCs w:val="0"/>
                      <w:color w:val="auto"/>
                      <w:szCs w:val="21"/>
                    </w:rPr>
                    <w:t>执行标准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920" w:type="pct"/>
                  <w:vAlign w:val="center"/>
                </w:tcPr>
                <w:p>
                  <w:pPr>
                    <w:pStyle w:val="51"/>
                    <w:adjustRightInd w:val="0"/>
                    <w:snapToGrid w:val="0"/>
                    <w:spacing w:line="240" w:lineRule="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烟气黑度（林格曼黑度，级）</w:t>
                  </w:r>
                </w:p>
              </w:tc>
              <w:tc>
                <w:tcPr>
                  <w:tcW w:w="654" w:type="pct"/>
                  <w:vAlign w:val="center"/>
                </w:tcPr>
                <w:p>
                  <w:pPr>
                    <w:pStyle w:val="51"/>
                    <w:adjustRightInd w:val="0"/>
                    <w:snapToGrid w:val="0"/>
                    <w:spacing w:line="240" w:lineRule="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781" w:type="pct"/>
                  <w:vAlign w:val="center"/>
                </w:tcPr>
                <w:p>
                  <w:pPr>
                    <w:pStyle w:val="51"/>
                    <w:adjustRightInd w:val="0"/>
                    <w:snapToGrid w:val="0"/>
                    <w:spacing w:line="240" w:lineRule="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烟囱排放口</w:t>
                  </w:r>
                </w:p>
              </w:tc>
              <w:tc>
                <w:tcPr>
                  <w:tcW w:w="2643" w:type="pct"/>
                  <w:vMerge w:val="restart"/>
                  <w:vAlign w:val="center"/>
                </w:tcPr>
                <w:p>
                  <w:pPr>
                    <w:pStyle w:val="51"/>
                    <w:adjustRightInd w:val="0"/>
                    <w:snapToGrid w:val="0"/>
                    <w:spacing w:line="240" w:lineRule="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《锅炉大气污染物排放标准》</w:t>
                  </w:r>
                </w:p>
                <w:p>
                  <w:pPr>
                    <w:pStyle w:val="51"/>
                    <w:adjustRightInd w:val="0"/>
                    <w:snapToGrid w:val="0"/>
                    <w:spacing w:line="240" w:lineRule="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（GB13271-2014）中表3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920" w:type="pct"/>
                  <w:vAlign w:val="center"/>
                </w:tcPr>
                <w:p>
                  <w:pPr>
                    <w:pStyle w:val="51"/>
                    <w:adjustRightInd w:val="0"/>
                    <w:snapToGrid w:val="0"/>
                    <w:spacing w:line="240" w:lineRule="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颗粒物</w:t>
                  </w:r>
                </w:p>
              </w:tc>
              <w:tc>
                <w:tcPr>
                  <w:tcW w:w="654" w:type="pct"/>
                  <w:vAlign w:val="center"/>
                </w:tcPr>
                <w:p>
                  <w:pPr>
                    <w:pStyle w:val="51"/>
                    <w:adjustRightInd w:val="0"/>
                    <w:snapToGrid w:val="0"/>
                    <w:spacing w:line="240" w:lineRule="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w:t>
                  </w:r>
                </w:p>
              </w:tc>
              <w:tc>
                <w:tcPr>
                  <w:tcW w:w="781" w:type="pct"/>
                  <w:vMerge w:val="restart"/>
                  <w:vAlign w:val="center"/>
                </w:tcPr>
                <w:p>
                  <w:pPr>
                    <w:pStyle w:val="51"/>
                    <w:adjustRightInd w:val="0"/>
                    <w:snapToGrid w:val="0"/>
                    <w:spacing w:line="240" w:lineRule="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烟囱或烟道</w:t>
                  </w:r>
                </w:p>
              </w:tc>
              <w:tc>
                <w:tcPr>
                  <w:tcW w:w="2643" w:type="pct"/>
                  <w:vMerge w:val="continue"/>
                  <w:vAlign w:val="center"/>
                </w:tcPr>
                <w:p>
                  <w:pPr>
                    <w:pStyle w:val="51"/>
                    <w:adjustRightInd w:val="0"/>
                    <w:snapToGrid w:val="0"/>
                    <w:spacing w:line="240" w:lineRule="auto"/>
                    <w:rPr>
                      <w:rFonts w:hint="default" w:ascii="Times New Roman" w:hAnsi="Times New Roman" w:eastAsia="宋体" w:cs="Times New Roman"/>
                      <w:color w:val="auto"/>
                      <w:sz w:val="24"/>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920" w:type="pct"/>
                  <w:vAlign w:val="center"/>
                </w:tcPr>
                <w:p>
                  <w:pPr>
                    <w:pStyle w:val="51"/>
                    <w:adjustRightInd w:val="0"/>
                    <w:snapToGrid w:val="0"/>
                    <w:spacing w:line="240" w:lineRule="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二氧化硫</w:t>
                  </w:r>
                </w:p>
              </w:tc>
              <w:tc>
                <w:tcPr>
                  <w:tcW w:w="654" w:type="pct"/>
                  <w:vAlign w:val="center"/>
                </w:tcPr>
                <w:p>
                  <w:pPr>
                    <w:pStyle w:val="51"/>
                    <w:adjustRightInd w:val="0"/>
                    <w:snapToGrid w:val="0"/>
                    <w:spacing w:line="240" w:lineRule="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50</w:t>
                  </w:r>
                </w:p>
              </w:tc>
              <w:tc>
                <w:tcPr>
                  <w:tcW w:w="781" w:type="pct"/>
                  <w:vMerge w:val="continue"/>
                  <w:vAlign w:val="center"/>
                </w:tcPr>
                <w:p>
                  <w:pPr>
                    <w:pStyle w:val="51"/>
                    <w:adjustRightInd w:val="0"/>
                    <w:snapToGrid w:val="0"/>
                    <w:spacing w:line="240" w:lineRule="auto"/>
                    <w:rPr>
                      <w:rFonts w:hint="default" w:ascii="Times New Roman" w:hAnsi="Times New Roman" w:eastAsia="宋体" w:cs="Times New Roman"/>
                      <w:color w:val="auto"/>
                      <w:szCs w:val="21"/>
                    </w:rPr>
                  </w:pPr>
                </w:p>
              </w:tc>
              <w:tc>
                <w:tcPr>
                  <w:tcW w:w="2643" w:type="pct"/>
                  <w:vMerge w:val="continue"/>
                  <w:vAlign w:val="center"/>
                </w:tcPr>
                <w:p>
                  <w:pPr>
                    <w:pStyle w:val="51"/>
                    <w:adjustRightInd w:val="0"/>
                    <w:snapToGrid w:val="0"/>
                    <w:spacing w:line="240" w:lineRule="auto"/>
                    <w:rPr>
                      <w:rFonts w:hint="default" w:ascii="Times New Roman" w:hAnsi="Times New Roman" w:eastAsia="宋体" w:cs="Times New Roman"/>
                      <w:color w:val="auto"/>
                      <w:sz w:val="24"/>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920" w:type="pct"/>
                  <w:vMerge w:val="restart"/>
                  <w:vAlign w:val="center"/>
                </w:tcPr>
                <w:p>
                  <w:pPr>
                    <w:pStyle w:val="51"/>
                    <w:adjustRightInd w:val="0"/>
                    <w:snapToGrid w:val="0"/>
                    <w:spacing w:line="240" w:lineRule="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氮氧化物</w:t>
                  </w:r>
                </w:p>
              </w:tc>
              <w:tc>
                <w:tcPr>
                  <w:tcW w:w="654" w:type="pct"/>
                  <w:vAlign w:val="center"/>
                </w:tcPr>
                <w:p>
                  <w:pPr>
                    <w:pStyle w:val="51"/>
                    <w:adjustRightInd w:val="0"/>
                    <w:snapToGrid w:val="0"/>
                    <w:spacing w:line="240" w:lineRule="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150</w:t>
                  </w:r>
                </w:p>
              </w:tc>
              <w:tc>
                <w:tcPr>
                  <w:tcW w:w="781" w:type="pct"/>
                  <w:vMerge w:val="continue"/>
                  <w:vAlign w:val="center"/>
                </w:tcPr>
                <w:p>
                  <w:pPr>
                    <w:pStyle w:val="51"/>
                    <w:adjustRightInd w:val="0"/>
                    <w:snapToGrid w:val="0"/>
                    <w:spacing w:line="240" w:lineRule="auto"/>
                    <w:rPr>
                      <w:rFonts w:hint="default" w:ascii="Times New Roman" w:hAnsi="Times New Roman" w:eastAsia="宋体" w:cs="Times New Roman"/>
                      <w:color w:val="auto"/>
                      <w:sz w:val="24"/>
                    </w:rPr>
                  </w:pPr>
                </w:p>
              </w:tc>
              <w:tc>
                <w:tcPr>
                  <w:tcW w:w="2643" w:type="pct"/>
                  <w:vMerge w:val="continue"/>
                  <w:vAlign w:val="center"/>
                </w:tcPr>
                <w:p>
                  <w:pPr>
                    <w:pStyle w:val="51"/>
                    <w:adjustRightInd w:val="0"/>
                    <w:snapToGrid w:val="0"/>
                    <w:spacing w:line="240" w:lineRule="auto"/>
                    <w:rPr>
                      <w:rFonts w:hint="default" w:ascii="Times New Roman" w:hAnsi="Times New Roman" w:eastAsia="宋体" w:cs="Times New Roman"/>
                      <w:color w:val="auto"/>
                      <w:sz w:val="24"/>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20" w:type="pct"/>
                  <w:vMerge w:val="continue"/>
                  <w:vAlign w:val="center"/>
                </w:tcPr>
                <w:p>
                  <w:pPr>
                    <w:pStyle w:val="51"/>
                    <w:adjustRightInd w:val="0"/>
                    <w:snapToGrid w:val="0"/>
                    <w:spacing w:line="240" w:lineRule="auto"/>
                    <w:rPr>
                      <w:rFonts w:hint="default" w:ascii="Times New Roman" w:hAnsi="Times New Roman" w:eastAsia="宋体" w:cs="Times New Roman"/>
                      <w:color w:val="auto"/>
                      <w:szCs w:val="21"/>
                    </w:rPr>
                  </w:pPr>
                </w:p>
              </w:tc>
              <w:tc>
                <w:tcPr>
                  <w:tcW w:w="654" w:type="pct"/>
                  <w:vAlign w:val="center"/>
                </w:tcPr>
                <w:p>
                  <w:pPr>
                    <w:pStyle w:val="51"/>
                    <w:adjustRightInd w:val="0"/>
                    <w:snapToGrid w:val="0"/>
                    <w:spacing w:line="240" w:lineRule="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50</w:t>
                  </w:r>
                </w:p>
              </w:tc>
              <w:tc>
                <w:tcPr>
                  <w:tcW w:w="781" w:type="pct"/>
                  <w:vAlign w:val="center"/>
                </w:tcPr>
                <w:p>
                  <w:pPr>
                    <w:pStyle w:val="51"/>
                    <w:adjustRightInd w:val="0"/>
                    <w:snapToGrid w:val="0"/>
                    <w:spacing w:line="240" w:lineRule="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w:t>
                  </w:r>
                </w:p>
              </w:tc>
              <w:tc>
                <w:tcPr>
                  <w:tcW w:w="2643" w:type="pct"/>
                  <w:vAlign w:val="center"/>
                </w:tcPr>
                <w:p>
                  <w:pPr>
                    <w:pStyle w:val="51"/>
                    <w:adjustRightInd w:val="0"/>
                    <w:snapToGrid w:val="0"/>
                    <w:spacing w:line="240" w:lineRule="auto"/>
                    <w:rPr>
                      <w:rFonts w:hint="default" w:ascii="Times New Roman" w:hAnsi="Times New Roman" w:eastAsia="宋体" w:cs="Times New Roman"/>
                      <w:color w:val="auto"/>
                      <w:sz w:val="24"/>
                    </w:rPr>
                  </w:pPr>
                  <w:r>
                    <w:rPr>
                      <w:rFonts w:hint="default" w:ascii="Times New Roman" w:hAnsi="Times New Roman" w:eastAsia="宋体" w:cs="Times New Roman"/>
                      <w:color w:val="auto"/>
                      <w:szCs w:val="21"/>
                    </w:rPr>
                    <w:t>常州市政府印发的《2020年常州市打好污染防治攻坚战工作方案》（常政发（2020）29号）</w:t>
                  </w:r>
                </w:p>
              </w:tc>
            </w:tr>
          </w:tbl>
          <w:p>
            <w:pPr>
              <w:spacing w:line="360" w:lineRule="auto"/>
              <w:ind w:firstLine="420" w:firstLineChars="200"/>
              <w:rPr>
                <w:rFonts w:hint="default" w:ascii="Times New Roman" w:hAnsi="Times New Roman" w:eastAsia="宋体" w:cs="Times New Roman"/>
                <w:color w:val="auto"/>
                <w:spacing w:val="-3"/>
                <w:sz w:val="24"/>
              </w:rPr>
            </w:pPr>
            <w:r>
              <w:rPr>
                <w:rFonts w:hint="default" w:ascii="Times New Roman" w:hAnsi="Times New Roman" w:eastAsia="宋体" w:cs="Times New Roman"/>
                <w:color w:val="auto"/>
              </w:rPr>
              <w:drawing>
                <wp:anchor distT="0" distB="0" distL="114300" distR="114300" simplePos="0" relativeHeight="251663360" behindDoc="1" locked="0" layoutInCell="1" allowOverlap="1">
                  <wp:simplePos x="0" y="0"/>
                  <wp:positionH relativeFrom="column">
                    <wp:posOffset>893445</wp:posOffset>
                  </wp:positionH>
                  <wp:positionV relativeFrom="paragraph">
                    <wp:posOffset>789305</wp:posOffset>
                  </wp:positionV>
                  <wp:extent cx="1607820" cy="626110"/>
                  <wp:effectExtent l="0" t="0" r="11430" b="2540"/>
                  <wp:wrapNone/>
                  <wp:docPr id="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8"/>
                          <pic:cNvPicPr>
                            <a:picLocks noChangeAspect="1"/>
                          </pic:cNvPicPr>
                        </pic:nvPicPr>
                        <pic:blipFill>
                          <a:blip r:embed="rId23" cstate="print"/>
                          <a:stretch>
                            <a:fillRect/>
                          </a:stretch>
                        </pic:blipFill>
                        <pic:spPr>
                          <a:xfrm>
                            <a:off x="0" y="0"/>
                            <a:ext cx="1607820" cy="626110"/>
                          </a:xfrm>
                          <a:prstGeom prst="rect">
                            <a:avLst/>
                          </a:prstGeom>
                          <a:noFill/>
                          <a:ln>
                            <a:noFill/>
                          </a:ln>
                        </pic:spPr>
                      </pic:pic>
                    </a:graphicData>
                  </a:graphic>
                </wp:anchor>
              </w:drawing>
            </w:r>
            <w:r>
              <w:rPr>
                <w:rFonts w:hint="default" w:ascii="Times New Roman" w:hAnsi="Times New Roman" w:eastAsia="宋体" w:cs="Times New Roman"/>
                <w:color w:val="auto"/>
                <w:spacing w:val="-3"/>
                <w:sz w:val="24"/>
              </w:rPr>
              <w:t>依据《锅炉大气污染物排放标准》（GB13271-2014）要求，实测的锅炉颗粒物、二氧化硫、氮氧化物的排放浓度，应按公式(1)折算为基准氧含量排放浓度。各类燃烧设备的基准氧含量见表3-7：</w:t>
            </w:r>
          </w:p>
          <w:p>
            <w:pPr>
              <w:adjustRightInd w:val="0"/>
              <w:rPr>
                <w:rFonts w:hint="default" w:ascii="Times New Roman" w:hAnsi="Times New Roman" w:eastAsia="宋体" w:cs="Times New Roman"/>
                <w:color w:val="auto"/>
              </w:rPr>
            </w:pPr>
          </w:p>
          <w:p>
            <w:pPr>
              <w:adjustRightInd w:val="0"/>
              <w:ind w:firstLine="3990" w:firstLineChars="1900"/>
              <w:rPr>
                <w:rFonts w:hint="default" w:ascii="Times New Roman" w:hAnsi="Times New Roman" w:eastAsia="宋体" w:cs="Times New Roman"/>
                <w:b/>
                <w:bCs/>
                <w:color w:val="auto"/>
                <w:sz w:val="24"/>
                <w:szCs w:val="22"/>
              </w:rPr>
            </w:pPr>
            <w:r>
              <w:rPr>
                <w:rFonts w:hint="default" w:ascii="Times New Roman" w:hAnsi="Times New Roman" w:eastAsia="宋体" w:cs="Times New Roman"/>
                <w:color w:val="auto"/>
              </w:rPr>
              <w:t xml:space="preserve">          （1）</w:t>
            </w:r>
          </w:p>
          <w:p>
            <w:pPr>
              <w:adjustRightInd w:val="0"/>
              <w:jc w:val="center"/>
              <w:rPr>
                <w:rFonts w:hint="default" w:ascii="Times New Roman" w:hAnsi="Times New Roman" w:eastAsia="宋体" w:cs="Times New Roman"/>
                <w:b/>
                <w:bCs/>
                <w:color w:val="auto"/>
                <w:sz w:val="24"/>
                <w:szCs w:val="22"/>
              </w:rPr>
            </w:pPr>
          </w:p>
          <w:p>
            <w:pPr>
              <w:adjustRightInd w:val="0"/>
              <w:jc w:val="center"/>
              <w:rPr>
                <w:rFonts w:hint="default" w:ascii="Times New Roman" w:hAnsi="Times New Roman" w:eastAsia="宋体" w:cs="Times New Roman"/>
                <w:b/>
                <w:bCs/>
                <w:color w:val="auto"/>
                <w:sz w:val="24"/>
                <w:szCs w:val="22"/>
              </w:rPr>
            </w:pP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式中：ρ——大气污染物基准氧含量排放浓度；mg/m</w:t>
            </w:r>
            <w:r>
              <w:rPr>
                <w:rFonts w:hint="default" w:ascii="Times New Roman" w:hAnsi="Times New Roman" w:eastAsia="宋体" w:cs="Times New Roman"/>
                <w:color w:val="auto"/>
                <w:sz w:val="24"/>
                <w:vertAlign w:val="superscript"/>
              </w:rPr>
              <w:t>3</w:t>
            </w:r>
            <w:r>
              <w:rPr>
                <w:rFonts w:hint="default" w:ascii="Times New Roman" w:hAnsi="Times New Roman" w:eastAsia="宋体" w:cs="Times New Roman"/>
                <w:color w:val="auto"/>
                <w:sz w:val="24"/>
              </w:rPr>
              <w:t>；</w:t>
            </w:r>
          </w:p>
          <w:p>
            <w:pPr>
              <w:adjustRightInd w:val="0"/>
              <w:snapToGrid w:val="0"/>
              <w:spacing w:line="360" w:lineRule="auto"/>
              <w:ind w:firstLine="1200" w:firstLineChars="5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ρ’——实测的大气污染物排放浓度，mg/m</w:t>
            </w:r>
            <w:r>
              <w:rPr>
                <w:rFonts w:hint="default" w:ascii="Times New Roman" w:hAnsi="Times New Roman" w:eastAsia="宋体" w:cs="Times New Roman"/>
                <w:color w:val="auto"/>
                <w:sz w:val="24"/>
                <w:vertAlign w:val="superscript"/>
              </w:rPr>
              <w:t>3</w:t>
            </w:r>
            <w:r>
              <w:rPr>
                <w:rFonts w:hint="default" w:ascii="Times New Roman" w:hAnsi="Times New Roman" w:eastAsia="宋体" w:cs="Times New Roman"/>
                <w:color w:val="auto"/>
                <w:sz w:val="24"/>
              </w:rPr>
              <w:t>；</w:t>
            </w:r>
          </w:p>
          <w:p>
            <w:pPr>
              <w:pStyle w:val="2"/>
              <w:ind w:left="0" w:leftChars="0" w:right="1470" w:firstLine="1200" w:firstLineChars="5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szCs w:val="24"/>
                <w:shd w:val="clear" w:color="auto" w:fill="FFFFFF"/>
              </w:rPr>
              <w:t>φ</w:t>
            </w:r>
            <w:r>
              <w:rPr>
                <w:rFonts w:hint="default" w:ascii="Times New Roman" w:hAnsi="Times New Roman" w:eastAsia="宋体" w:cs="Times New Roman"/>
                <w:color w:val="auto"/>
                <w:sz w:val="24"/>
                <w:szCs w:val="24"/>
              </w:rPr>
              <w:t>——实测的氧含</w:t>
            </w:r>
            <w:r>
              <w:rPr>
                <w:rFonts w:hint="default" w:ascii="Times New Roman" w:hAnsi="Times New Roman" w:eastAsia="宋体" w:cs="Times New Roman"/>
                <w:color w:val="auto"/>
                <w:sz w:val="24"/>
              </w:rPr>
              <w:t>量；</w:t>
            </w:r>
          </w:p>
          <w:p>
            <w:pPr>
              <w:pStyle w:val="2"/>
              <w:ind w:left="0" w:leftChars="0" w:right="1470" w:firstLine="1200" w:firstLineChars="500"/>
              <w:rPr>
                <w:rFonts w:hint="default" w:ascii="Times New Roman" w:hAnsi="Times New Roman" w:eastAsia="宋体" w:cs="Times New Roman"/>
                <w:color w:val="auto"/>
              </w:rPr>
            </w:pPr>
            <w:r>
              <w:rPr>
                <w:rFonts w:hint="default" w:ascii="Times New Roman" w:hAnsi="Times New Roman" w:eastAsia="宋体" w:cs="Times New Roman"/>
                <w:color w:val="auto"/>
                <w:sz w:val="24"/>
                <w:szCs w:val="24"/>
                <w:shd w:val="clear" w:color="auto" w:fill="FFFFFF"/>
              </w:rPr>
              <w:t>φ</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szCs w:val="24"/>
              </w:rPr>
              <w:t>——实测的氧含</w:t>
            </w:r>
            <w:r>
              <w:rPr>
                <w:rFonts w:hint="default" w:ascii="Times New Roman" w:hAnsi="Times New Roman" w:eastAsia="宋体" w:cs="Times New Roman"/>
                <w:color w:val="auto"/>
                <w:sz w:val="24"/>
              </w:rPr>
              <w:t>量；</w:t>
            </w:r>
          </w:p>
          <w:p>
            <w:pPr>
              <w:adjustRightInd w:val="0"/>
              <w:jc w:val="center"/>
              <w:rPr>
                <w:rFonts w:hint="default" w:ascii="Times New Roman" w:hAnsi="Times New Roman" w:eastAsia="宋体" w:cs="Times New Roman"/>
                <w:b/>
                <w:bCs/>
                <w:color w:val="auto"/>
                <w:sz w:val="24"/>
                <w:szCs w:val="22"/>
              </w:rPr>
            </w:pPr>
            <w:r>
              <w:rPr>
                <w:rFonts w:hint="default" w:ascii="Times New Roman" w:hAnsi="Times New Roman" w:eastAsia="宋体" w:cs="Times New Roman"/>
                <w:b/>
                <w:bCs/>
                <w:color w:val="auto"/>
                <w:sz w:val="24"/>
                <w:szCs w:val="22"/>
              </w:rPr>
              <w:t>表3-</w:t>
            </w:r>
            <w:r>
              <w:rPr>
                <w:rFonts w:hint="default" w:ascii="Times New Roman" w:hAnsi="Times New Roman" w:eastAsia="宋体" w:cs="Times New Roman"/>
                <w:b/>
                <w:bCs/>
                <w:color w:val="auto"/>
                <w:sz w:val="24"/>
                <w:szCs w:val="22"/>
                <w:lang w:val="en-US" w:eastAsia="zh-CN"/>
              </w:rPr>
              <w:t>10</w:t>
            </w:r>
            <w:r>
              <w:rPr>
                <w:rFonts w:hint="default" w:ascii="Times New Roman" w:hAnsi="Times New Roman" w:eastAsia="宋体" w:cs="Times New Roman"/>
                <w:b/>
                <w:bCs/>
                <w:color w:val="auto"/>
                <w:sz w:val="24"/>
                <w:szCs w:val="22"/>
              </w:rPr>
              <w:t xml:space="preserve">  </w:t>
            </w:r>
            <w:r>
              <w:rPr>
                <w:rFonts w:hint="default" w:ascii="Times New Roman" w:hAnsi="Times New Roman" w:eastAsia="宋体" w:cs="Times New Roman"/>
                <w:b/>
                <w:bCs/>
                <w:color w:val="auto"/>
                <w:spacing w:val="-3"/>
                <w:sz w:val="24"/>
              </w:rPr>
              <w:t>锅炉大气污染物</w:t>
            </w:r>
            <w:r>
              <w:rPr>
                <w:rFonts w:hint="eastAsia" w:ascii="Times New Roman" w:hAnsi="Times New Roman" w:eastAsia="宋体" w:cs="Times New Roman"/>
                <w:b/>
                <w:bCs/>
                <w:color w:val="auto"/>
                <w:spacing w:val="-3"/>
                <w:sz w:val="24"/>
                <w:lang w:val="en-US" w:eastAsia="zh-CN"/>
              </w:rPr>
              <w:t>基准含氧量</w:t>
            </w:r>
          </w:p>
          <w:tbl>
            <w:tblPr>
              <w:tblStyle w:val="23"/>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508"/>
              <w:gridCol w:w="1456"/>
              <w:gridCol w:w="445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1490" w:type="pct"/>
                  <w:vAlign w:val="center"/>
                </w:tcPr>
                <w:p>
                  <w:pPr>
                    <w:pStyle w:val="51"/>
                    <w:adjustRightInd w:val="0"/>
                    <w:snapToGrid w:val="0"/>
                    <w:spacing w:line="240" w:lineRule="auto"/>
                    <w:rPr>
                      <w:rFonts w:hint="default" w:ascii="Times New Roman" w:hAnsi="Times New Roman" w:eastAsia="宋体" w:cs="Times New Roman"/>
                      <w:b/>
                      <w:bCs w:val="0"/>
                      <w:color w:val="auto"/>
                      <w:szCs w:val="21"/>
                    </w:rPr>
                  </w:pPr>
                  <w:r>
                    <w:rPr>
                      <w:rFonts w:hint="default" w:ascii="Times New Roman" w:hAnsi="Times New Roman" w:eastAsia="宋体" w:cs="Times New Roman"/>
                      <w:b/>
                      <w:bCs w:val="0"/>
                      <w:color w:val="auto"/>
                      <w:szCs w:val="21"/>
                    </w:rPr>
                    <w:t>锅炉类型</w:t>
                  </w:r>
                </w:p>
              </w:tc>
              <w:tc>
                <w:tcPr>
                  <w:tcW w:w="865" w:type="pct"/>
                  <w:vAlign w:val="center"/>
                </w:tcPr>
                <w:p>
                  <w:pPr>
                    <w:pStyle w:val="51"/>
                    <w:adjustRightInd w:val="0"/>
                    <w:snapToGrid w:val="0"/>
                    <w:spacing w:line="240" w:lineRule="auto"/>
                    <w:rPr>
                      <w:rFonts w:hint="default" w:ascii="Times New Roman" w:hAnsi="Times New Roman" w:eastAsia="宋体" w:cs="Times New Roman"/>
                      <w:b/>
                      <w:bCs w:val="0"/>
                      <w:color w:val="auto"/>
                      <w:szCs w:val="21"/>
                    </w:rPr>
                  </w:pPr>
                  <w:r>
                    <w:rPr>
                      <w:rFonts w:hint="default" w:ascii="Times New Roman" w:hAnsi="Times New Roman" w:eastAsia="宋体" w:cs="Times New Roman"/>
                      <w:b/>
                      <w:bCs w:val="0"/>
                      <w:color w:val="auto"/>
                      <w:szCs w:val="21"/>
                    </w:rPr>
                    <w:t>基准含氧量（O</w:t>
                  </w:r>
                  <w:r>
                    <w:rPr>
                      <w:rFonts w:hint="default" w:ascii="Times New Roman" w:hAnsi="Times New Roman" w:eastAsia="宋体" w:cs="Times New Roman"/>
                      <w:b/>
                      <w:bCs w:val="0"/>
                      <w:color w:val="auto"/>
                      <w:szCs w:val="21"/>
                      <w:vertAlign w:val="subscript"/>
                    </w:rPr>
                    <w:t>2</w:t>
                  </w:r>
                  <w:r>
                    <w:rPr>
                      <w:rFonts w:hint="default" w:ascii="Times New Roman" w:hAnsi="Times New Roman" w:eastAsia="宋体" w:cs="Times New Roman"/>
                      <w:b/>
                      <w:bCs w:val="0"/>
                      <w:color w:val="auto"/>
                      <w:szCs w:val="21"/>
                    </w:rPr>
                    <w:t>）/%</w:t>
                  </w:r>
                </w:p>
              </w:tc>
              <w:tc>
                <w:tcPr>
                  <w:tcW w:w="2643" w:type="pct"/>
                  <w:vAlign w:val="center"/>
                </w:tcPr>
                <w:p>
                  <w:pPr>
                    <w:pStyle w:val="51"/>
                    <w:adjustRightInd w:val="0"/>
                    <w:snapToGrid w:val="0"/>
                    <w:spacing w:line="240" w:lineRule="auto"/>
                    <w:rPr>
                      <w:rFonts w:hint="default" w:ascii="Times New Roman" w:hAnsi="Times New Roman" w:eastAsia="宋体" w:cs="Times New Roman"/>
                      <w:b/>
                      <w:bCs w:val="0"/>
                      <w:color w:val="auto"/>
                      <w:szCs w:val="21"/>
                    </w:rPr>
                  </w:pPr>
                  <w:r>
                    <w:rPr>
                      <w:rFonts w:hint="default" w:ascii="Times New Roman" w:hAnsi="Times New Roman" w:eastAsia="宋体" w:cs="Times New Roman"/>
                      <w:b/>
                      <w:bCs w:val="0"/>
                      <w:color w:val="auto"/>
                      <w:szCs w:val="21"/>
                    </w:rPr>
                    <w:t>执行标准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490" w:type="pct"/>
                  <w:vAlign w:val="center"/>
                </w:tcPr>
                <w:p>
                  <w:pPr>
                    <w:pStyle w:val="51"/>
                    <w:adjustRightInd w:val="0"/>
                    <w:snapToGrid w:val="0"/>
                    <w:spacing w:line="240" w:lineRule="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燃煤锅炉</w:t>
                  </w:r>
                </w:p>
              </w:tc>
              <w:tc>
                <w:tcPr>
                  <w:tcW w:w="865" w:type="pct"/>
                  <w:vAlign w:val="center"/>
                </w:tcPr>
                <w:p>
                  <w:pPr>
                    <w:pStyle w:val="51"/>
                    <w:adjustRightInd w:val="0"/>
                    <w:snapToGrid w:val="0"/>
                    <w:spacing w:line="240" w:lineRule="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9</w:t>
                  </w:r>
                </w:p>
              </w:tc>
              <w:tc>
                <w:tcPr>
                  <w:tcW w:w="2643" w:type="pct"/>
                  <w:vMerge w:val="restart"/>
                  <w:vAlign w:val="center"/>
                </w:tcPr>
                <w:p>
                  <w:pPr>
                    <w:pStyle w:val="51"/>
                    <w:adjustRightInd w:val="0"/>
                    <w:snapToGrid w:val="0"/>
                    <w:spacing w:line="240" w:lineRule="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《锅炉大气污染物排放标准》</w:t>
                  </w:r>
                </w:p>
                <w:p>
                  <w:pPr>
                    <w:pStyle w:val="51"/>
                    <w:adjustRightInd w:val="0"/>
                    <w:snapToGrid w:val="0"/>
                    <w:spacing w:line="240" w:lineRule="auto"/>
                    <w:rPr>
                      <w:rFonts w:hint="eastAsia"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（GB13271-2014）中表6</w:t>
                  </w:r>
                  <w:r>
                    <w:rPr>
                      <w:rFonts w:hint="eastAsia" w:ascii="Times New Roman" w:hAnsi="Times New Roman" w:eastAsia="宋体" w:cs="Times New Roman"/>
                      <w:color w:val="auto"/>
                      <w:szCs w:val="21"/>
                      <w:lang w:val="en-US" w:eastAsia="zh-CN"/>
                    </w:rPr>
                    <w:t>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490" w:type="pct"/>
                  <w:vAlign w:val="center"/>
                </w:tcPr>
                <w:p>
                  <w:pPr>
                    <w:pStyle w:val="51"/>
                    <w:adjustRightInd w:val="0"/>
                    <w:snapToGrid w:val="0"/>
                    <w:spacing w:line="240" w:lineRule="auto"/>
                    <w:rPr>
                      <w:rFonts w:hint="default" w:ascii="Times New Roman" w:hAnsi="Times New Roman" w:eastAsia="宋体" w:cs="Times New Roman"/>
                      <w:b/>
                      <w:bCs w:val="0"/>
                      <w:color w:val="auto"/>
                      <w:szCs w:val="21"/>
                    </w:rPr>
                  </w:pPr>
                  <w:r>
                    <w:rPr>
                      <w:rFonts w:hint="default" w:ascii="Times New Roman" w:hAnsi="Times New Roman" w:eastAsia="宋体" w:cs="Times New Roman"/>
                      <w:b/>
                      <w:bCs w:val="0"/>
                      <w:color w:val="auto"/>
                      <w:szCs w:val="21"/>
                    </w:rPr>
                    <w:t>燃油、燃气锅炉</w:t>
                  </w:r>
                </w:p>
              </w:tc>
              <w:tc>
                <w:tcPr>
                  <w:tcW w:w="865" w:type="pct"/>
                  <w:vAlign w:val="center"/>
                </w:tcPr>
                <w:p>
                  <w:pPr>
                    <w:pStyle w:val="51"/>
                    <w:adjustRightInd w:val="0"/>
                    <w:snapToGrid w:val="0"/>
                    <w:spacing w:line="240" w:lineRule="auto"/>
                    <w:rPr>
                      <w:rFonts w:hint="default" w:ascii="Times New Roman" w:hAnsi="Times New Roman" w:eastAsia="宋体" w:cs="Times New Roman"/>
                      <w:b/>
                      <w:bCs w:val="0"/>
                      <w:color w:val="auto"/>
                      <w:szCs w:val="21"/>
                    </w:rPr>
                  </w:pPr>
                  <w:r>
                    <w:rPr>
                      <w:rFonts w:hint="default" w:ascii="Times New Roman" w:hAnsi="Times New Roman" w:eastAsia="宋体" w:cs="Times New Roman"/>
                      <w:b/>
                      <w:bCs w:val="0"/>
                      <w:color w:val="auto"/>
                      <w:szCs w:val="21"/>
                    </w:rPr>
                    <w:t>3.5</w:t>
                  </w:r>
                </w:p>
              </w:tc>
              <w:tc>
                <w:tcPr>
                  <w:tcW w:w="2643" w:type="pct"/>
                  <w:vMerge w:val="continue"/>
                  <w:vAlign w:val="center"/>
                </w:tcPr>
                <w:p>
                  <w:pPr>
                    <w:pStyle w:val="51"/>
                    <w:adjustRightInd w:val="0"/>
                    <w:snapToGrid w:val="0"/>
                    <w:spacing w:line="240" w:lineRule="auto"/>
                    <w:rPr>
                      <w:rFonts w:hint="default" w:ascii="Times New Roman" w:hAnsi="Times New Roman" w:eastAsia="宋体" w:cs="Times New Roman"/>
                      <w:color w:val="auto"/>
                      <w:szCs w:val="21"/>
                    </w:rPr>
                  </w:pPr>
                </w:p>
              </w:tc>
            </w:tr>
          </w:tbl>
          <w:p>
            <w:pPr>
              <w:widowControl/>
              <w:spacing w:line="360" w:lineRule="auto"/>
              <w:ind w:firstLine="480" w:firstLineChars="200"/>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本项目厂区内挥发性有机物无组织排放浓度执行</w:t>
            </w:r>
            <w:r>
              <w:rPr>
                <w:rFonts w:hint="default" w:ascii="Times New Roman" w:hAnsi="Times New Roman" w:eastAsia="宋体" w:cs="Times New Roman"/>
                <w:color w:val="auto"/>
                <w:sz w:val="24"/>
              </w:rPr>
              <w:t>《大气污染物综合排放标准》（DB32/4041-2021）表</w:t>
            </w:r>
            <w:r>
              <w:rPr>
                <w:rFonts w:hint="default" w:ascii="Times New Roman" w:hAnsi="Times New Roman" w:eastAsia="宋体" w:cs="Times New Roman"/>
                <w:color w:val="auto"/>
                <w:sz w:val="24"/>
                <w:lang w:val="en-US" w:eastAsia="zh-CN"/>
              </w:rPr>
              <w:t>2</w:t>
            </w:r>
            <w:r>
              <w:rPr>
                <w:rFonts w:hint="default" w:ascii="Times New Roman" w:hAnsi="Times New Roman" w:eastAsia="宋体" w:cs="Times New Roman"/>
                <w:color w:val="auto"/>
                <w:sz w:val="24"/>
              </w:rPr>
              <w:t>标准</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val="en-US" w:eastAsia="zh-CN"/>
              </w:rPr>
              <w:t>具体见下表：</w:t>
            </w:r>
          </w:p>
          <w:p>
            <w:pPr>
              <w:wordWrap w:val="0"/>
              <w:adjustRightInd w:val="0"/>
              <w:jc w:val="center"/>
              <w:rPr>
                <w:rFonts w:hint="default" w:ascii="Times New Roman" w:hAnsi="Times New Roman" w:eastAsia="宋体" w:cs="Times New Roman"/>
                <w:b/>
                <w:bCs/>
                <w:color w:val="auto"/>
                <w:sz w:val="24"/>
                <w:szCs w:val="22"/>
              </w:rPr>
            </w:pPr>
            <w:r>
              <w:rPr>
                <w:rFonts w:hint="default" w:ascii="Times New Roman" w:hAnsi="Times New Roman" w:eastAsia="宋体" w:cs="Times New Roman"/>
                <w:b/>
                <w:bCs/>
                <w:color w:val="auto"/>
                <w:sz w:val="24"/>
                <w:szCs w:val="22"/>
              </w:rPr>
              <w:t>表3-</w:t>
            </w:r>
            <w:r>
              <w:rPr>
                <w:rFonts w:hint="default" w:ascii="Times New Roman" w:hAnsi="Times New Roman" w:eastAsia="宋体" w:cs="Times New Roman"/>
                <w:b/>
                <w:bCs/>
                <w:color w:val="auto"/>
                <w:sz w:val="24"/>
                <w:szCs w:val="22"/>
                <w:lang w:val="en-US" w:eastAsia="zh-CN"/>
              </w:rPr>
              <w:t>11</w:t>
            </w:r>
            <w:r>
              <w:rPr>
                <w:rFonts w:hint="default" w:ascii="Times New Roman" w:hAnsi="Times New Roman" w:eastAsia="宋体" w:cs="Times New Roman"/>
                <w:b/>
                <w:bCs/>
                <w:color w:val="auto"/>
                <w:sz w:val="24"/>
                <w:szCs w:val="22"/>
              </w:rPr>
              <w:t xml:space="preserve"> </w:t>
            </w:r>
            <w:r>
              <w:rPr>
                <w:rFonts w:hint="eastAsia" w:ascii="Times New Roman" w:hAnsi="Times New Roman" w:eastAsia="宋体" w:cs="Times New Roman"/>
                <w:b/>
                <w:bCs/>
                <w:color w:val="auto"/>
                <w:sz w:val="24"/>
                <w:szCs w:val="22"/>
                <w:lang w:val="en-US" w:eastAsia="zh-CN"/>
              </w:rPr>
              <w:t xml:space="preserve"> </w:t>
            </w:r>
            <w:r>
              <w:rPr>
                <w:rFonts w:hint="default" w:ascii="Times New Roman" w:hAnsi="Times New Roman" w:eastAsia="宋体" w:cs="Times New Roman"/>
                <w:b/>
                <w:bCs/>
                <w:color w:val="auto"/>
                <w:sz w:val="24"/>
                <w:szCs w:val="22"/>
              </w:rPr>
              <w:t>厂区内非甲烷总烃无组织排放标准</w:t>
            </w:r>
          </w:p>
          <w:tbl>
            <w:tblPr>
              <w:tblStyle w:val="22"/>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52"/>
              <w:gridCol w:w="1505"/>
              <w:gridCol w:w="1414"/>
              <w:gridCol w:w="1407"/>
              <w:gridCol w:w="273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03" w:type="pct"/>
                  <w:vAlign w:val="center"/>
                </w:tcPr>
                <w:p>
                  <w:pPr>
                    <w:pStyle w:val="51"/>
                    <w:spacing w:line="240" w:lineRule="auto"/>
                    <w:rPr>
                      <w:rFonts w:hint="default" w:ascii="Times New Roman" w:hAnsi="Times New Roman" w:eastAsia="宋体" w:cs="Times New Roman"/>
                      <w:color w:val="auto"/>
                      <w:szCs w:val="21"/>
                    </w:rPr>
                  </w:pPr>
                  <w:r>
                    <w:rPr>
                      <w:rFonts w:hint="default" w:ascii="Times New Roman" w:hAnsi="Times New Roman" w:eastAsia="宋体" w:cs="Times New Roman"/>
                      <w:b/>
                      <w:bCs w:val="0"/>
                      <w:color w:val="auto"/>
                      <w:szCs w:val="21"/>
                    </w:rPr>
                    <w:t>污染物名称</w:t>
                  </w:r>
                </w:p>
              </w:tc>
              <w:tc>
                <w:tcPr>
                  <w:tcW w:w="894" w:type="pct"/>
                  <w:vAlign w:val="center"/>
                </w:tcPr>
                <w:p>
                  <w:pPr>
                    <w:pStyle w:val="51"/>
                    <w:spacing w:line="240" w:lineRule="auto"/>
                    <w:rPr>
                      <w:rFonts w:hint="default" w:ascii="Times New Roman" w:hAnsi="Times New Roman" w:eastAsia="宋体" w:cs="Times New Roman"/>
                      <w:color w:val="auto"/>
                      <w:szCs w:val="21"/>
                    </w:rPr>
                  </w:pPr>
                  <w:r>
                    <w:rPr>
                      <w:rFonts w:hint="default" w:ascii="Times New Roman" w:hAnsi="Times New Roman" w:eastAsia="宋体" w:cs="Times New Roman"/>
                      <w:b/>
                      <w:bCs w:val="0"/>
                      <w:color w:val="auto"/>
                      <w:szCs w:val="21"/>
                    </w:rPr>
                    <w:t>限值含义</w:t>
                  </w:r>
                </w:p>
              </w:tc>
              <w:tc>
                <w:tcPr>
                  <w:tcW w:w="1676" w:type="pct"/>
                  <w:gridSpan w:val="2"/>
                  <w:vAlign w:val="center"/>
                </w:tcPr>
                <w:p>
                  <w:pPr>
                    <w:pStyle w:val="51"/>
                    <w:spacing w:line="240" w:lineRule="auto"/>
                    <w:rPr>
                      <w:rFonts w:hint="default" w:ascii="Times New Roman" w:hAnsi="Times New Roman" w:eastAsia="宋体" w:cs="Times New Roman"/>
                      <w:color w:val="auto"/>
                      <w:szCs w:val="21"/>
                    </w:rPr>
                  </w:pPr>
                  <w:r>
                    <w:rPr>
                      <w:rFonts w:hint="default" w:ascii="Times New Roman" w:hAnsi="Times New Roman" w:eastAsia="宋体" w:cs="Times New Roman"/>
                      <w:b/>
                      <w:bCs w:val="0"/>
                      <w:color w:val="auto"/>
                      <w:szCs w:val="21"/>
                    </w:rPr>
                    <w:t>特别排放限值（mg/m</w:t>
                  </w:r>
                  <w:r>
                    <w:rPr>
                      <w:rFonts w:hint="default" w:ascii="Times New Roman" w:hAnsi="Times New Roman" w:eastAsia="宋体" w:cs="Times New Roman"/>
                      <w:b/>
                      <w:bCs w:val="0"/>
                      <w:color w:val="auto"/>
                      <w:szCs w:val="21"/>
                      <w:vertAlign w:val="superscript"/>
                    </w:rPr>
                    <w:t>3</w:t>
                  </w:r>
                  <w:r>
                    <w:rPr>
                      <w:rFonts w:hint="default" w:ascii="Times New Roman" w:hAnsi="Times New Roman" w:eastAsia="宋体" w:cs="Times New Roman"/>
                      <w:b/>
                      <w:bCs w:val="0"/>
                      <w:color w:val="auto"/>
                      <w:szCs w:val="21"/>
                    </w:rPr>
                    <w:t>）</w:t>
                  </w:r>
                </w:p>
              </w:tc>
              <w:tc>
                <w:tcPr>
                  <w:tcW w:w="1625" w:type="pct"/>
                  <w:vAlign w:val="center"/>
                </w:tcPr>
                <w:p>
                  <w:pPr>
                    <w:pStyle w:val="51"/>
                    <w:spacing w:line="240" w:lineRule="auto"/>
                    <w:rPr>
                      <w:rFonts w:hint="default" w:ascii="Times New Roman" w:hAnsi="Times New Roman" w:eastAsia="宋体" w:cs="Times New Roman"/>
                      <w:color w:val="auto"/>
                      <w:szCs w:val="21"/>
                    </w:rPr>
                  </w:pPr>
                  <w:r>
                    <w:rPr>
                      <w:rFonts w:hint="default" w:ascii="Times New Roman" w:hAnsi="Times New Roman" w:eastAsia="宋体" w:cs="Times New Roman"/>
                      <w:b/>
                      <w:bCs w:val="0"/>
                      <w:color w:val="auto"/>
                      <w:szCs w:val="21"/>
                    </w:rPr>
                    <w:t>标准来源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03" w:type="pct"/>
                  <w:vMerge w:val="restart"/>
                  <w:vAlign w:val="center"/>
                </w:tcPr>
                <w:p>
                  <w:pPr>
                    <w:pStyle w:val="51"/>
                    <w:spacing w:line="240" w:lineRule="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非甲烷总烃</w:t>
                  </w:r>
                </w:p>
              </w:tc>
              <w:tc>
                <w:tcPr>
                  <w:tcW w:w="894" w:type="pct"/>
                  <w:vAlign w:val="center"/>
                </w:tcPr>
                <w:p>
                  <w:pPr>
                    <w:pStyle w:val="51"/>
                    <w:spacing w:line="240" w:lineRule="auto"/>
                    <w:rPr>
                      <w:rFonts w:hint="default" w:ascii="Times New Roman" w:hAnsi="Times New Roman" w:eastAsia="宋体" w:cs="Times New Roman"/>
                      <w:bCs w:val="0"/>
                      <w:color w:val="auto"/>
                      <w:szCs w:val="21"/>
                    </w:rPr>
                  </w:pPr>
                  <w:r>
                    <w:rPr>
                      <w:rFonts w:hint="default" w:ascii="Times New Roman" w:hAnsi="Times New Roman" w:eastAsia="宋体" w:cs="Times New Roman"/>
                      <w:color w:val="auto"/>
                      <w:szCs w:val="21"/>
                    </w:rPr>
                    <w:t>监控点处1h平均浓度值</w:t>
                  </w:r>
                </w:p>
              </w:tc>
              <w:tc>
                <w:tcPr>
                  <w:tcW w:w="840" w:type="pct"/>
                  <w:vMerge w:val="restart"/>
                  <w:vAlign w:val="center"/>
                </w:tcPr>
                <w:p>
                  <w:pPr>
                    <w:pStyle w:val="51"/>
                    <w:spacing w:line="240" w:lineRule="auto"/>
                    <w:rPr>
                      <w:rFonts w:hint="default" w:ascii="Times New Roman" w:hAnsi="Times New Roman" w:eastAsia="宋体" w:cs="Times New Roman"/>
                      <w:bCs w:val="0"/>
                      <w:color w:val="auto"/>
                      <w:szCs w:val="21"/>
                    </w:rPr>
                  </w:pPr>
                  <w:r>
                    <w:rPr>
                      <w:rFonts w:hint="default" w:ascii="Times New Roman" w:hAnsi="Times New Roman" w:eastAsia="宋体" w:cs="Times New Roman"/>
                      <w:color w:val="auto"/>
                      <w:szCs w:val="21"/>
                    </w:rPr>
                    <w:t>在厂房外设置监控点</w:t>
                  </w:r>
                </w:p>
              </w:tc>
              <w:tc>
                <w:tcPr>
                  <w:tcW w:w="836" w:type="pct"/>
                  <w:vAlign w:val="center"/>
                </w:tcPr>
                <w:p>
                  <w:pPr>
                    <w:pStyle w:val="51"/>
                    <w:spacing w:line="240" w:lineRule="auto"/>
                    <w:rPr>
                      <w:rFonts w:hint="default" w:ascii="Times New Roman" w:hAnsi="Times New Roman" w:eastAsia="宋体" w:cs="Times New Roman"/>
                      <w:bCs w:val="0"/>
                      <w:color w:val="auto"/>
                      <w:szCs w:val="21"/>
                    </w:rPr>
                  </w:pPr>
                  <w:r>
                    <w:rPr>
                      <w:rFonts w:hint="default" w:ascii="Times New Roman" w:hAnsi="Times New Roman" w:eastAsia="宋体" w:cs="Times New Roman"/>
                      <w:color w:val="auto"/>
                      <w:szCs w:val="21"/>
                    </w:rPr>
                    <w:t>6</w:t>
                  </w:r>
                </w:p>
              </w:tc>
              <w:tc>
                <w:tcPr>
                  <w:tcW w:w="1625" w:type="pct"/>
                  <w:vMerge w:val="restart"/>
                  <w:vAlign w:val="center"/>
                </w:tcPr>
                <w:p>
                  <w:pPr>
                    <w:pStyle w:val="51"/>
                    <w:spacing w:line="240" w:lineRule="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《大气污染物综合排放标准》（DB32/4041-2021）表2标准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03" w:type="pct"/>
                  <w:vMerge w:val="continue"/>
                  <w:vAlign w:val="center"/>
                </w:tcPr>
                <w:p>
                  <w:pPr>
                    <w:pStyle w:val="51"/>
                    <w:spacing w:line="240" w:lineRule="auto"/>
                    <w:rPr>
                      <w:rFonts w:hint="default" w:ascii="Times New Roman" w:hAnsi="Times New Roman" w:eastAsia="宋体" w:cs="Times New Roman"/>
                      <w:color w:val="auto"/>
                      <w:szCs w:val="21"/>
                      <w:highlight w:val="yellow"/>
                    </w:rPr>
                  </w:pPr>
                </w:p>
              </w:tc>
              <w:tc>
                <w:tcPr>
                  <w:tcW w:w="894" w:type="pct"/>
                  <w:vAlign w:val="center"/>
                </w:tcPr>
                <w:p>
                  <w:pPr>
                    <w:pStyle w:val="51"/>
                    <w:spacing w:line="240" w:lineRule="auto"/>
                    <w:rPr>
                      <w:rFonts w:hint="default" w:ascii="Times New Roman" w:hAnsi="Times New Roman" w:eastAsia="宋体" w:cs="Times New Roman"/>
                      <w:bCs w:val="0"/>
                      <w:color w:val="auto"/>
                      <w:szCs w:val="21"/>
                    </w:rPr>
                  </w:pPr>
                  <w:r>
                    <w:rPr>
                      <w:rFonts w:hint="default" w:ascii="Times New Roman" w:hAnsi="Times New Roman" w:eastAsia="宋体" w:cs="Times New Roman"/>
                      <w:color w:val="auto"/>
                      <w:szCs w:val="21"/>
                    </w:rPr>
                    <w:t>监控点处任意一次浓度值</w:t>
                  </w:r>
                </w:p>
              </w:tc>
              <w:tc>
                <w:tcPr>
                  <w:tcW w:w="840" w:type="pct"/>
                  <w:vMerge w:val="continue"/>
                  <w:vAlign w:val="center"/>
                </w:tcPr>
                <w:p>
                  <w:pPr>
                    <w:pStyle w:val="51"/>
                    <w:spacing w:line="240" w:lineRule="auto"/>
                    <w:rPr>
                      <w:rFonts w:hint="default" w:ascii="Times New Roman" w:hAnsi="Times New Roman" w:eastAsia="宋体" w:cs="Times New Roman"/>
                      <w:bCs w:val="0"/>
                      <w:color w:val="auto"/>
                      <w:szCs w:val="21"/>
                    </w:rPr>
                  </w:pPr>
                </w:p>
              </w:tc>
              <w:tc>
                <w:tcPr>
                  <w:tcW w:w="836" w:type="pct"/>
                  <w:vAlign w:val="center"/>
                </w:tcPr>
                <w:p>
                  <w:pPr>
                    <w:pStyle w:val="51"/>
                    <w:spacing w:line="240" w:lineRule="auto"/>
                    <w:rPr>
                      <w:rFonts w:hint="default" w:ascii="Times New Roman" w:hAnsi="Times New Roman" w:eastAsia="宋体" w:cs="Times New Roman"/>
                      <w:bCs w:val="0"/>
                      <w:color w:val="auto"/>
                      <w:szCs w:val="21"/>
                    </w:rPr>
                  </w:pPr>
                  <w:r>
                    <w:rPr>
                      <w:rFonts w:hint="default" w:ascii="Times New Roman" w:hAnsi="Times New Roman" w:eastAsia="宋体" w:cs="Times New Roman"/>
                      <w:color w:val="auto"/>
                      <w:szCs w:val="21"/>
                    </w:rPr>
                    <w:t>20</w:t>
                  </w:r>
                </w:p>
              </w:tc>
              <w:tc>
                <w:tcPr>
                  <w:tcW w:w="1625" w:type="pct"/>
                  <w:vMerge w:val="continue"/>
                  <w:vAlign w:val="center"/>
                </w:tcPr>
                <w:p>
                  <w:pPr>
                    <w:pStyle w:val="51"/>
                    <w:spacing w:line="240" w:lineRule="auto"/>
                    <w:rPr>
                      <w:rFonts w:hint="default" w:ascii="Times New Roman" w:hAnsi="Times New Roman" w:eastAsia="宋体" w:cs="Times New Roman"/>
                      <w:color w:val="auto"/>
                      <w:szCs w:val="21"/>
                      <w:highlight w:val="yellow"/>
                    </w:rPr>
                  </w:pPr>
                </w:p>
              </w:tc>
            </w:tr>
          </w:tbl>
          <w:p>
            <w:pPr>
              <w:adjustRightInd w:val="0"/>
              <w:snapToGrid w:val="0"/>
              <w:spacing w:line="360" w:lineRule="auto"/>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2、废水排放标准</w:t>
            </w:r>
          </w:p>
          <w:p>
            <w:pPr>
              <w:adjustRightInd w:val="0"/>
              <w:snapToGrid w:val="0"/>
              <w:spacing w:line="360" w:lineRule="auto"/>
              <w:ind w:firstLine="480" w:firstLineChars="200"/>
              <w:rPr>
                <w:rFonts w:hint="default" w:ascii="Times New Roman" w:hAnsi="Times New Roman" w:eastAsia="宋体" w:cs="Times New Roman"/>
                <w:b/>
                <w:color w:val="auto"/>
                <w:sz w:val="24"/>
              </w:rPr>
            </w:pPr>
            <w:r>
              <w:rPr>
                <w:rFonts w:hint="default" w:ascii="Times New Roman" w:hAnsi="Times New Roman" w:eastAsia="宋体" w:cs="Times New Roman"/>
                <w:color w:val="auto"/>
                <w:sz w:val="24"/>
                <w:lang w:val="en-US" w:eastAsia="zh-CN"/>
              </w:rPr>
              <w:t>本项目生产废水经厂内污水处理站处理后和</w:t>
            </w:r>
            <w:r>
              <w:rPr>
                <w:rFonts w:hint="default" w:ascii="Times New Roman" w:hAnsi="Times New Roman" w:eastAsia="宋体" w:cs="Times New Roman"/>
                <w:color w:val="auto"/>
                <w:sz w:val="24"/>
              </w:rPr>
              <w:t>生活污水</w:t>
            </w:r>
            <w:r>
              <w:rPr>
                <w:rFonts w:hint="default" w:ascii="Times New Roman" w:hAnsi="Times New Roman" w:eastAsia="宋体" w:cs="Times New Roman"/>
                <w:color w:val="auto"/>
                <w:sz w:val="24"/>
                <w:lang w:val="en-US" w:eastAsia="zh-CN"/>
              </w:rPr>
              <w:t>一并</w:t>
            </w:r>
            <w:r>
              <w:rPr>
                <w:rFonts w:hint="default" w:ascii="Times New Roman" w:hAnsi="Times New Roman" w:eastAsia="宋体" w:cs="Times New Roman"/>
                <w:color w:val="auto"/>
                <w:sz w:val="24"/>
              </w:rPr>
              <w:t>排入武南污水处理厂集中处理，尾水排入武南河。武南污水处理厂接管标准执行《污水排入城镇下水道水质标准》（GB/T31962-2015）表1中B级标准，污水处理厂尾水排放执行《太湖地区城镇污水处理厂及重点工业行业主要水污染物排放限值》（DB32/1072-2018）表2中城镇污水处理厂标准，未列入项目（SS</w:t>
            </w:r>
            <w:r>
              <w:rPr>
                <w:rFonts w:hint="eastAsia" w:cs="Times New Roman"/>
                <w:color w:val="auto"/>
                <w:sz w:val="24"/>
                <w:lang w:eastAsia="zh-CN"/>
              </w:rPr>
              <w:t>、</w:t>
            </w:r>
            <w:r>
              <w:rPr>
                <w:rFonts w:hint="eastAsia" w:cs="Times New Roman"/>
                <w:color w:val="auto"/>
                <w:sz w:val="24"/>
                <w:lang w:val="en-US" w:eastAsia="zh-CN"/>
              </w:rPr>
              <w:t>石油类</w:t>
            </w:r>
            <w:r>
              <w:rPr>
                <w:rFonts w:hint="default" w:ascii="Times New Roman" w:hAnsi="Times New Roman" w:eastAsia="宋体" w:cs="Times New Roman"/>
                <w:color w:val="auto"/>
                <w:sz w:val="24"/>
              </w:rPr>
              <w:t>）执行《城镇污水处理厂污染物排放标准》（GB18918-2002）表1中一级A标准，标准值如下：</w:t>
            </w:r>
          </w:p>
          <w:p>
            <w:pPr>
              <w:adjustRightInd w:val="0"/>
              <w:snapToGrid w:val="0"/>
              <w:jc w:val="center"/>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表3-1</w:t>
            </w:r>
            <w:r>
              <w:rPr>
                <w:rFonts w:hint="default" w:ascii="Times New Roman" w:hAnsi="Times New Roman" w:eastAsia="宋体" w:cs="Times New Roman"/>
                <w:b/>
                <w:color w:val="auto"/>
                <w:sz w:val="24"/>
                <w:lang w:val="en-US" w:eastAsia="zh-CN"/>
              </w:rPr>
              <w:t>2</w:t>
            </w:r>
            <w:r>
              <w:rPr>
                <w:rFonts w:hint="default" w:ascii="Times New Roman" w:hAnsi="Times New Roman" w:eastAsia="宋体" w:cs="Times New Roman"/>
                <w:b/>
                <w:color w:val="auto"/>
                <w:sz w:val="24"/>
              </w:rPr>
              <w:t xml:space="preserve"> 水污染物排放标准</w:t>
            </w:r>
          </w:p>
          <w:tbl>
            <w:tblPr>
              <w:tblStyle w:val="22"/>
              <w:tblW w:w="841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2177"/>
              <w:gridCol w:w="2939"/>
              <w:gridCol w:w="330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2177" w:type="dxa"/>
                  <w:vMerge w:val="restart"/>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污染物</w:t>
                  </w:r>
                </w:p>
              </w:tc>
              <w:tc>
                <w:tcPr>
                  <w:tcW w:w="6240" w:type="dxa"/>
                  <w:gridSpan w:val="2"/>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污染物排放限值mg/L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2177" w:type="dxa"/>
                  <w:vMerge w:val="continue"/>
                  <w:vAlign w:val="center"/>
                </w:tcPr>
                <w:p>
                  <w:pPr>
                    <w:jc w:val="center"/>
                    <w:rPr>
                      <w:rFonts w:hint="default" w:ascii="Times New Roman" w:hAnsi="Times New Roman" w:eastAsia="宋体" w:cs="Times New Roman"/>
                      <w:b/>
                      <w:color w:val="auto"/>
                      <w:szCs w:val="21"/>
                    </w:rPr>
                  </w:pPr>
                </w:p>
              </w:tc>
              <w:tc>
                <w:tcPr>
                  <w:tcW w:w="2939" w:type="dxa"/>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污水处理厂接管标准</w:t>
                  </w:r>
                </w:p>
              </w:tc>
              <w:tc>
                <w:tcPr>
                  <w:tcW w:w="3301" w:type="dxa"/>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污水厂排放废水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2177" w:type="dxa"/>
                  <w:vMerge w:val="continue"/>
                  <w:vAlign w:val="center"/>
                </w:tcPr>
                <w:p>
                  <w:pPr>
                    <w:jc w:val="center"/>
                    <w:rPr>
                      <w:rFonts w:hint="default" w:ascii="Times New Roman" w:hAnsi="Times New Roman" w:eastAsia="宋体" w:cs="Times New Roman"/>
                      <w:b/>
                      <w:color w:val="auto"/>
                      <w:szCs w:val="21"/>
                    </w:rPr>
                  </w:pPr>
                </w:p>
              </w:tc>
              <w:tc>
                <w:tcPr>
                  <w:tcW w:w="2939" w:type="dxa"/>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GB/T31962-2015</w:t>
                  </w:r>
                </w:p>
              </w:tc>
              <w:tc>
                <w:tcPr>
                  <w:tcW w:w="3301" w:type="dxa"/>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DB32/1072-2018、GB18918-2002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2177"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COD</w:t>
                  </w:r>
                </w:p>
              </w:tc>
              <w:tc>
                <w:tcPr>
                  <w:tcW w:w="2939"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500</w:t>
                  </w:r>
                </w:p>
              </w:tc>
              <w:tc>
                <w:tcPr>
                  <w:tcW w:w="3301"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2177"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SS</w:t>
                  </w:r>
                </w:p>
              </w:tc>
              <w:tc>
                <w:tcPr>
                  <w:tcW w:w="2939"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400</w:t>
                  </w:r>
                </w:p>
              </w:tc>
              <w:tc>
                <w:tcPr>
                  <w:tcW w:w="3301"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2177"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总氮</w:t>
                  </w:r>
                </w:p>
              </w:tc>
              <w:tc>
                <w:tcPr>
                  <w:tcW w:w="2939"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70</w:t>
                  </w:r>
                </w:p>
              </w:tc>
              <w:tc>
                <w:tcPr>
                  <w:tcW w:w="3301"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12（15）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2177"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氨氮</w:t>
                  </w:r>
                </w:p>
              </w:tc>
              <w:tc>
                <w:tcPr>
                  <w:tcW w:w="2939"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45</w:t>
                  </w:r>
                </w:p>
              </w:tc>
              <w:tc>
                <w:tcPr>
                  <w:tcW w:w="3301"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2177"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总磷</w:t>
                  </w:r>
                </w:p>
              </w:tc>
              <w:tc>
                <w:tcPr>
                  <w:tcW w:w="2939"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w:t>
                  </w:r>
                </w:p>
              </w:tc>
              <w:tc>
                <w:tcPr>
                  <w:tcW w:w="3301"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2177" w:type="dxa"/>
                  <w:vAlign w:val="center"/>
                </w:tcPr>
                <w:p>
                  <w:pPr>
                    <w:jc w:val="center"/>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石油类</w:t>
                  </w:r>
                </w:p>
              </w:tc>
              <w:tc>
                <w:tcPr>
                  <w:tcW w:w="2939" w:type="dxa"/>
                  <w:vAlign w:val="center"/>
                </w:tcPr>
                <w:p>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15</w:t>
                  </w:r>
                </w:p>
              </w:tc>
              <w:tc>
                <w:tcPr>
                  <w:tcW w:w="3301" w:type="dxa"/>
                  <w:vAlign w:val="center"/>
                </w:tcPr>
                <w:p>
                  <w:pPr>
                    <w:jc w:val="center"/>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1</w:t>
                  </w:r>
                </w:p>
              </w:tc>
            </w:tr>
          </w:tbl>
          <w:p>
            <w:pPr>
              <w:pStyle w:val="7"/>
              <w:adjustRightInd w:val="0"/>
              <w:spacing w:before="0" w:after="0" w:line="240" w:lineRule="auto"/>
              <w:ind w:right="0"/>
              <w:rPr>
                <w:rFonts w:hint="default" w:ascii="Times New Roman" w:hAnsi="Times New Roman" w:eastAsia="宋体" w:cs="Times New Roman"/>
                <w:color w:val="auto"/>
              </w:rPr>
            </w:pPr>
            <w:r>
              <w:rPr>
                <w:rFonts w:hint="default" w:ascii="Times New Roman" w:hAnsi="Times New Roman" w:eastAsia="宋体" w:cs="Times New Roman"/>
                <w:b/>
                <w:color w:val="auto"/>
                <w:sz w:val="21"/>
                <w:szCs w:val="21"/>
              </w:rPr>
              <w:t>注：括号外数值为水温&gt;12℃时的控制指标，括号内数值为水温≤12℃时的控制指标</w:t>
            </w:r>
          </w:p>
          <w:p>
            <w:pPr>
              <w:adjustRightInd w:val="0"/>
              <w:snapToGrid w:val="0"/>
              <w:spacing w:line="360" w:lineRule="auto"/>
              <w:ind w:firstLine="480" w:firstLineChars="200"/>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本项目制纯水浓水及超滤水回用执行《城市污水再生利用工业用水水质》（GB/T 19923-2005）表1中洗涤用水标准，详见下表：</w:t>
            </w:r>
          </w:p>
          <w:p>
            <w:pPr>
              <w:jc w:val="center"/>
              <w:rPr>
                <w:rFonts w:hint="default" w:ascii="Times New Roman" w:hAnsi="Times New Roman" w:eastAsia="宋体" w:cs="Times New Roman"/>
                <w:b/>
                <w:bCs/>
                <w:color w:val="auto"/>
                <w:sz w:val="24"/>
                <w:lang w:val="en-US" w:eastAsia="zh-CN"/>
              </w:rPr>
            </w:pPr>
            <w:r>
              <w:rPr>
                <w:rFonts w:hint="default" w:ascii="Times New Roman" w:hAnsi="Times New Roman" w:eastAsia="宋体" w:cs="Times New Roman"/>
                <w:b/>
                <w:bCs/>
                <w:color w:val="auto"/>
                <w:sz w:val="24"/>
              </w:rPr>
              <w:t>表</w:t>
            </w:r>
            <w:r>
              <w:rPr>
                <w:rFonts w:hint="eastAsia" w:eastAsia="宋体" w:cs="Times New Roman"/>
                <w:b/>
                <w:bCs/>
                <w:color w:val="auto"/>
                <w:sz w:val="24"/>
                <w:lang w:val="en-US" w:eastAsia="zh-CN"/>
              </w:rPr>
              <w:t>3</w:t>
            </w:r>
            <w:r>
              <w:rPr>
                <w:rFonts w:hint="default" w:ascii="Times New Roman" w:hAnsi="Times New Roman" w:eastAsia="宋体" w:cs="Times New Roman"/>
                <w:b/>
                <w:bCs/>
                <w:color w:val="auto"/>
                <w:sz w:val="24"/>
              </w:rPr>
              <w:t>-1</w:t>
            </w:r>
            <w:r>
              <w:rPr>
                <w:rFonts w:hint="eastAsia" w:eastAsia="宋体" w:cs="Times New Roman"/>
                <w:b/>
                <w:bCs/>
                <w:color w:val="auto"/>
                <w:sz w:val="24"/>
                <w:lang w:val="en-US" w:eastAsia="zh-CN"/>
              </w:rPr>
              <w:t>3</w:t>
            </w:r>
            <w:r>
              <w:rPr>
                <w:rFonts w:hint="default" w:ascii="Times New Roman" w:hAnsi="Times New Roman" w:eastAsia="宋体" w:cs="Times New Roman"/>
                <w:b/>
                <w:bCs/>
                <w:color w:val="auto"/>
                <w:sz w:val="24"/>
              </w:rPr>
              <w:t xml:space="preserve"> </w:t>
            </w:r>
            <w:r>
              <w:rPr>
                <w:rFonts w:hint="default" w:ascii="Times New Roman" w:hAnsi="Times New Roman" w:eastAsia="宋体" w:cs="Times New Roman"/>
                <w:b/>
                <w:bCs/>
                <w:color w:val="auto"/>
                <w:sz w:val="24"/>
                <w:lang w:val="en-US" w:eastAsia="zh-CN"/>
              </w:rPr>
              <w:t>回用水标准</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26"/>
              <w:gridCol w:w="2118"/>
              <w:gridCol w:w="507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28" w:type="pct"/>
                  <w:vAlign w:val="center"/>
                </w:tcPr>
                <w:p>
                  <w:pPr>
                    <w:adjustRightInd w:val="0"/>
                    <w:snapToGrid w:val="0"/>
                    <w:jc w:val="center"/>
                    <w:rPr>
                      <w:rFonts w:hint="default" w:ascii="Times New Roman" w:hAnsi="Times New Roman" w:eastAsia="宋体" w:cs="Times New Roman"/>
                      <w:b/>
                      <w:color w:val="auto"/>
                      <w:szCs w:val="21"/>
                      <w:lang w:eastAsia="zh-CN"/>
                    </w:rPr>
                  </w:pPr>
                  <w:r>
                    <w:rPr>
                      <w:rFonts w:hint="default" w:ascii="Times New Roman" w:hAnsi="Times New Roman" w:eastAsia="宋体" w:cs="Times New Roman"/>
                      <w:b/>
                      <w:color w:val="auto"/>
                      <w:szCs w:val="21"/>
                      <w:lang w:val="en-US" w:eastAsia="zh-CN"/>
                    </w:rPr>
                    <w:t>序号</w:t>
                  </w:r>
                </w:p>
              </w:tc>
              <w:tc>
                <w:tcPr>
                  <w:tcW w:w="1258" w:type="pct"/>
                  <w:vAlign w:val="center"/>
                </w:tcPr>
                <w:p>
                  <w:pPr>
                    <w:adjustRightInd w:val="0"/>
                    <w:snapToGrid w:val="0"/>
                    <w:jc w:val="center"/>
                    <w:rPr>
                      <w:rFonts w:hint="default" w:ascii="Times New Roman" w:hAnsi="Times New Roman" w:eastAsia="宋体" w:cs="Times New Roman"/>
                      <w:b/>
                      <w:color w:val="auto"/>
                      <w:szCs w:val="21"/>
                      <w:lang w:eastAsia="zh-CN"/>
                    </w:rPr>
                  </w:pPr>
                  <w:r>
                    <w:rPr>
                      <w:rFonts w:hint="default" w:ascii="Times New Roman" w:hAnsi="Times New Roman" w:eastAsia="宋体" w:cs="Times New Roman"/>
                      <w:b/>
                      <w:color w:val="auto"/>
                      <w:szCs w:val="21"/>
                      <w:lang w:val="en-US" w:eastAsia="zh-CN"/>
                    </w:rPr>
                    <w:t>控制项目</w:t>
                  </w:r>
                </w:p>
              </w:tc>
              <w:tc>
                <w:tcPr>
                  <w:tcW w:w="3013" w:type="pct"/>
                  <w:vAlign w:val="center"/>
                </w:tcPr>
                <w:p>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lang w:val="en-US" w:eastAsia="zh-CN"/>
                    </w:rPr>
                    <w:t>工艺与产品用水标准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28"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w:t>
                  </w:r>
                </w:p>
              </w:tc>
              <w:tc>
                <w:tcPr>
                  <w:tcW w:w="1258"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pH</w:t>
                  </w:r>
                </w:p>
              </w:tc>
              <w:tc>
                <w:tcPr>
                  <w:tcW w:w="3013"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6.5~8.5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28"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2</w:t>
                  </w:r>
                </w:p>
              </w:tc>
              <w:tc>
                <w:tcPr>
                  <w:tcW w:w="1258"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COD（mg/L）</w:t>
                  </w:r>
                </w:p>
              </w:tc>
              <w:tc>
                <w:tcPr>
                  <w:tcW w:w="3013"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28"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3</w:t>
                  </w:r>
                </w:p>
              </w:tc>
              <w:tc>
                <w:tcPr>
                  <w:tcW w:w="1258"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SS（mg/L）</w:t>
                  </w:r>
                </w:p>
              </w:tc>
              <w:tc>
                <w:tcPr>
                  <w:tcW w:w="3013"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28"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4</w:t>
                  </w:r>
                </w:p>
              </w:tc>
              <w:tc>
                <w:tcPr>
                  <w:tcW w:w="1258"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石油类</w:t>
                  </w:r>
                </w:p>
              </w:tc>
              <w:tc>
                <w:tcPr>
                  <w:tcW w:w="3013"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w:t>
                  </w:r>
                </w:p>
              </w:tc>
            </w:tr>
          </w:tbl>
          <w:p>
            <w:pPr>
              <w:adjustRightInd w:val="0"/>
              <w:snapToGrid w:val="0"/>
              <w:spacing w:line="360" w:lineRule="auto"/>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3、噪声</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根据《常州市市区声环境功能区划（2017）》（常政发[2017]161号）、《关</w:t>
            </w:r>
          </w:p>
          <w:p>
            <w:pPr>
              <w:adjustRightInd w:val="0"/>
              <w:snapToGrid w:val="0"/>
              <w:spacing w:line="360" w:lineRule="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于加强和规范声环境功能区划分管理工作的通知（环办大气函[2017]1709 号）及声环境功能区划分技术规范(GB/T15190–2014)，本项目所在区域不属于规划范围内。由于本项目所在地周边为居民、工业混合区，本项目营运期厂界噪声执行《工业企业厂界环境噪声排放标准》(GB12348-2008)中2类标准，具体标准值见下表：：</w:t>
            </w:r>
          </w:p>
          <w:p>
            <w:pPr>
              <w:adjustRightInd w:val="0"/>
              <w:jc w:val="center"/>
              <w:rPr>
                <w:rFonts w:hint="default" w:ascii="Times New Roman" w:hAnsi="Times New Roman" w:eastAsia="宋体" w:cs="Times New Roman"/>
                <w:b/>
                <w:bCs/>
                <w:color w:val="auto"/>
                <w:sz w:val="24"/>
                <w:szCs w:val="22"/>
              </w:rPr>
            </w:pPr>
            <w:r>
              <w:rPr>
                <w:rFonts w:hint="default" w:ascii="Times New Roman" w:hAnsi="Times New Roman" w:eastAsia="宋体" w:cs="Times New Roman"/>
                <w:b/>
                <w:bCs/>
                <w:color w:val="auto"/>
                <w:sz w:val="24"/>
                <w:szCs w:val="22"/>
              </w:rPr>
              <w:t>表3-1</w:t>
            </w:r>
            <w:r>
              <w:rPr>
                <w:rFonts w:hint="eastAsia" w:cs="Times New Roman"/>
                <w:b/>
                <w:bCs/>
                <w:color w:val="auto"/>
                <w:sz w:val="24"/>
                <w:szCs w:val="22"/>
                <w:lang w:val="en-US" w:eastAsia="zh-CN"/>
              </w:rPr>
              <w:t>4</w:t>
            </w:r>
            <w:r>
              <w:rPr>
                <w:rFonts w:hint="default" w:ascii="Times New Roman" w:hAnsi="Times New Roman" w:eastAsia="宋体" w:cs="Times New Roman"/>
                <w:b/>
                <w:bCs/>
                <w:color w:val="auto"/>
                <w:sz w:val="24"/>
                <w:szCs w:val="22"/>
              </w:rPr>
              <w:t xml:space="preserve"> 营运期噪声排放标准</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161"/>
              <w:gridCol w:w="2365"/>
              <w:gridCol w:w="1961"/>
              <w:gridCol w:w="193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1284" w:type="pct"/>
                  <w:vAlign w:val="center"/>
                </w:tcPr>
                <w:p>
                  <w:pPr>
                    <w:adjustRightIn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声环境功能类别</w:t>
                  </w:r>
                </w:p>
              </w:tc>
              <w:tc>
                <w:tcPr>
                  <w:tcW w:w="1405" w:type="pct"/>
                  <w:vAlign w:val="center"/>
                </w:tcPr>
                <w:p>
                  <w:pPr>
                    <w:adjustRightIn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昼间</w:t>
                  </w:r>
                </w:p>
              </w:tc>
              <w:tc>
                <w:tcPr>
                  <w:tcW w:w="1165" w:type="pct"/>
                  <w:vAlign w:val="center"/>
                </w:tcPr>
                <w:p>
                  <w:pPr>
                    <w:adjustRightIn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夜间</w:t>
                  </w:r>
                </w:p>
              </w:tc>
              <w:tc>
                <w:tcPr>
                  <w:tcW w:w="1146" w:type="pct"/>
                  <w:vAlign w:val="center"/>
                </w:tcPr>
                <w:p>
                  <w:pPr>
                    <w:adjustRightIn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执行区域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284" w:type="pc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2类</w:t>
                  </w:r>
                </w:p>
              </w:tc>
              <w:tc>
                <w:tcPr>
                  <w:tcW w:w="1405" w:type="pc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≤60dB（A）</w:t>
                  </w:r>
                </w:p>
              </w:tc>
              <w:tc>
                <w:tcPr>
                  <w:tcW w:w="1165" w:type="pc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≤50dB（A）</w:t>
                  </w:r>
                </w:p>
              </w:tc>
              <w:tc>
                <w:tcPr>
                  <w:tcW w:w="1146" w:type="pc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厂界四周</w:t>
                  </w:r>
                </w:p>
              </w:tc>
            </w:tr>
          </w:tbl>
          <w:p>
            <w:pPr>
              <w:adjustRightInd w:val="0"/>
              <w:spacing w:line="360" w:lineRule="auto"/>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4、固废</w:t>
            </w:r>
          </w:p>
          <w:p>
            <w:pPr>
              <w:widowControl/>
              <w:spacing w:line="360" w:lineRule="auto"/>
              <w:ind w:firstLine="468" w:firstLineChars="200"/>
              <w:rPr>
                <w:rFonts w:hint="default" w:ascii="Times New Roman" w:hAnsi="Times New Roman" w:eastAsia="宋体" w:cs="Times New Roman"/>
                <w:color w:val="auto"/>
                <w:spacing w:val="-3"/>
                <w:sz w:val="24"/>
              </w:rPr>
            </w:pPr>
            <w:r>
              <w:rPr>
                <w:rFonts w:hint="default" w:ascii="Times New Roman" w:hAnsi="Times New Roman" w:eastAsia="宋体" w:cs="Times New Roman"/>
                <w:color w:val="auto"/>
                <w:spacing w:val="-3"/>
                <w:sz w:val="24"/>
              </w:rPr>
              <w:t>（1）一般固废：</w:t>
            </w:r>
            <w:r>
              <w:rPr>
                <w:rFonts w:hint="default" w:ascii="Times New Roman" w:hAnsi="Times New Roman" w:eastAsia="宋体" w:cs="Times New Roman"/>
                <w:color w:val="auto"/>
                <w:sz w:val="24"/>
              </w:rPr>
              <w:t>执行《一般工业固体废物贮存、处置场污染控制标准》（GB18599-2020）；</w:t>
            </w:r>
          </w:p>
          <w:p>
            <w:pPr>
              <w:snapToGrid w:val="0"/>
              <w:spacing w:line="360" w:lineRule="auto"/>
              <w:ind w:firstLine="468" w:firstLineChars="200"/>
              <w:rPr>
                <w:rFonts w:hint="default" w:ascii="Times New Roman" w:hAnsi="Times New Roman" w:eastAsia="宋体" w:cs="Times New Roman"/>
                <w:color w:val="auto"/>
                <w:spacing w:val="-3"/>
                <w:sz w:val="24"/>
              </w:rPr>
            </w:pPr>
            <w:r>
              <w:rPr>
                <w:rFonts w:hint="default" w:ascii="Times New Roman" w:hAnsi="Times New Roman" w:eastAsia="宋体" w:cs="Times New Roman"/>
                <w:color w:val="auto"/>
                <w:spacing w:val="-3"/>
                <w:sz w:val="24"/>
              </w:rPr>
              <w:t>（</w:t>
            </w:r>
            <w:r>
              <w:rPr>
                <w:rFonts w:hint="eastAsia" w:cs="Times New Roman"/>
                <w:color w:val="auto"/>
                <w:spacing w:val="-3"/>
                <w:sz w:val="24"/>
                <w:lang w:val="en-US" w:eastAsia="zh-CN"/>
              </w:rPr>
              <w:t>2</w:t>
            </w:r>
            <w:r>
              <w:rPr>
                <w:rFonts w:hint="default" w:ascii="Times New Roman" w:hAnsi="Times New Roman" w:eastAsia="宋体" w:cs="Times New Roman"/>
                <w:color w:val="auto"/>
                <w:spacing w:val="-3"/>
                <w:sz w:val="24"/>
              </w:rPr>
              <w:t>）危险废物：收集、储存、运输及处置执行《危险废物污染防治技术政策》（环发[2001]199号）、《危险废物收集贮存运输技术规范》（HJ2025-2012）、《省生态环境厅关于进一步加强危险废物污染防治工作的实施意见》（苏环办〔2019〕327号）、《关于印发江苏省危险废物贮存规范化管理专项整治行动方案的通知》（苏环办〔2019〕149号）、《危险废物贮存污染控制标准》（GB18597-2001）及标准修改单（环境保护部公告2013年第36号，2013年6月8日）中规范要求设置。</w:t>
            </w:r>
          </w:p>
          <w:p>
            <w:pPr>
              <w:snapToGrid w:val="0"/>
              <w:spacing w:line="360" w:lineRule="auto"/>
              <w:rPr>
                <w:rFonts w:hint="default" w:ascii="Times New Roman" w:hAnsi="Times New Roman" w:eastAsia="宋体" w:cs="Times New Roman"/>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0" w:hRule="atLeast"/>
          <w:jc w:val="center"/>
        </w:trPr>
        <w:tc>
          <w:tcPr>
            <w:tcW w:w="426" w:type="dxa"/>
            <w:vAlign w:val="center"/>
          </w:tcPr>
          <w:p>
            <w:pPr>
              <w:adjustRightInd w:val="0"/>
              <w:snapToGri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总量</w:t>
            </w:r>
          </w:p>
          <w:p>
            <w:pPr>
              <w:adjustRightInd w:val="0"/>
              <w:snapToGri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控制</w:t>
            </w:r>
          </w:p>
          <w:p>
            <w:pPr>
              <w:adjustRightInd w:val="0"/>
              <w:snapToGri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指标</w:t>
            </w:r>
          </w:p>
        </w:tc>
        <w:tc>
          <w:tcPr>
            <w:tcW w:w="8633" w:type="dxa"/>
            <w:vAlign w:val="center"/>
          </w:tcPr>
          <w:p>
            <w:pPr>
              <w:overflowPunct w:val="0"/>
              <w:snapToGrid w:val="0"/>
              <w:spacing w:line="360" w:lineRule="auto"/>
              <w:ind w:firstLine="482" w:firstLineChars="200"/>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1、总量控制指标</w:t>
            </w:r>
          </w:p>
          <w:p>
            <w:pPr>
              <w:adjustRightInd w:val="0"/>
              <w:snapToGrid w:val="0"/>
              <w:spacing w:line="360" w:lineRule="auto"/>
              <w:ind w:firstLine="523" w:firstLineChars="218"/>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本项目建成后污染物总量控制指标及来源途径见表3-1</w:t>
            </w:r>
            <w:r>
              <w:rPr>
                <w:rFonts w:hint="default" w:ascii="Times New Roman" w:hAnsi="Times New Roman" w:eastAsia="宋体" w:cs="Times New Roman"/>
                <w:color w:val="auto"/>
                <w:sz w:val="24"/>
                <w:lang w:val="en-US" w:eastAsia="zh-CN"/>
              </w:rPr>
              <w:t>4</w:t>
            </w:r>
            <w:r>
              <w:rPr>
                <w:rFonts w:hint="default" w:ascii="Times New Roman" w:hAnsi="Times New Roman" w:eastAsia="宋体" w:cs="Times New Roman"/>
                <w:color w:val="auto"/>
                <w:sz w:val="24"/>
              </w:rPr>
              <w:t>：</w:t>
            </w:r>
          </w:p>
          <w:p>
            <w:pPr>
              <w:pStyle w:val="63"/>
              <w:adjustRightInd w:val="0"/>
              <w:snapToGrid w:val="0"/>
              <w:jc w:val="center"/>
              <w:rPr>
                <w:rFonts w:hint="default" w:ascii="Times New Roman" w:hAnsi="Times New Roman" w:eastAsia="宋体" w:cs="Times New Roman"/>
                <w:color w:val="auto"/>
                <w:sz w:val="24"/>
              </w:rPr>
            </w:pPr>
            <w:r>
              <w:rPr>
                <w:rFonts w:hint="default" w:ascii="Times New Roman" w:hAnsi="Times New Roman" w:eastAsia="宋体" w:cs="Times New Roman"/>
                <w:b/>
                <w:bCs/>
                <w:color w:val="auto"/>
                <w:sz w:val="24"/>
                <w:szCs w:val="24"/>
              </w:rPr>
              <w:t>表3-1</w:t>
            </w:r>
            <w:r>
              <w:rPr>
                <w:rFonts w:hint="eastAsia" w:ascii="Times New Roman" w:hAnsi="Times New Roman" w:cs="Times New Roman"/>
                <w:b/>
                <w:bCs/>
                <w:color w:val="auto"/>
                <w:sz w:val="24"/>
                <w:szCs w:val="24"/>
                <w:lang w:val="en-US" w:eastAsia="zh-CN"/>
              </w:rPr>
              <w:t>5</w:t>
            </w:r>
            <w:r>
              <w:rPr>
                <w:rFonts w:hint="default" w:ascii="Times New Roman" w:hAnsi="Times New Roman" w:eastAsia="宋体" w:cs="Times New Roman"/>
                <w:b/>
                <w:bCs/>
                <w:color w:val="auto"/>
                <w:sz w:val="24"/>
                <w:szCs w:val="24"/>
              </w:rPr>
              <w:t xml:space="preserve"> 全厂污染物排放情况一览表(t/a)</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30"/>
              <w:gridCol w:w="973"/>
              <w:gridCol w:w="1064"/>
              <w:gridCol w:w="1118"/>
              <w:gridCol w:w="1118"/>
              <w:gridCol w:w="1160"/>
              <w:gridCol w:w="1213"/>
              <w:gridCol w:w="114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4" w:type="pct"/>
                  <w:vMerge w:val="restart"/>
                  <w:vAlign w:val="center"/>
                </w:tcPr>
                <w:p>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种类</w:t>
                  </w:r>
                </w:p>
              </w:tc>
              <w:tc>
                <w:tcPr>
                  <w:tcW w:w="577" w:type="pct"/>
                  <w:vMerge w:val="restart"/>
                  <w:vAlign w:val="center"/>
                </w:tcPr>
                <w:p>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污染物名称</w:t>
                  </w:r>
                </w:p>
              </w:tc>
              <w:tc>
                <w:tcPr>
                  <w:tcW w:w="632" w:type="pct"/>
                  <w:vMerge w:val="restart"/>
                  <w:vAlign w:val="center"/>
                </w:tcPr>
                <w:p>
                  <w:pPr>
                    <w:adjustRightInd w:val="0"/>
                    <w:snapToGrid w:val="0"/>
                    <w:jc w:val="center"/>
                    <w:rPr>
                      <w:rFonts w:hint="default" w:ascii="Times New Roman" w:hAnsi="Times New Roman" w:eastAsia="宋体" w:cs="Times New Roman"/>
                      <w:b/>
                      <w:color w:val="auto"/>
                      <w:lang w:val="en-US" w:eastAsia="zh-CN"/>
                    </w:rPr>
                  </w:pPr>
                  <w:r>
                    <w:rPr>
                      <w:rFonts w:hint="default" w:ascii="Times New Roman" w:hAnsi="Times New Roman" w:eastAsia="宋体" w:cs="Times New Roman"/>
                      <w:b/>
                      <w:color w:val="auto"/>
                      <w:lang w:val="en-US" w:eastAsia="zh-CN"/>
                    </w:rPr>
                    <w:t>原有项目批复量</w:t>
                  </w:r>
                </w:p>
              </w:tc>
              <w:tc>
                <w:tcPr>
                  <w:tcW w:w="2017" w:type="pct"/>
                  <w:gridSpan w:val="3"/>
                  <w:vAlign w:val="center"/>
                </w:tcPr>
                <w:p>
                  <w:pPr>
                    <w:adjustRightInd w:val="0"/>
                    <w:snapToGrid w:val="0"/>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本项目</w:t>
                  </w:r>
                </w:p>
              </w:tc>
              <w:tc>
                <w:tcPr>
                  <w:tcW w:w="720" w:type="pct"/>
                  <w:vMerge w:val="restart"/>
                  <w:vAlign w:val="center"/>
                </w:tcPr>
                <w:p>
                  <w:pPr>
                    <w:adjustRightInd w:val="0"/>
                    <w:snapToGrid w:val="0"/>
                    <w:jc w:val="center"/>
                    <w:rPr>
                      <w:rFonts w:hint="default" w:ascii="Times New Roman" w:hAnsi="Times New Roman" w:eastAsia="宋体" w:cs="Times New Roman"/>
                      <w:b/>
                      <w:color w:val="auto"/>
                      <w:spacing w:val="-6"/>
                    </w:rPr>
                  </w:pPr>
                  <w:r>
                    <w:rPr>
                      <w:rFonts w:hint="default" w:ascii="Times New Roman" w:hAnsi="Times New Roman" w:eastAsia="宋体" w:cs="Times New Roman"/>
                      <w:b/>
                      <w:color w:val="auto"/>
                      <w:spacing w:val="-6"/>
                    </w:rPr>
                    <w:t>“以新带老”削减量</w:t>
                  </w:r>
                </w:p>
              </w:tc>
              <w:tc>
                <w:tcPr>
                  <w:tcW w:w="677" w:type="pct"/>
                  <w:vMerge w:val="restart"/>
                  <w:vAlign w:val="center"/>
                </w:tcPr>
                <w:p>
                  <w:pPr>
                    <w:adjustRightInd w:val="0"/>
                    <w:snapToGrid w:val="0"/>
                    <w:jc w:val="center"/>
                    <w:rPr>
                      <w:rFonts w:hint="default" w:ascii="Times New Roman" w:hAnsi="Times New Roman" w:eastAsia="宋体" w:cs="Times New Roman"/>
                      <w:b/>
                      <w:color w:val="auto"/>
                      <w:spacing w:val="-6"/>
                    </w:rPr>
                  </w:pPr>
                  <w:r>
                    <w:rPr>
                      <w:rFonts w:hint="default" w:ascii="Times New Roman" w:hAnsi="Times New Roman" w:eastAsia="宋体" w:cs="Times New Roman"/>
                      <w:b/>
                      <w:color w:val="auto"/>
                      <w:spacing w:val="-6"/>
                    </w:rPr>
                    <w:t>全厂排放量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4" w:type="pct"/>
                  <w:vMerge w:val="continue"/>
                  <w:vAlign w:val="center"/>
                </w:tcPr>
                <w:p>
                  <w:pPr>
                    <w:adjustRightInd w:val="0"/>
                    <w:snapToGrid w:val="0"/>
                    <w:jc w:val="center"/>
                    <w:rPr>
                      <w:rFonts w:hint="default" w:ascii="Times New Roman" w:hAnsi="Times New Roman" w:eastAsia="宋体" w:cs="Times New Roman"/>
                      <w:b/>
                      <w:color w:val="auto"/>
                      <w:szCs w:val="21"/>
                    </w:rPr>
                  </w:pPr>
                </w:p>
              </w:tc>
              <w:tc>
                <w:tcPr>
                  <w:tcW w:w="577" w:type="pct"/>
                  <w:vMerge w:val="continue"/>
                  <w:vAlign w:val="center"/>
                </w:tcPr>
                <w:p>
                  <w:pPr>
                    <w:adjustRightInd w:val="0"/>
                    <w:snapToGrid w:val="0"/>
                    <w:jc w:val="center"/>
                    <w:rPr>
                      <w:rFonts w:hint="default" w:ascii="Times New Roman" w:hAnsi="Times New Roman" w:eastAsia="宋体" w:cs="Times New Roman"/>
                      <w:b/>
                      <w:color w:val="auto"/>
                      <w:szCs w:val="21"/>
                    </w:rPr>
                  </w:pPr>
                </w:p>
              </w:tc>
              <w:tc>
                <w:tcPr>
                  <w:tcW w:w="632" w:type="pct"/>
                  <w:vMerge w:val="continue"/>
                  <w:vAlign w:val="center"/>
                </w:tcPr>
                <w:p>
                  <w:pPr>
                    <w:adjustRightInd w:val="0"/>
                    <w:snapToGrid w:val="0"/>
                    <w:jc w:val="center"/>
                    <w:rPr>
                      <w:rFonts w:hint="default" w:ascii="Times New Roman" w:hAnsi="Times New Roman" w:eastAsia="宋体" w:cs="Times New Roman"/>
                      <w:b/>
                      <w:color w:val="auto"/>
                    </w:rPr>
                  </w:pPr>
                </w:p>
              </w:tc>
              <w:tc>
                <w:tcPr>
                  <w:tcW w:w="664" w:type="pct"/>
                  <w:vAlign w:val="center"/>
                </w:tcPr>
                <w:p>
                  <w:pPr>
                    <w:adjustRightInd w:val="0"/>
                    <w:snapToGrid w:val="0"/>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产生量</w:t>
                  </w:r>
                </w:p>
              </w:tc>
              <w:tc>
                <w:tcPr>
                  <w:tcW w:w="664" w:type="pct"/>
                  <w:vAlign w:val="center"/>
                </w:tcPr>
                <w:p>
                  <w:pPr>
                    <w:adjustRightInd w:val="0"/>
                    <w:snapToGrid w:val="0"/>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削减量</w:t>
                  </w:r>
                </w:p>
              </w:tc>
              <w:tc>
                <w:tcPr>
                  <w:tcW w:w="689" w:type="pct"/>
                  <w:vAlign w:val="center"/>
                </w:tcPr>
                <w:p>
                  <w:pPr>
                    <w:adjustRightInd w:val="0"/>
                    <w:snapToGrid w:val="0"/>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排放量</w:t>
                  </w:r>
                </w:p>
              </w:tc>
              <w:tc>
                <w:tcPr>
                  <w:tcW w:w="720" w:type="pct"/>
                  <w:vMerge w:val="continue"/>
                  <w:vAlign w:val="center"/>
                </w:tcPr>
                <w:p>
                  <w:pPr>
                    <w:adjustRightInd w:val="0"/>
                    <w:snapToGrid w:val="0"/>
                    <w:jc w:val="center"/>
                    <w:rPr>
                      <w:rFonts w:hint="default" w:ascii="Times New Roman" w:hAnsi="Times New Roman" w:eastAsia="宋体" w:cs="Times New Roman"/>
                      <w:b/>
                      <w:color w:val="auto"/>
                      <w:spacing w:val="-6"/>
                    </w:rPr>
                  </w:pPr>
                </w:p>
              </w:tc>
              <w:tc>
                <w:tcPr>
                  <w:tcW w:w="677" w:type="pct"/>
                  <w:vMerge w:val="continue"/>
                  <w:vAlign w:val="center"/>
                </w:tcPr>
                <w:p>
                  <w:pPr>
                    <w:adjustRightInd w:val="0"/>
                    <w:snapToGrid w:val="0"/>
                    <w:jc w:val="center"/>
                    <w:rPr>
                      <w:rFonts w:hint="default" w:ascii="Times New Roman" w:hAnsi="Times New Roman" w:eastAsia="宋体" w:cs="Times New Roman"/>
                      <w:b/>
                      <w:color w:val="auto"/>
                      <w:spacing w:val="-6"/>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4" w:type="pct"/>
                  <w:vMerge w:val="restar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废水</w:t>
                  </w:r>
                </w:p>
              </w:tc>
              <w:tc>
                <w:tcPr>
                  <w:tcW w:w="577"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水量</w:t>
                  </w:r>
                </w:p>
              </w:tc>
              <w:tc>
                <w:tcPr>
                  <w:tcW w:w="632"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664"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1981.9</w:t>
                  </w:r>
                </w:p>
              </w:tc>
              <w:tc>
                <w:tcPr>
                  <w:tcW w:w="664"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20</w:t>
                  </w:r>
                </w:p>
              </w:tc>
              <w:tc>
                <w:tcPr>
                  <w:tcW w:w="689"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1961.9</w:t>
                  </w:r>
                </w:p>
              </w:tc>
              <w:tc>
                <w:tcPr>
                  <w:tcW w:w="720"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w:t>
                  </w:r>
                  <w:r>
                    <w:rPr>
                      <w:rFonts w:hint="eastAsia" w:cs="Times New Roman"/>
                      <w:color w:val="auto"/>
                      <w:szCs w:val="21"/>
                      <w:lang w:val="en-US" w:eastAsia="zh-CN"/>
                    </w:rPr>
                    <w:t>600</w:t>
                  </w:r>
                </w:p>
              </w:tc>
              <w:tc>
                <w:tcPr>
                  <w:tcW w:w="677"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2561.9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4"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577"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COD</w:t>
                  </w:r>
                </w:p>
              </w:tc>
              <w:tc>
                <w:tcPr>
                  <w:tcW w:w="632"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664"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1.4645</w:t>
                  </w:r>
                </w:p>
              </w:tc>
              <w:tc>
                <w:tcPr>
                  <w:tcW w:w="664"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0.54555</w:t>
                  </w:r>
                </w:p>
              </w:tc>
              <w:tc>
                <w:tcPr>
                  <w:tcW w:w="689"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0.91895</w:t>
                  </w:r>
                </w:p>
              </w:tc>
              <w:tc>
                <w:tcPr>
                  <w:tcW w:w="720" w:type="pct"/>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r>
                    <w:rPr>
                      <w:rFonts w:hint="eastAsia"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0.24</w:t>
                  </w:r>
                </w:p>
              </w:tc>
              <w:tc>
                <w:tcPr>
                  <w:tcW w:w="677"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1.15895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4"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577"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SS</w:t>
                  </w:r>
                </w:p>
              </w:tc>
              <w:tc>
                <w:tcPr>
                  <w:tcW w:w="632"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664"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0.61734</w:t>
                  </w:r>
                </w:p>
              </w:tc>
              <w:tc>
                <w:tcPr>
                  <w:tcW w:w="664"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0.01518</w:t>
                  </w:r>
                </w:p>
              </w:tc>
              <w:tc>
                <w:tcPr>
                  <w:tcW w:w="689"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0.60216</w:t>
                  </w:r>
                </w:p>
              </w:tc>
              <w:tc>
                <w:tcPr>
                  <w:tcW w:w="720" w:type="pct"/>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r>
                    <w:rPr>
                      <w:rFonts w:hint="eastAsia"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0.18</w:t>
                  </w:r>
                </w:p>
              </w:tc>
              <w:tc>
                <w:tcPr>
                  <w:tcW w:w="677"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0.78216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4"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577"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氨氮</w:t>
                  </w:r>
                </w:p>
              </w:tc>
              <w:tc>
                <w:tcPr>
                  <w:tcW w:w="632"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664"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0.018</w:t>
                  </w:r>
                </w:p>
              </w:tc>
              <w:tc>
                <w:tcPr>
                  <w:tcW w:w="664"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w:t>
                  </w:r>
                </w:p>
              </w:tc>
              <w:tc>
                <w:tcPr>
                  <w:tcW w:w="689"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0.018</w:t>
                  </w:r>
                </w:p>
              </w:tc>
              <w:tc>
                <w:tcPr>
                  <w:tcW w:w="720" w:type="pct"/>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r>
                    <w:rPr>
                      <w:rFonts w:hint="eastAsia"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0.015</w:t>
                  </w:r>
                </w:p>
              </w:tc>
              <w:tc>
                <w:tcPr>
                  <w:tcW w:w="677"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0.033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4"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577"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TP</w:t>
                  </w:r>
                </w:p>
              </w:tc>
              <w:tc>
                <w:tcPr>
                  <w:tcW w:w="632"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664"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0.0036</w:t>
                  </w:r>
                </w:p>
              </w:tc>
              <w:tc>
                <w:tcPr>
                  <w:tcW w:w="664"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w:t>
                  </w:r>
                </w:p>
              </w:tc>
              <w:tc>
                <w:tcPr>
                  <w:tcW w:w="689"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0.0036</w:t>
                  </w:r>
                </w:p>
              </w:tc>
              <w:tc>
                <w:tcPr>
                  <w:tcW w:w="720" w:type="pct"/>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r>
                    <w:rPr>
                      <w:rFonts w:hint="eastAsia"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0.003</w:t>
                  </w:r>
                </w:p>
              </w:tc>
              <w:tc>
                <w:tcPr>
                  <w:tcW w:w="677"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0.0066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4"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577"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TN</w:t>
                  </w:r>
                </w:p>
              </w:tc>
              <w:tc>
                <w:tcPr>
                  <w:tcW w:w="632"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664"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0.036</w:t>
                  </w:r>
                </w:p>
              </w:tc>
              <w:tc>
                <w:tcPr>
                  <w:tcW w:w="664"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w:t>
                  </w:r>
                </w:p>
              </w:tc>
              <w:tc>
                <w:tcPr>
                  <w:tcW w:w="689"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0.036</w:t>
                  </w:r>
                </w:p>
              </w:tc>
              <w:tc>
                <w:tcPr>
                  <w:tcW w:w="720" w:type="pct"/>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r>
                    <w:rPr>
                      <w:rFonts w:hint="eastAsia"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0.03</w:t>
                  </w:r>
                </w:p>
              </w:tc>
              <w:tc>
                <w:tcPr>
                  <w:tcW w:w="677"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0.066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4"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577" w:type="pct"/>
                  <w:vAlign w:val="center"/>
                </w:tcPr>
                <w:p>
                  <w:pPr>
                    <w:adjustRightInd w:val="0"/>
                    <w:snapToGrid w:val="0"/>
                    <w:jc w:val="center"/>
                    <w:rPr>
                      <w:rFonts w:hint="eastAsia" w:ascii="Times New Roman" w:hAnsi="Times New Roman" w:eastAsia="宋体" w:cs="Times New Roman"/>
                      <w:color w:val="auto"/>
                      <w:lang w:val="en-US" w:eastAsia="zh-CN"/>
                    </w:rPr>
                  </w:pPr>
                  <w:r>
                    <w:rPr>
                      <w:rFonts w:hint="eastAsia" w:cs="Times New Roman"/>
                      <w:color w:val="auto"/>
                      <w:lang w:val="en-US" w:eastAsia="zh-CN"/>
                    </w:rPr>
                    <w:t>石油类</w:t>
                  </w:r>
                </w:p>
              </w:tc>
              <w:tc>
                <w:tcPr>
                  <w:tcW w:w="632"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w:t>
                  </w:r>
                </w:p>
              </w:tc>
              <w:tc>
                <w:tcPr>
                  <w:tcW w:w="664" w:type="pct"/>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0.006072</w:t>
                  </w:r>
                </w:p>
              </w:tc>
              <w:tc>
                <w:tcPr>
                  <w:tcW w:w="664"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0.0049335</w:t>
                  </w:r>
                </w:p>
              </w:tc>
              <w:tc>
                <w:tcPr>
                  <w:tcW w:w="689" w:type="pct"/>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0.0011385</w:t>
                  </w:r>
                </w:p>
              </w:tc>
              <w:tc>
                <w:tcPr>
                  <w:tcW w:w="720" w:type="pct"/>
                  <w:vAlign w:val="center"/>
                </w:tcPr>
                <w:p>
                  <w:pPr>
                    <w:keepNext w:val="0"/>
                    <w:keepLines w:val="0"/>
                    <w:widowControl/>
                    <w:suppressLineNumbers w:val="0"/>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w:t>
                  </w:r>
                </w:p>
              </w:tc>
              <w:tc>
                <w:tcPr>
                  <w:tcW w:w="677" w:type="pct"/>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0.0011385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4" w:type="pct"/>
                  <w:vMerge w:val="restar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废气</w:t>
                  </w:r>
                </w:p>
              </w:tc>
              <w:tc>
                <w:tcPr>
                  <w:tcW w:w="577"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非甲烷总烃</w:t>
                  </w:r>
                </w:p>
              </w:tc>
              <w:tc>
                <w:tcPr>
                  <w:tcW w:w="632"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664"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4.354</w:t>
                  </w:r>
                </w:p>
              </w:tc>
              <w:tc>
                <w:tcPr>
                  <w:tcW w:w="664"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3.9186</w:t>
                  </w:r>
                </w:p>
              </w:tc>
              <w:tc>
                <w:tcPr>
                  <w:tcW w:w="689"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0.4354</w:t>
                  </w:r>
                </w:p>
              </w:tc>
              <w:tc>
                <w:tcPr>
                  <w:tcW w:w="720"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677"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0.4354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4"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577" w:type="pct"/>
                  <w:vAlign w:val="center"/>
                </w:tcPr>
                <w:p>
                  <w:pPr>
                    <w:adjustRightInd w:val="0"/>
                    <w:snapToGrid w:val="0"/>
                    <w:jc w:val="center"/>
                    <w:rPr>
                      <w:rFonts w:hint="default" w:ascii="Times New Roman" w:hAnsi="Times New Roman" w:eastAsia="宋体" w:cs="Times New Roman"/>
                      <w:color w:val="auto"/>
                      <w:kern w:val="2"/>
                      <w:sz w:val="21"/>
                      <w:szCs w:val="21"/>
                      <w:vertAlign w:val="subscript"/>
                      <w:lang w:val="en-US" w:eastAsia="zh-CN" w:bidi="ar-SA"/>
                    </w:rPr>
                  </w:pPr>
                  <w:r>
                    <w:rPr>
                      <w:rFonts w:hint="eastAsia" w:ascii="Times New Roman" w:hAnsi="Times New Roman" w:eastAsia="宋体" w:cs="Times New Roman"/>
                      <w:color w:val="auto"/>
                      <w:szCs w:val="21"/>
                      <w:lang w:val="en-US" w:eastAsia="zh-CN"/>
                    </w:rPr>
                    <w:t>NO</w:t>
                  </w:r>
                  <w:r>
                    <w:rPr>
                      <w:rFonts w:hint="eastAsia" w:ascii="Times New Roman" w:hAnsi="Times New Roman" w:eastAsia="宋体" w:cs="Times New Roman"/>
                      <w:color w:val="auto"/>
                      <w:szCs w:val="21"/>
                      <w:vertAlign w:val="subscript"/>
                      <w:lang w:val="en-US" w:eastAsia="zh-CN"/>
                    </w:rPr>
                    <w:t>x</w:t>
                  </w:r>
                </w:p>
              </w:tc>
              <w:tc>
                <w:tcPr>
                  <w:tcW w:w="632"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0</w:t>
                  </w:r>
                </w:p>
              </w:tc>
              <w:tc>
                <w:tcPr>
                  <w:tcW w:w="664" w:type="pct"/>
                  <w:vAlign w:val="center"/>
                </w:tcPr>
                <w:p>
                  <w:pPr>
                    <w:pStyle w:val="51"/>
                    <w:spacing w:line="240" w:lineRule="auto"/>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cs="Times New Roman"/>
                      <w:bCs/>
                      <w:color w:val="auto"/>
                      <w:kern w:val="2"/>
                      <w:sz w:val="21"/>
                      <w:szCs w:val="21"/>
                      <w:lang w:val="en-US" w:eastAsia="zh-CN" w:bidi="ar-SA"/>
                    </w:rPr>
                    <w:t>0.0909</w:t>
                  </w:r>
                </w:p>
              </w:tc>
              <w:tc>
                <w:tcPr>
                  <w:tcW w:w="664"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0</w:t>
                  </w:r>
                </w:p>
              </w:tc>
              <w:tc>
                <w:tcPr>
                  <w:tcW w:w="1160" w:type="dxa"/>
                  <w:vAlign w:val="center"/>
                </w:tcPr>
                <w:p>
                  <w:pPr>
                    <w:pStyle w:val="51"/>
                    <w:spacing w:line="240" w:lineRule="auto"/>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cs="Times New Roman"/>
                      <w:bCs/>
                      <w:color w:val="auto"/>
                      <w:kern w:val="2"/>
                      <w:sz w:val="21"/>
                      <w:szCs w:val="21"/>
                      <w:lang w:val="en-US" w:eastAsia="zh-CN" w:bidi="ar-SA"/>
                    </w:rPr>
                    <w:t>0.0909</w:t>
                  </w:r>
                </w:p>
              </w:tc>
              <w:tc>
                <w:tcPr>
                  <w:tcW w:w="720"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0</w:t>
                  </w:r>
                </w:p>
              </w:tc>
              <w:tc>
                <w:tcPr>
                  <w:tcW w:w="1141" w:type="dxa"/>
                  <w:vAlign w:val="center"/>
                </w:tcPr>
                <w:p>
                  <w:pPr>
                    <w:pStyle w:val="51"/>
                    <w:spacing w:line="240" w:lineRule="auto"/>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cs="Times New Roman"/>
                      <w:bCs/>
                      <w:color w:val="auto"/>
                      <w:kern w:val="2"/>
                      <w:sz w:val="21"/>
                      <w:szCs w:val="21"/>
                      <w:lang w:val="en-US" w:eastAsia="zh-CN" w:bidi="ar-SA"/>
                    </w:rPr>
                    <w:t>0.0909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4"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577"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颗粒物</w:t>
                  </w:r>
                </w:p>
              </w:tc>
              <w:tc>
                <w:tcPr>
                  <w:tcW w:w="632"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0</w:t>
                  </w:r>
                </w:p>
              </w:tc>
              <w:tc>
                <w:tcPr>
                  <w:tcW w:w="664" w:type="pct"/>
                  <w:vAlign w:val="center"/>
                </w:tcPr>
                <w:p>
                  <w:pPr>
                    <w:pStyle w:val="51"/>
                    <w:spacing w:line="240" w:lineRule="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color w:val="auto"/>
                      <w:szCs w:val="21"/>
                      <w:lang w:val="en-US" w:eastAsia="zh-CN"/>
                    </w:rPr>
                    <w:t>0.0</w:t>
                  </w:r>
                  <w:r>
                    <w:rPr>
                      <w:rFonts w:hint="eastAsia" w:ascii="Times New Roman" w:hAnsi="Times New Roman" w:cs="Times New Roman"/>
                      <w:color w:val="auto"/>
                      <w:szCs w:val="21"/>
                      <w:lang w:val="en-US" w:eastAsia="zh-CN"/>
                    </w:rPr>
                    <w:t>7</w:t>
                  </w:r>
                  <w:r>
                    <w:rPr>
                      <w:rFonts w:hint="default" w:ascii="Times New Roman" w:hAnsi="Times New Roman" w:eastAsia="宋体" w:cs="Times New Roman"/>
                      <w:color w:val="auto"/>
                      <w:szCs w:val="21"/>
                      <w:lang w:val="en-US" w:eastAsia="zh-CN"/>
                    </w:rPr>
                    <w:t>2</w:t>
                  </w:r>
                </w:p>
              </w:tc>
              <w:tc>
                <w:tcPr>
                  <w:tcW w:w="664"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0</w:t>
                  </w:r>
                </w:p>
              </w:tc>
              <w:tc>
                <w:tcPr>
                  <w:tcW w:w="1160" w:type="dxa"/>
                  <w:vAlign w:val="center"/>
                </w:tcPr>
                <w:p>
                  <w:pPr>
                    <w:pStyle w:val="51"/>
                    <w:spacing w:line="240" w:lineRule="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color w:val="auto"/>
                      <w:szCs w:val="21"/>
                      <w:lang w:val="en-US" w:eastAsia="zh-CN"/>
                    </w:rPr>
                    <w:t>0.0</w:t>
                  </w:r>
                  <w:r>
                    <w:rPr>
                      <w:rFonts w:hint="eastAsia" w:ascii="Times New Roman" w:hAnsi="Times New Roman" w:cs="Times New Roman"/>
                      <w:color w:val="auto"/>
                      <w:szCs w:val="21"/>
                      <w:lang w:val="en-US" w:eastAsia="zh-CN"/>
                    </w:rPr>
                    <w:t>7</w:t>
                  </w:r>
                  <w:r>
                    <w:rPr>
                      <w:rFonts w:hint="default" w:ascii="Times New Roman" w:hAnsi="Times New Roman" w:eastAsia="宋体" w:cs="Times New Roman"/>
                      <w:color w:val="auto"/>
                      <w:szCs w:val="21"/>
                      <w:lang w:val="en-US" w:eastAsia="zh-CN"/>
                    </w:rPr>
                    <w:t>2</w:t>
                  </w:r>
                </w:p>
              </w:tc>
              <w:tc>
                <w:tcPr>
                  <w:tcW w:w="720"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0</w:t>
                  </w:r>
                </w:p>
              </w:tc>
              <w:tc>
                <w:tcPr>
                  <w:tcW w:w="1141" w:type="dxa"/>
                  <w:vAlign w:val="center"/>
                </w:tcPr>
                <w:p>
                  <w:pPr>
                    <w:pStyle w:val="51"/>
                    <w:spacing w:line="240" w:lineRule="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color w:val="auto"/>
                      <w:szCs w:val="21"/>
                      <w:lang w:val="en-US" w:eastAsia="zh-CN"/>
                    </w:rPr>
                    <w:t>0.0</w:t>
                  </w:r>
                  <w:r>
                    <w:rPr>
                      <w:rFonts w:hint="eastAsia" w:ascii="Times New Roman" w:hAnsi="Times New Roman" w:cs="Times New Roman"/>
                      <w:color w:val="auto"/>
                      <w:szCs w:val="21"/>
                      <w:lang w:val="en-US" w:eastAsia="zh-CN"/>
                    </w:rPr>
                    <w:t>7</w:t>
                  </w:r>
                  <w:r>
                    <w:rPr>
                      <w:rFonts w:hint="default" w:ascii="Times New Roman" w:hAnsi="Times New Roman" w:eastAsia="宋体" w:cs="Times New Roman"/>
                      <w:color w:val="auto"/>
                      <w:szCs w:val="21"/>
                      <w:lang w:val="en-US" w:eastAsia="zh-C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4"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577" w:type="pct"/>
                  <w:vAlign w:val="center"/>
                </w:tcPr>
                <w:p>
                  <w:pPr>
                    <w:adjustRightInd w:val="0"/>
                    <w:snapToGrid w:val="0"/>
                    <w:jc w:val="center"/>
                    <w:rPr>
                      <w:rFonts w:hint="default" w:ascii="Times New Roman" w:hAnsi="Times New Roman" w:eastAsia="宋体" w:cs="Times New Roman"/>
                      <w:color w:val="auto"/>
                      <w:kern w:val="2"/>
                      <w:sz w:val="21"/>
                      <w:szCs w:val="21"/>
                      <w:vertAlign w:val="subscript"/>
                      <w:lang w:val="en-US" w:eastAsia="zh-CN" w:bidi="ar-SA"/>
                    </w:rPr>
                  </w:pPr>
                  <w:r>
                    <w:rPr>
                      <w:rFonts w:hint="default" w:ascii="Times New Roman" w:hAnsi="Times New Roman" w:eastAsia="宋体" w:cs="Times New Roman"/>
                      <w:color w:val="auto"/>
                      <w:szCs w:val="21"/>
                    </w:rPr>
                    <w:t>SO</w:t>
                  </w:r>
                  <w:r>
                    <w:rPr>
                      <w:rFonts w:hint="default" w:ascii="Times New Roman" w:hAnsi="Times New Roman" w:eastAsia="宋体" w:cs="Times New Roman"/>
                      <w:color w:val="auto"/>
                      <w:szCs w:val="21"/>
                      <w:vertAlign w:val="subscript"/>
                    </w:rPr>
                    <w:t>2</w:t>
                  </w:r>
                </w:p>
              </w:tc>
              <w:tc>
                <w:tcPr>
                  <w:tcW w:w="632"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0</w:t>
                  </w:r>
                </w:p>
              </w:tc>
              <w:tc>
                <w:tcPr>
                  <w:tcW w:w="664" w:type="pct"/>
                  <w:vAlign w:val="center"/>
                </w:tcPr>
                <w:p>
                  <w:pPr>
                    <w:pStyle w:val="51"/>
                    <w:spacing w:line="240" w:lineRule="auto"/>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cs="Times New Roman"/>
                      <w:bCs/>
                      <w:color w:val="auto"/>
                      <w:kern w:val="2"/>
                      <w:sz w:val="21"/>
                      <w:szCs w:val="21"/>
                      <w:lang w:val="en-US" w:eastAsia="zh-CN" w:bidi="ar-SA"/>
                    </w:rPr>
                    <w:t>0.12</w:t>
                  </w:r>
                </w:p>
              </w:tc>
              <w:tc>
                <w:tcPr>
                  <w:tcW w:w="664"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0</w:t>
                  </w:r>
                </w:p>
              </w:tc>
              <w:tc>
                <w:tcPr>
                  <w:tcW w:w="1160" w:type="dxa"/>
                  <w:vAlign w:val="center"/>
                </w:tcPr>
                <w:p>
                  <w:pPr>
                    <w:pStyle w:val="51"/>
                    <w:spacing w:line="240" w:lineRule="auto"/>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cs="Times New Roman"/>
                      <w:bCs/>
                      <w:color w:val="auto"/>
                      <w:kern w:val="2"/>
                      <w:sz w:val="21"/>
                      <w:szCs w:val="21"/>
                      <w:lang w:val="en-US" w:eastAsia="zh-CN" w:bidi="ar-SA"/>
                    </w:rPr>
                    <w:t>0.12</w:t>
                  </w:r>
                </w:p>
              </w:tc>
              <w:tc>
                <w:tcPr>
                  <w:tcW w:w="720"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0</w:t>
                  </w:r>
                </w:p>
              </w:tc>
              <w:tc>
                <w:tcPr>
                  <w:tcW w:w="1141" w:type="dxa"/>
                  <w:vAlign w:val="center"/>
                </w:tcPr>
                <w:p>
                  <w:pPr>
                    <w:pStyle w:val="51"/>
                    <w:spacing w:line="240" w:lineRule="auto"/>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cs="Times New Roman"/>
                      <w:bCs/>
                      <w:color w:val="auto"/>
                      <w:kern w:val="2"/>
                      <w:sz w:val="21"/>
                      <w:szCs w:val="21"/>
                      <w:lang w:val="en-US" w:eastAsia="zh-CN" w:bidi="ar-SA"/>
                    </w:rPr>
                    <w:t>0.12</w:t>
                  </w:r>
                </w:p>
              </w:tc>
            </w:tr>
          </w:tbl>
          <w:p>
            <w:pPr>
              <w:adjustRightInd w:val="0"/>
              <w:snapToGrid w:val="0"/>
              <w:spacing w:line="360" w:lineRule="auto"/>
              <w:ind w:firstLine="482" w:firstLineChars="200"/>
              <w:jc w:val="left"/>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2、总量平衡方案：</w:t>
            </w:r>
          </w:p>
          <w:p>
            <w:pPr>
              <w:overflowPunct w:val="0"/>
              <w:autoSpaceDE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废水：</w:t>
            </w:r>
            <w:r>
              <w:rPr>
                <w:rFonts w:hint="default" w:ascii="Times New Roman" w:hAnsi="Times New Roman" w:eastAsia="宋体" w:cs="Times New Roman"/>
                <w:color w:val="auto"/>
                <w:sz w:val="24"/>
                <w:lang w:val="en-US" w:eastAsia="zh-CN"/>
              </w:rPr>
              <w:t>全厂</w:t>
            </w:r>
            <w:r>
              <w:rPr>
                <w:rFonts w:hint="default" w:ascii="Times New Roman" w:hAnsi="Times New Roman" w:eastAsia="宋体" w:cs="Times New Roman"/>
                <w:bCs/>
                <w:color w:val="auto"/>
                <w:sz w:val="24"/>
                <w:lang w:val="en-US" w:eastAsia="zh-CN"/>
              </w:rPr>
              <w:t>废水</w:t>
            </w:r>
            <w:r>
              <w:rPr>
                <w:rFonts w:hint="default" w:ascii="Times New Roman" w:hAnsi="Times New Roman" w:eastAsia="宋体" w:cs="Times New Roman"/>
                <w:bCs/>
                <w:color w:val="auto"/>
                <w:sz w:val="24"/>
              </w:rPr>
              <w:t>水量为</w:t>
            </w:r>
            <w:r>
              <w:rPr>
                <w:rFonts w:hint="eastAsia" w:cs="Times New Roman"/>
                <w:bCs/>
                <w:color w:val="auto"/>
                <w:sz w:val="24"/>
                <w:lang w:val="en-US" w:eastAsia="zh-CN"/>
              </w:rPr>
              <w:t>256</w:t>
            </w:r>
            <w:r>
              <w:rPr>
                <w:rFonts w:hint="default" w:ascii="Times New Roman" w:hAnsi="Times New Roman" w:eastAsia="宋体" w:cs="Times New Roman"/>
                <w:bCs/>
                <w:color w:val="auto"/>
                <w:sz w:val="24"/>
                <w:lang w:val="en-US" w:eastAsia="zh-CN"/>
              </w:rPr>
              <w:t>1.9t/a</w:t>
            </w:r>
            <w:r>
              <w:rPr>
                <w:rFonts w:hint="eastAsia" w:cs="Times New Roman"/>
                <w:bCs/>
                <w:color w:val="auto"/>
                <w:sz w:val="24"/>
                <w:lang w:val="en-US" w:eastAsia="zh-CN"/>
              </w:rPr>
              <w:t>，</w:t>
            </w:r>
            <w:r>
              <w:rPr>
                <w:rFonts w:hint="default" w:ascii="Times New Roman" w:hAnsi="Times New Roman" w:eastAsia="宋体" w:cs="Times New Roman"/>
                <w:bCs/>
                <w:color w:val="auto"/>
                <w:sz w:val="24"/>
                <w:lang w:val="en-US" w:eastAsia="zh-CN"/>
              </w:rPr>
              <w:t>COD</w:t>
            </w:r>
            <w:r>
              <w:rPr>
                <w:rFonts w:hint="eastAsia" w:cs="Times New Roman"/>
                <w:bCs/>
                <w:color w:val="auto"/>
                <w:sz w:val="24"/>
                <w:lang w:val="en-US" w:eastAsia="zh-CN"/>
              </w:rPr>
              <w:t xml:space="preserve"> 1.15895</w:t>
            </w:r>
            <w:r>
              <w:rPr>
                <w:rFonts w:hint="default" w:ascii="Times New Roman" w:hAnsi="Times New Roman" w:eastAsia="宋体" w:cs="Times New Roman"/>
                <w:bCs/>
                <w:color w:val="auto"/>
                <w:sz w:val="24"/>
                <w:lang w:val="en-US" w:eastAsia="zh-CN"/>
              </w:rPr>
              <w:t>t/a、SS</w:t>
            </w:r>
            <w:r>
              <w:rPr>
                <w:rFonts w:hint="eastAsia" w:cs="Times New Roman"/>
                <w:bCs/>
                <w:color w:val="auto"/>
                <w:sz w:val="24"/>
                <w:lang w:val="en-US" w:eastAsia="zh-CN"/>
              </w:rPr>
              <w:t xml:space="preserve"> 0.78216</w:t>
            </w:r>
            <w:r>
              <w:rPr>
                <w:rFonts w:hint="default" w:ascii="Times New Roman" w:hAnsi="Times New Roman" w:eastAsia="宋体" w:cs="Times New Roman"/>
                <w:bCs/>
                <w:color w:val="auto"/>
                <w:sz w:val="24"/>
                <w:lang w:val="en-US" w:eastAsia="zh-CN"/>
              </w:rPr>
              <w:t>t/a、</w:t>
            </w:r>
            <w:r>
              <w:rPr>
                <w:rFonts w:hint="default" w:ascii="Times New Roman" w:hAnsi="Times New Roman" w:eastAsia="宋体" w:cs="Times New Roman"/>
                <w:color w:val="auto"/>
                <w:sz w:val="24"/>
              </w:rPr>
              <w:t>NH</w:t>
            </w:r>
            <w:r>
              <w:rPr>
                <w:rFonts w:hint="default" w:ascii="Times New Roman" w:hAnsi="Times New Roman" w:eastAsia="宋体" w:cs="Times New Roman"/>
                <w:color w:val="auto"/>
                <w:sz w:val="24"/>
                <w:vertAlign w:val="subscript"/>
              </w:rPr>
              <w:t>3</w:t>
            </w:r>
            <w:r>
              <w:rPr>
                <w:rFonts w:hint="default" w:ascii="Times New Roman" w:hAnsi="Times New Roman" w:eastAsia="宋体" w:cs="Times New Roman"/>
                <w:color w:val="auto"/>
                <w:sz w:val="24"/>
              </w:rPr>
              <w:t xml:space="preserve">-N </w:t>
            </w:r>
            <w:r>
              <w:rPr>
                <w:rFonts w:hint="default" w:ascii="Times New Roman" w:hAnsi="Times New Roman" w:eastAsia="宋体" w:cs="Times New Roman"/>
                <w:color w:val="auto"/>
                <w:sz w:val="24"/>
                <w:lang w:val="en-US" w:eastAsia="zh-CN"/>
              </w:rPr>
              <w:t>0.03</w:t>
            </w:r>
            <w:r>
              <w:rPr>
                <w:rFonts w:hint="eastAsia" w:cs="Times New Roman"/>
                <w:color w:val="auto"/>
                <w:sz w:val="24"/>
                <w:lang w:val="en-US" w:eastAsia="zh-CN"/>
              </w:rPr>
              <w:t>3</w:t>
            </w:r>
            <w:r>
              <w:rPr>
                <w:rFonts w:hint="default" w:ascii="Times New Roman" w:hAnsi="Times New Roman" w:eastAsia="宋体" w:cs="Times New Roman"/>
                <w:color w:val="auto"/>
                <w:sz w:val="24"/>
              </w:rPr>
              <w:t>t/a、TP</w:t>
            </w:r>
            <w:r>
              <w:rPr>
                <w:rFonts w:hint="eastAsia" w:cs="Times New Roman"/>
                <w:color w:val="auto"/>
                <w:sz w:val="24"/>
                <w:lang w:val="en-US" w:eastAsia="zh-CN"/>
              </w:rPr>
              <w:t xml:space="preserve"> </w:t>
            </w:r>
            <w:r>
              <w:rPr>
                <w:rFonts w:hint="default" w:ascii="Times New Roman" w:hAnsi="Times New Roman" w:eastAsia="宋体" w:cs="Times New Roman"/>
                <w:color w:val="auto"/>
                <w:sz w:val="24"/>
                <w:lang w:val="en-US" w:eastAsia="zh-CN"/>
              </w:rPr>
              <w:t>0.006</w:t>
            </w:r>
            <w:r>
              <w:rPr>
                <w:rFonts w:hint="eastAsia" w:cs="Times New Roman"/>
                <w:color w:val="auto"/>
                <w:sz w:val="24"/>
                <w:lang w:val="en-US" w:eastAsia="zh-CN"/>
              </w:rPr>
              <w:t>6</w:t>
            </w:r>
            <w:r>
              <w:rPr>
                <w:rFonts w:hint="default" w:ascii="Times New Roman" w:hAnsi="Times New Roman" w:eastAsia="宋体" w:cs="Times New Roman"/>
                <w:color w:val="auto"/>
                <w:sz w:val="24"/>
              </w:rPr>
              <w:t>t/a、TN</w:t>
            </w:r>
            <w:r>
              <w:rPr>
                <w:rFonts w:hint="eastAsia" w:cs="Times New Roman"/>
                <w:color w:val="auto"/>
                <w:sz w:val="24"/>
                <w:lang w:val="en-US" w:eastAsia="zh-CN"/>
              </w:rPr>
              <w:t xml:space="preserve"> </w:t>
            </w:r>
            <w:r>
              <w:rPr>
                <w:rFonts w:hint="default" w:ascii="Times New Roman" w:hAnsi="Times New Roman" w:eastAsia="宋体" w:cs="Times New Roman"/>
                <w:color w:val="auto"/>
                <w:sz w:val="24"/>
                <w:lang w:val="en-US" w:eastAsia="zh-CN"/>
              </w:rPr>
              <w:t>0.06</w:t>
            </w:r>
            <w:r>
              <w:rPr>
                <w:rFonts w:hint="eastAsia" w:cs="Times New Roman"/>
                <w:color w:val="auto"/>
                <w:sz w:val="24"/>
                <w:lang w:val="en-US" w:eastAsia="zh-CN"/>
              </w:rPr>
              <w:t>6</w:t>
            </w:r>
            <w:r>
              <w:rPr>
                <w:rFonts w:hint="default" w:ascii="Times New Roman" w:hAnsi="Times New Roman" w:eastAsia="宋体" w:cs="Times New Roman"/>
                <w:color w:val="auto"/>
                <w:sz w:val="24"/>
              </w:rPr>
              <w:t>t/a</w:t>
            </w:r>
            <w:r>
              <w:rPr>
                <w:rFonts w:hint="eastAsia" w:cs="Times New Roman"/>
                <w:color w:val="auto"/>
                <w:sz w:val="24"/>
                <w:lang w:eastAsia="zh-CN"/>
              </w:rPr>
              <w:t>、</w:t>
            </w:r>
            <w:r>
              <w:rPr>
                <w:rFonts w:hint="eastAsia" w:cs="Times New Roman"/>
                <w:color w:val="auto"/>
                <w:sz w:val="24"/>
                <w:lang w:val="en-US" w:eastAsia="zh-CN"/>
              </w:rPr>
              <w:t>石油类0.0011385t/a</w:t>
            </w:r>
            <w:r>
              <w:rPr>
                <w:rFonts w:hint="default" w:cs="Times New Roman"/>
                <w:color w:val="auto"/>
                <w:sz w:val="24"/>
                <w:lang w:val="en-US" w:eastAsia="zh-CN"/>
              </w:rPr>
              <w:t>，接入</w:t>
            </w:r>
            <w:r>
              <w:rPr>
                <w:rFonts w:hint="default" w:ascii="Times New Roman" w:hAnsi="Times New Roman" w:eastAsia="宋体" w:cs="Times New Roman"/>
                <w:bCs/>
                <w:color w:val="auto"/>
                <w:sz w:val="24"/>
              </w:rPr>
              <w:t>污水管网，排入武南污水处理厂集中处理，污染物总量在污水处理厂内平衡。</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废气：VOCs</w:t>
            </w:r>
            <w:r>
              <w:rPr>
                <w:rFonts w:hint="default" w:ascii="Times New Roman" w:hAnsi="Times New Roman" w:eastAsia="宋体" w:cs="Times New Roman"/>
                <w:color w:val="auto"/>
                <w:sz w:val="24"/>
                <w:lang w:val="en-US" w:eastAsia="zh-CN"/>
              </w:rPr>
              <w:t>0.</w:t>
            </w:r>
            <w:r>
              <w:rPr>
                <w:rFonts w:hint="eastAsia" w:cs="Times New Roman"/>
                <w:color w:val="auto"/>
                <w:sz w:val="24"/>
                <w:lang w:val="en-US" w:eastAsia="zh-CN"/>
              </w:rPr>
              <w:t>4354</w:t>
            </w:r>
            <w:r>
              <w:rPr>
                <w:rFonts w:hint="default" w:ascii="Times New Roman" w:hAnsi="Times New Roman" w:eastAsia="宋体" w:cs="Times New Roman"/>
                <w:color w:val="auto"/>
                <w:sz w:val="24"/>
              </w:rPr>
              <w:t>t/a、</w:t>
            </w:r>
            <w:r>
              <w:rPr>
                <w:rFonts w:hint="default" w:ascii="Times New Roman" w:hAnsi="Times New Roman" w:eastAsia="宋体" w:cs="Times New Roman"/>
                <w:color w:val="auto"/>
                <w:sz w:val="24"/>
                <w:lang w:val="en-US" w:eastAsia="zh-CN"/>
              </w:rPr>
              <w:t>氮氧化物0.0</w:t>
            </w:r>
            <w:r>
              <w:rPr>
                <w:rFonts w:hint="eastAsia" w:cs="Times New Roman"/>
                <w:color w:val="auto"/>
                <w:sz w:val="24"/>
                <w:lang w:val="en-US" w:eastAsia="zh-CN"/>
              </w:rPr>
              <w:t>909</w:t>
            </w:r>
            <w:r>
              <w:rPr>
                <w:rFonts w:hint="default" w:ascii="Times New Roman" w:hAnsi="Times New Roman" w:eastAsia="宋体" w:cs="Times New Roman"/>
                <w:color w:val="auto"/>
                <w:sz w:val="24"/>
                <w:lang w:val="en-US" w:eastAsia="zh-CN"/>
              </w:rPr>
              <w:t>t/a、</w:t>
            </w:r>
            <w:r>
              <w:rPr>
                <w:rFonts w:hint="default" w:ascii="Times New Roman" w:hAnsi="Times New Roman" w:eastAsia="宋体" w:cs="Times New Roman"/>
                <w:color w:val="auto"/>
                <w:sz w:val="24"/>
              </w:rPr>
              <w:t>颗粒物</w:t>
            </w:r>
            <w:r>
              <w:rPr>
                <w:rFonts w:hint="eastAsia" w:cs="Times New Roman"/>
                <w:color w:val="auto"/>
                <w:sz w:val="24"/>
                <w:lang w:val="en-US" w:eastAsia="zh-CN"/>
              </w:rPr>
              <w:t>0.072</w:t>
            </w:r>
            <w:r>
              <w:rPr>
                <w:rFonts w:hint="default" w:ascii="Times New Roman" w:hAnsi="Times New Roman" w:eastAsia="宋体" w:cs="Times New Roman"/>
                <w:color w:val="auto"/>
                <w:sz w:val="24"/>
              </w:rPr>
              <w:t>t/a</w:t>
            </w:r>
            <w:r>
              <w:rPr>
                <w:rFonts w:hint="eastAsia" w:cs="Times New Roman"/>
                <w:color w:val="auto"/>
                <w:sz w:val="24"/>
                <w:lang w:eastAsia="zh-CN"/>
              </w:rPr>
              <w:t>、</w:t>
            </w:r>
            <w:r>
              <w:rPr>
                <w:rFonts w:hint="default" w:ascii="Times New Roman" w:hAnsi="Times New Roman" w:eastAsia="宋体" w:cs="Times New Roman"/>
                <w:color w:val="auto"/>
                <w:sz w:val="24"/>
                <w:lang w:val="en-US" w:eastAsia="zh-CN"/>
              </w:rPr>
              <w:t>二氧化硫</w:t>
            </w:r>
            <w:r>
              <w:rPr>
                <w:rFonts w:hint="eastAsia" w:cs="Times New Roman"/>
                <w:color w:val="auto"/>
                <w:sz w:val="24"/>
                <w:lang w:val="en-US" w:eastAsia="zh-CN"/>
              </w:rPr>
              <w:t>0.12</w:t>
            </w:r>
            <w:r>
              <w:rPr>
                <w:rFonts w:hint="default" w:ascii="Times New Roman" w:hAnsi="Times New Roman" w:eastAsia="宋体" w:cs="Times New Roman"/>
                <w:color w:val="auto"/>
                <w:sz w:val="24"/>
                <w:lang w:val="en-US" w:eastAsia="zh-CN"/>
              </w:rPr>
              <w:t>t/a</w:t>
            </w:r>
            <w:r>
              <w:rPr>
                <w:rFonts w:hint="default" w:ascii="Times New Roman" w:hAnsi="Times New Roman" w:eastAsia="宋体" w:cs="Times New Roman"/>
                <w:color w:val="auto"/>
                <w:sz w:val="24"/>
              </w:rPr>
              <w:t>，总量在武进区内平衡。根据《市政府办公室关于印发&lt;常州市建设项目主要污染物排放总量指标审核及管理实施细则&gt;的通知》（常政办发[2015]104号），“新、改、扩建排放烟粉尘、挥发性有机物的项目，按工程减排类项目2倍削减量替代或关闭类项目1.5倍削减量替代”，本项目VOCs、</w:t>
            </w:r>
            <w:r>
              <w:rPr>
                <w:rFonts w:hint="default" w:ascii="Times New Roman" w:hAnsi="Times New Roman" w:eastAsia="宋体" w:cs="Times New Roman"/>
                <w:color w:val="auto"/>
                <w:sz w:val="24"/>
                <w:lang w:val="en-US" w:eastAsia="zh-CN"/>
              </w:rPr>
              <w:t>氮氧化物</w:t>
            </w:r>
            <w:r>
              <w:rPr>
                <w:rFonts w:hint="eastAsia" w:ascii="Times New Roman" w:hAnsi="Times New Roman" w:eastAsia="宋体" w:cs="Times New Roman"/>
                <w:color w:val="auto"/>
                <w:sz w:val="24"/>
                <w:lang w:val="en-US" w:eastAsia="zh-CN"/>
              </w:rPr>
              <w:t>、</w:t>
            </w:r>
            <w:r>
              <w:rPr>
                <w:rFonts w:hint="default" w:ascii="Times New Roman" w:hAnsi="Times New Roman" w:eastAsia="宋体" w:cs="Times New Roman"/>
                <w:color w:val="auto"/>
                <w:sz w:val="24"/>
              </w:rPr>
              <w:t>颗粒物</w:t>
            </w:r>
            <w:r>
              <w:rPr>
                <w:rFonts w:hint="eastAsia" w:cs="Times New Roman"/>
                <w:color w:val="auto"/>
                <w:sz w:val="24"/>
                <w:lang w:eastAsia="zh-CN"/>
              </w:rPr>
              <w:t>、</w:t>
            </w:r>
            <w:r>
              <w:rPr>
                <w:rFonts w:hint="default" w:ascii="Times New Roman" w:hAnsi="Times New Roman" w:eastAsia="宋体" w:cs="Times New Roman"/>
                <w:color w:val="auto"/>
                <w:sz w:val="24"/>
                <w:lang w:val="en-US" w:eastAsia="zh-CN"/>
              </w:rPr>
              <w:t>二氧化硫</w:t>
            </w:r>
            <w:r>
              <w:rPr>
                <w:rFonts w:hint="default" w:ascii="Times New Roman" w:hAnsi="Times New Roman" w:eastAsia="宋体" w:cs="Times New Roman"/>
                <w:color w:val="auto"/>
                <w:sz w:val="24"/>
              </w:rPr>
              <w:t>应实行现役源2倍削减量替代或关闭类项目1.5倍削减量替代。</w:t>
            </w:r>
          </w:p>
          <w:p>
            <w:pPr>
              <w:adjustRightInd w:val="0"/>
              <w:snapToGrid w:val="0"/>
              <w:spacing w:line="360" w:lineRule="auto"/>
              <w:ind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固废：本项目产生的固体废物均进行合理处置，实现固体废物零排放，无需申请总量。</w:t>
            </w:r>
          </w:p>
          <w:p>
            <w:pPr>
              <w:adjustRightInd w:val="0"/>
              <w:snapToGrid w:val="0"/>
              <w:jc w:val="center"/>
              <w:rPr>
                <w:rFonts w:hint="default" w:ascii="Times New Roman" w:hAnsi="Times New Roman" w:eastAsia="宋体" w:cs="Times New Roman"/>
                <w:color w:val="auto"/>
                <w:kern w:val="0"/>
                <w:szCs w:val="21"/>
              </w:rPr>
            </w:pPr>
          </w:p>
          <w:p>
            <w:pPr>
              <w:adjustRightInd w:val="0"/>
              <w:snapToGrid w:val="0"/>
              <w:jc w:val="center"/>
              <w:rPr>
                <w:rFonts w:hint="default" w:ascii="Times New Roman" w:hAnsi="Times New Roman" w:eastAsia="宋体" w:cs="Times New Roman"/>
                <w:color w:val="auto"/>
                <w:kern w:val="0"/>
                <w:szCs w:val="21"/>
              </w:rPr>
            </w:pPr>
          </w:p>
          <w:p>
            <w:pPr>
              <w:adjustRightInd w:val="0"/>
              <w:snapToGrid w:val="0"/>
              <w:jc w:val="center"/>
              <w:rPr>
                <w:rFonts w:hint="default" w:ascii="Times New Roman" w:hAnsi="Times New Roman" w:eastAsia="宋体" w:cs="Times New Roman"/>
                <w:color w:val="auto"/>
                <w:kern w:val="0"/>
                <w:szCs w:val="21"/>
              </w:rPr>
            </w:pPr>
          </w:p>
          <w:p>
            <w:pPr>
              <w:adjustRightInd w:val="0"/>
              <w:snapToGrid w:val="0"/>
              <w:jc w:val="center"/>
              <w:rPr>
                <w:rFonts w:hint="default" w:ascii="Times New Roman" w:hAnsi="Times New Roman" w:eastAsia="宋体" w:cs="Times New Roman"/>
                <w:color w:val="auto"/>
                <w:kern w:val="0"/>
                <w:szCs w:val="21"/>
              </w:rPr>
            </w:pPr>
          </w:p>
          <w:p>
            <w:pPr>
              <w:adjustRightInd w:val="0"/>
              <w:snapToGrid w:val="0"/>
              <w:rPr>
                <w:rFonts w:hint="default" w:ascii="Times New Roman" w:hAnsi="Times New Roman" w:eastAsia="宋体" w:cs="Times New Roman"/>
                <w:color w:val="auto"/>
                <w:kern w:val="0"/>
                <w:szCs w:val="21"/>
              </w:rPr>
            </w:pPr>
          </w:p>
        </w:tc>
      </w:tr>
    </w:tbl>
    <w:p>
      <w:pPr>
        <w:pStyle w:val="18"/>
        <w:spacing w:before="0" w:beforeAutospacing="0" w:after="0" w:afterAutospacing="0"/>
        <w:jc w:val="center"/>
        <w:outlineLvl w:val="0"/>
        <w:rPr>
          <w:rFonts w:hint="default" w:ascii="Times New Roman" w:hAnsi="Times New Roman" w:eastAsia="宋体" w:cs="Times New Roman"/>
          <w:snapToGrid w:val="0"/>
          <w:color w:val="auto"/>
          <w:sz w:val="30"/>
          <w:szCs w:val="30"/>
        </w:rPr>
      </w:pPr>
      <w:r>
        <w:rPr>
          <w:rFonts w:hint="default" w:ascii="Times New Roman" w:hAnsi="Times New Roman" w:eastAsia="宋体" w:cs="Times New Roman"/>
          <w:snapToGrid w:val="0"/>
          <w:color w:val="auto"/>
          <w:sz w:val="36"/>
          <w:szCs w:val="36"/>
        </w:rPr>
        <w:br w:type="page"/>
      </w:r>
      <w:r>
        <w:rPr>
          <w:rFonts w:hint="default" w:ascii="Times New Roman" w:hAnsi="Times New Roman" w:eastAsia="宋体" w:cs="Times New Roman"/>
          <w:snapToGrid w:val="0"/>
          <w:color w:val="auto"/>
          <w:sz w:val="30"/>
          <w:szCs w:val="30"/>
        </w:rPr>
        <w:t>四、主要环境影响和保护措施</w:t>
      </w:r>
    </w:p>
    <w:tbl>
      <w:tblPr>
        <w:tblStyle w:val="22"/>
        <w:tblW w:w="89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0"/>
        <w:gridCol w:w="84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4" w:hRule="atLeast"/>
          <w:jc w:val="center"/>
        </w:trPr>
        <w:tc>
          <w:tcPr>
            <w:tcW w:w="520" w:type="dxa"/>
            <w:tcMar>
              <w:left w:w="28" w:type="dxa"/>
              <w:right w:w="28" w:type="dxa"/>
            </w:tcMar>
            <w:vAlign w:val="center"/>
          </w:tcPr>
          <w:p>
            <w:pPr>
              <w:pStyle w:val="18"/>
              <w:adjustRightInd w:val="0"/>
              <w:snapToGrid w:val="0"/>
              <w:spacing w:before="0" w:beforeAutospacing="0" w:after="0" w:afterAutospacing="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施工</w:t>
            </w:r>
          </w:p>
          <w:p>
            <w:pPr>
              <w:pStyle w:val="18"/>
              <w:adjustRightInd w:val="0"/>
              <w:snapToGrid w:val="0"/>
              <w:spacing w:before="0" w:beforeAutospacing="0" w:after="0" w:afterAutospacing="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期环</w:t>
            </w:r>
          </w:p>
          <w:p>
            <w:pPr>
              <w:pStyle w:val="18"/>
              <w:adjustRightInd w:val="0"/>
              <w:snapToGrid w:val="0"/>
              <w:spacing w:before="0" w:beforeAutospacing="0" w:after="0" w:afterAutospacing="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境保</w:t>
            </w:r>
          </w:p>
          <w:p>
            <w:pPr>
              <w:pStyle w:val="18"/>
              <w:adjustRightInd w:val="0"/>
              <w:snapToGrid w:val="0"/>
              <w:spacing w:before="0" w:beforeAutospacing="0" w:after="0" w:afterAutospacing="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护措</w:t>
            </w:r>
          </w:p>
          <w:p>
            <w:pPr>
              <w:pStyle w:val="18"/>
              <w:adjustRightInd w:val="0"/>
              <w:snapToGrid w:val="0"/>
              <w:spacing w:before="0" w:beforeAutospacing="0" w:after="0" w:afterAutospacing="0"/>
              <w:jc w:val="center"/>
              <w:rPr>
                <w:rFonts w:hint="default" w:ascii="Times New Roman" w:hAnsi="Times New Roman" w:eastAsia="宋体" w:cs="Times New Roman"/>
                <w:bCs/>
                <w:color w:val="auto"/>
                <w:kern w:val="2"/>
                <w:sz w:val="21"/>
                <w:szCs w:val="21"/>
              </w:rPr>
            </w:pPr>
            <w:r>
              <w:rPr>
                <w:rFonts w:hint="default" w:ascii="Times New Roman" w:hAnsi="Times New Roman" w:eastAsia="宋体" w:cs="Times New Roman"/>
                <w:color w:val="auto"/>
                <w:kern w:val="2"/>
                <w:sz w:val="21"/>
                <w:szCs w:val="21"/>
              </w:rPr>
              <w:t>施</w:t>
            </w:r>
          </w:p>
        </w:tc>
        <w:tc>
          <w:tcPr>
            <w:tcW w:w="8461" w:type="dxa"/>
            <w:vAlign w:val="center"/>
          </w:tcPr>
          <w:p>
            <w:pPr>
              <w:adjustRightInd w:val="0"/>
              <w:snapToGrid w:val="0"/>
              <w:ind w:firstLine="480" w:firstLineChars="200"/>
              <w:rPr>
                <w:rFonts w:hint="default" w:ascii="Times New Roman" w:hAnsi="Times New Roman" w:eastAsia="宋体" w:cs="Times New Roman"/>
                <w:bCs/>
                <w:color w:val="auto"/>
                <w:spacing w:val="-10"/>
                <w:szCs w:val="21"/>
              </w:rPr>
            </w:pPr>
            <w:r>
              <w:rPr>
                <w:rFonts w:hint="default" w:ascii="Times New Roman" w:hAnsi="Times New Roman" w:eastAsia="宋体" w:cs="Times New Roman"/>
                <w:color w:val="auto"/>
                <w:sz w:val="24"/>
              </w:rPr>
              <w:t>本项目</w:t>
            </w:r>
            <w:r>
              <w:rPr>
                <w:rFonts w:hint="default" w:ascii="Times New Roman" w:hAnsi="Times New Roman" w:eastAsia="宋体" w:cs="Times New Roman"/>
                <w:bCs/>
                <w:color w:val="auto"/>
                <w:sz w:val="24"/>
                <w:szCs w:val="22"/>
              </w:rPr>
              <w:t>在原有厂区内利用现有厂房</w:t>
            </w:r>
            <w:r>
              <w:rPr>
                <w:rFonts w:hint="default" w:ascii="Times New Roman" w:hAnsi="Times New Roman" w:eastAsia="宋体" w:cs="Times New Roman"/>
                <w:color w:val="auto"/>
                <w:sz w:val="24"/>
              </w:rPr>
              <w:t>进行生产，不涉及新建厂房，仅需将设备安装到位。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4" w:hRule="atLeast"/>
          <w:jc w:val="center"/>
        </w:trPr>
        <w:tc>
          <w:tcPr>
            <w:tcW w:w="520" w:type="dxa"/>
            <w:tcMar>
              <w:left w:w="28" w:type="dxa"/>
              <w:right w:w="28" w:type="dxa"/>
            </w:tcMar>
            <w:vAlign w:val="center"/>
          </w:tcPr>
          <w:p>
            <w:pPr>
              <w:adjustRightInd w:val="0"/>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运营</w:t>
            </w:r>
          </w:p>
          <w:p>
            <w:pPr>
              <w:adjustRightInd w:val="0"/>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期环</w:t>
            </w:r>
          </w:p>
          <w:p>
            <w:pPr>
              <w:adjustRightInd w:val="0"/>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境影</w:t>
            </w:r>
          </w:p>
          <w:p>
            <w:pPr>
              <w:adjustRightInd w:val="0"/>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响和</w:t>
            </w:r>
          </w:p>
          <w:p>
            <w:pPr>
              <w:adjustRightInd w:val="0"/>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保护</w:t>
            </w:r>
          </w:p>
          <w:p>
            <w:pPr>
              <w:adjustRightInd w:val="0"/>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措施</w:t>
            </w:r>
          </w:p>
        </w:tc>
        <w:tc>
          <w:tcPr>
            <w:tcW w:w="8461" w:type="dxa"/>
            <w:vAlign w:val="center"/>
          </w:tcPr>
          <w:p>
            <w:pPr>
              <w:adjustRightInd w:val="0"/>
              <w:snapToGrid w:val="0"/>
              <w:spacing w:line="360" w:lineRule="auto"/>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1、废气</w:t>
            </w:r>
          </w:p>
          <w:p>
            <w:pPr>
              <w:adjustRightInd w:val="0"/>
              <w:snapToGrid w:val="0"/>
              <w:spacing w:line="360" w:lineRule="auto"/>
              <w:ind w:firstLine="482" w:firstLineChars="200"/>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（1）产污情况分析</w:t>
            </w:r>
          </w:p>
          <w:p>
            <w:pPr>
              <w:adjustRightInd w:val="0"/>
              <w:snapToGrid w:val="0"/>
              <w:spacing w:line="360" w:lineRule="auto"/>
              <w:ind w:firstLine="480" w:firstLineChars="200"/>
              <w:rPr>
                <w:rFonts w:hint="default" w:ascii="Times New Roman" w:hAnsi="Times New Roman" w:eastAsia="宋体" w:cs="Times New Roman"/>
                <w:bCs/>
                <w:color w:val="auto"/>
                <w:sz w:val="24"/>
                <w:lang w:val="en-US" w:eastAsia="zh-CN"/>
              </w:rPr>
            </w:pPr>
            <w:r>
              <w:rPr>
                <w:rFonts w:hint="eastAsia" w:cs="Times New Roman"/>
                <w:b w:val="0"/>
                <w:bCs w:val="0"/>
                <w:color w:val="auto"/>
                <w:sz w:val="24"/>
                <w:lang w:val="en-US" w:eastAsia="zh-CN"/>
              </w:rPr>
              <w:t>①</w:t>
            </w:r>
            <w:r>
              <w:rPr>
                <w:rFonts w:hint="default" w:ascii="Times New Roman" w:hAnsi="Times New Roman" w:eastAsia="宋体" w:cs="Times New Roman"/>
                <w:b w:val="0"/>
                <w:bCs w:val="0"/>
                <w:color w:val="auto"/>
                <w:sz w:val="24"/>
                <w:lang w:val="en-US" w:eastAsia="zh-CN"/>
              </w:rPr>
              <w:t>电</w:t>
            </w:r>
            <w:r>
              <w:rPr>
                <w:rFonts w:hint="default" w:ascii="Times New Roman" w:hAnsi="Times New Roman" w:eastAsia="宋体" w:cs="Times New Roman"/>
                <w:bCs/>
                <w:color w:val="auto"/>
                <w:sz w:val="24"/>
                <w:lang w:val="en-US" w:eastAsia="zh-CN"/>
              </w:rPr>
              <w:t>泳及烘干废气</w:t>
            </w:r>
          </w:p>
          <w:p>
            <w:pPr>
              <w:numPr>
                <w:ilvl w:val="0"/>
                <w:numId w:val="0"/>
              </w:numPr>
              <w:snapToGrid w:val="0"/>
              <w:spacing w:line="360" w:lineRule="auto"/>
              <w:ind w:firstLine="480" w:firstLineChars="200"/>
              <w:rPr>
                <w:rFonts w:hint="default" w:ascii="Times New Roman" w:hAnsi="Times New Roman" w:eastAsia="宋体" w:cs="Times New Roman"/>
                <w:bCs/>
                <w:color w:val="auto"/>
                <w:sz w:val="24"/>
                <w:lang w:val="en-US" w:eastAsia="zh-CN"/>
              </w:rPr>
            </w:pPr>
            <w:r>
              <w:rPr>
                <w:rFonts w:hint="default" w:ascii="Times New Roman" w:hAnsi="Times New Roman" w:eastAsia="宋体" w:cs="Times New Roman"/>
                <w:bCs/>
                <w:color w:val="auto"/>
                <w:sz w:val="24"/>
                <w:lang w:val="en-US" w:eastAsia="zh-CN"/>
              </w:rPr>
              <w:t>电泳及烘干废气：本项目使用的电泳漆由色浆、乳液、调整剂配制而成，</w:t>
            </w:r>
            <w:r>
              <w:rPr>
                <w:rFonts w:hint="eastAsia" w:cs="Times New Roman"/>
                <w:bCs/>
                <w:color w:val="auto"/>
                <w:sz w:val="24"/>
                <w:lang w:val="en-US" w:eastAsia="zh-CN"/>
              </w:rPr>
              <w:t>色浆、乳液和调整剂的年用量分别为7.5t、30t和2t，其中色浆中含有乙二醇丁醚8%~9%，乳液中含有丙二醇甲醚6.5%~7%、丙二醇苯醚1.5%~2%,调整剂中乙二醇丁醚占比超过99%。经计算，配比后的电泳漆最大挥发组分约为5.375t/a，挥发性组分中约有10%进入漆渣，剩余90%全部挥发。</w:t>
            </w:r>
            <w:r>
              <w:rPr>
                <w:bCs/>
                <w:color w:val="auto"/>
                <w:sz w:val="24"/>
              </w:rPr>
              <w:t>因此，电泳及烘干工段电泳漆挥发出非甲烷总烃产生量为</w:t>
            </w:r>
            <w:r>
              <w:rPr>
                <w:rFonts w:hint="eastAsia"/>
                <w:bCs/>
                <w:color w:val="auto"/>
                <w:sz w:val="24"/>
                <w:lang w:val="en-US" w:eastAsia="zh-CN"/>
              </w:rPr>
              <w:t>4.8375</w:t>
            </w:r>
            <w:r>
              <w:rPr>
                <w:bCs/>
                <w:color w:val="auto"/>
                <w:sz w:val="24"/>
              </w:rPr>
              <w:t>t/a。</w:t>
            </w:r>
          </w:p>
          <w:p>
            <w:pPr>
              <w:snapToGrid w:val="0"/>
              <w:spacing w:line="360" w:lineRule="auto"/>
              <w:ind w:firstLine="480" w:firstLineChars="200"/>
              <w:rPr>
                <w:rFonts w:hint="default" w:ascii="Times New Roman" w:hAnsi="Times New Roman" w:eastAsia="宋体" w:cs="Times New Roman"/>
                <w:color w:val="auto"/>
                <w:sz w:val="24"/>
                <w:lang w:val="en-US" w:eastAsia="zh-CN"/>
              </w:rPr>
            </w:pPr>
            <w:r>
              <w:rPr>
                <w:rFonts w:hint="eastAsia" w:cs="Times New Roman"/>
                <w:bCs/>
                <w:color w:val="auto"/>
                <w:sz w:val="24"/>
                <w:lang w:val="en-US" w:eastAsia="zh-CN"/>
              </w:rPr>
              <w:t>②</w:t>
            </w:r>
            <w:r>
              <w:rPr>
                <w:rFonts w:hint="default" w:ascii="Times New Roman" w:hAnsi="Times New Roman" w:eastAsia="宋体" w:cs="Times New Roman"/>
                <w:color w:val="auto"/>
                <w:sz w:val="24"/>
                <w:lang w:val="en-US" w:eastAsia="zh-CN"/>
              </w:rPr>
              <w:t>天然气燃烧废气</w:t>
            </w:r>
          </w:p>
          <w:p>
            <w:pPr>
              <w:snapToGrid w:val="0"/>
              <w:spacing w:line="360" w:lineRule="auto"/>
              <w:ind w:firstLine="480" w:firstLineChars="200"/>
              <w:rPr>
                <w:rFonts w:hint="default" w:ascii="Times New Roman" w:hAnsi="Times New Roman" w:eastAsia="宋体" w:cs="Times New Roman"/>
                <w:bCs/>
                <w:color w:val="auto"/>
                <w:sz w:val="24"/>
                <w:lang w:val="en-US" w:eastAsia="zh-CN"/>
              </w:rPr>
            </w:pPr>
            <w:r>
              <w:rPr>
                <w:rFonts w:hint="eastAsia" w:cs="Times New Roman"/>
                <w:color w:val="auto"/>
                <w:sz w:val="24"/>
                <w:lang w:val="en-US" w:eastAsia="zh-CN"/>
              </w:rPr>
              <w:t>根据《环境</w:t>
            </w:r>
            <w:r>
              <w:rPr>
                <w:rFonts w:hint="eastAsia" w:ascii="Times New Roman" w:hAnsi="Times New Roman" w:eastAsia="宋体" w:cs="Times New Roman"/>
                <w:color w:val="auto"/>
                <w:sz w:val="24"/>
                <w:lang w:val="en-US" w:eastAsia="zh-CN"/>
              </w:rPr>
              <w:t>保护使用数据手册》</w:t>
            </w:r>
            <w:r>
              <w:rPr>
                <w:rFonts w:hint="eastAsia" w:cs="Times New Roman"/>
                <w:color w:val="auto"/>
                <w:sz w:val="24"/>
                <w:lang w:val="en-US" w:eastAsia="zh-CN"/>
              </w:rPr>
              <w:t>和</w:t>
            </w:r>
            <w:r>
              <w:rPr>
                <w:rFonts w:hint="eastAsia" w:ascii="Times New Roman" w:hAnsi="Times New Roman" w:eastAsia="宋体" w:cs="Times New Roman"/>
                <w:color w:val="auto"/>
                <w:sz w:val="24"/>
                <w:lang w:val="en-US" w:eastAsia="zh-CN"/>
              </w:rPr>
              <w:t>《第二次全</w:t>
            </w:r>
            <w:r>
              <w:rPr>
                <w:rFonts w:hint="default" w:ascii="Times New Roman" w:hAnsi="Times New Roman" w:eastAsia="宋体" w:cs="Times New Roman"/>
                <w:color w:val="auto"/>
                <w:sz w:val="24"/>
                <w:lang w:val="en-US" w:eastAsia="zh-CN"/>
              </w:rPr>
              <w:t>国污染源普查产排污核算系数手册</w:t>
            </w:r>
            <w:r>
              <w:rPr>
                <w:rFonts w:hint="eastAsia" w:ascii="Times New Roman" w:hAnsi="Times New Roman" w:eastAsia="宋体" w:cs="Times New Roman"/>
                <w:color w:val="auto"/>
                <w:sz w:val="24"/>
                <w:lang w:val="en-US" w:eastAsia="zh-CN"/>
              </w:rPr>
              <w:t>》，每燃</w:t>
            </w:r>
            <w:r>
              <w:rPr>
                <w:rFonts w:hint="eastAsia" w:cs="Times New Roman"/>
                <w:color w:val="auto"/>
                <w:sz w:val="24"/>
                <w:lang w:val="en-US" w:eastAsia="zh-CN"/>
              </w:rPr>
              <w:t>烧1万m</w:t>
            </w:r>
            <w:r>
              <w:rPr>
                <w:rFonts w:hint="eastAsia" w:cs="Times New Roman"/>
                <w:color w:val="auto"/>
                <w:sz w:val="24"/>
                <w:vertAlign w:val="superscript"/>
                <w:lang w:val="en-US" w:eastAsia="zh-CN"/>
              </w:rPr>
              <w:t>3</w:t>
            </w:r>
            <w:r>
              <w:rPr>
                <w:rFonts w:hint="eastAsia" w:cs="Times New Roman"/>
                <w:color w:val="auto"/>
                <w:sz w:val="24"/>
                <w:lang w:val="en-US" w:eastAsia="zh-CN"/>
              </w:rPr>
              <w:t>天然气会产生工业废气量107753m</w:t>
            </w:r>
            <w:r>
              <w:rPr>
                <w:rFonts w:hint="eastAsia" w:cs="Times New Roman"/>
                <w:color w:val="auto"/>
                <w:sz w:val="24"/>
                <w:vertAlign w:val="superscript"/>
                <w:lang w:val="en-US" w:eastAsia="zh-CN"/>
              </w:rPr>
              <w:t>3</w:t>
            </w:r>
            <w:r>
              <w:rPr>
                <w:rFonts w:hint="eastAsia" w:cs="Times New Roman"/>
                <w:color w:val="auto"/>
                <w:sz w:val="24"/>
                <w:lang w:val="en-US" w:eastAsia="zh-CN"/>
              </w:rPr>
              <w:t>、NO</w:t>
            </w:r>
            <w:r>
              <w:rPr>
                <w:rFonts w:hint="eastAsia" w:cs="Times New Roman"/>
                <w:color w:val="auto"/>
                <w:sz w:val="24"/>
                <w:vertAlign w:val="subscript"/>
                <w:lang w:val="en-US" w:eastAsia="zh-CN"/>
              </w:rPr>
              <w:t>X</w:t>
            </w:r>
            <w:r>
              <w:rPr>
                <w:rFonts w:hint="eastAsia" w:cs="Times New Roman"/>
                <w:color w:val="auto"/>
                <w:sz w:val="24"/>
                <w:lang w:val="en-US" w:eastAsia="zh-CN"/>
              </w:rPr>
              <w:t>3.03kg（低氮燃烧）、烟尘2.4kg、SO</w:t>
            </w:r>
            <w:r>
              <w:rPr>
                <w:rFonts w:hint="eastAsia" w:cs="Times New Roman"/>
                <w:color w:val="auto"/>
                <w:sz w:val="24"/>
                <w:vertAlign w:val="subscript"/>
                <w:lang w:val="en-US" w:eastAsia="zh-CN"/>
              </w:rPr>
              <w:t>2</w:t>
            </w:r>
            <w:r>
              <w:rPr>
                <w:rFonts w:hint="eastAsia" w:cs="Times New Roman"/>
                <w:color w:val="auto"/>
                <w:sz w:val="24"/>
                <w:lang w:val="en-US" w:eastAsia="zh-CN"/>
              </w:rPr>
              <w:t>4.0kg。</w:t>
            </w:r>
            <w:r>
              <w:rPr>
                <w:rFonts w:hint="default" w:ascii="Times New Roman" w:hAnsi="Times New Roman" w:eastAsia="宋体" w:cs="Times New Roman"/>
                <w:color w:val="auto"/>
                <w:sz w:val="24"/>
              </w:rPr>
              <w:t>根据企业提供的资料，本项目</w:t>
            </w:r>
            <w:r>
              <w:rPr>
                <w:rFonts w:hint="default" w:ascii="Times New Roman" w:hAnsi="Times New Roman" w:eastAsia="宋体" w:cs="Times New Roman"/>
                <w:color w:val="auto"/>
                <w:sz w:val="24"/>
                <w:lang w:val="en-US" w:eastAsia="zh-CN"/>
              </w:rPr>
              <w:t>燃气锅炉配套了低氮燃烧器，</w:t>
            </w:r>
            <w:r>
              <w:rPr>
                <w:rFonts w:hint="default" w:ascii="Times New Roman" w:hAnsi="Times New Roman" w:eastAsia="宋体" w:cs="Times New Roman"/>
                <w:color w:val="auto"/>
                <w:sz w:val="24"/>
              </w:rPr>
              <w:t>全年天然气用量为</w:t>
            </w:r>
            <w:r>
              <w:rPr>
                <w:rFonts w:hint="default" w:ascii="Times New Roman" w:hAnsi="Times New Roman" w:eastAsia="宋体" w:cs="Times New Roman"/>
                <w:color w:val="auto"/>
                <w:sz w:val="24"/>
                <w:lang w:val="en-US" w:eastAsia="zh-CN"/>
              </w:rPr>
              <w:t>30</w:t>
            </w:r>
            <w:r>
              <w:rPr>
                <w:rFonts w:hint="default" w:ascii="Times New Roman" w:hAnsi="Times New Roman" w:eastAsia="宋体" w:cs="Times New Roman"/>
                <w:color w:val="auto"/>
                <w:sz w:val="24"/>
              </w:rPr>
              <w:t>万m</w:t>
            </w:r>
            <w:r>
              <w:rPr>
                <w:rFonts w:hint="default" w:ascii="Times New Roman" w:hAnsi="Times New Roman" w:eastAsia="宋体" w:cs="Times New Roman"/>
                <w:color w:val="auto"/>
                <w:sz w:val="24"/>
                <w:vertAlign w:val="superscript"/>
              </w:rPr>
              <w:t>3</w:t>
            </w:r>
            <w:r>
              <w:rPr>
                <w:rFonts w:hint="default" w:ascii="Times New Roman" w:hAnsi="Times New Roman" w:eastAsia="宋体" w:cs="Times New Roman"/>
                <w:color w:val="auto"/>
                <w:sz w:val="24"/>
              </w:rPr>
              <w:t>，年工作约</w:t>
            </w:r>
            <w:r>
              <w:rPr>
                <w:rFonts w:hint="default" w:ascii="Times New Roman" w:hAnsi="Times New Roman" w:eastAsia="宋体" w:cs="Times New Roman"/>
                <w:color w:val="auto"/>
                <w:sz w:val="24"/>
                <w:lang w:val="en-US" w:eastAsia="zh-CN"/>
              </w:rPr>
              <w:t>2400h</w:t>
            </w:r>
            <w:r>
              <w:rPr>
                <w:rFonts w:hint="default" w:ascii="Times New Roman" w:hAnsi="Times New Roman" w:eastAsia="宋体" w:cs="Times New Roman"/>
                <w:color w:val="auto"/>
                <w:sz w:val="24"/>
              </w:rPr>
              <w:t>，则本项目</w:t>
            </w:r>
            <w:r>
              <w:rPr>
                <w:rFonts w:hint="default" w:ascii="Times New Roman" w:hAnsi="Times New Roman" w:eastAsia="宋体" w:cs="Times New Roman"/>
                <w:color w:val="auto"/>
                <w:sz w:val="24"/>
                <w:lang w:val="en-US" w:eastAsia="zh-CN"/>
              </w:rPr>
              <w:t>天然气燃烧产生的工业废气年排放量为323.295万立方米、</w:t>
            </w:r>
            <w:r>
              <w:rPr>
                <w:rFonts w:hint="default" w:ascii="Times New Roman" w:hAnsi="Times New Roman" w:eastAsia="宋体" w:cs="Times New Roman"/>
                <w:color w:val="auto"/>
                <w:sz w:val="24"/>
              </w:rPr>
              <w:t>氮氧化物年排放量为0.0909吨、颗粒物年排放量0.0</w:t>
            </w:r>
            <w:r>
              <w:rPr>
                <w:rFonts w:hint="eastAsia" w:cs="Times New Roman"/>
                <w:color w:val="auto"/>
                <w:sz w:val="24"/>
                <w:lang w:val="en-US" w:eastAsia="zh-CN"/>
              </w:rPr>
              <w:t>7</w:t>
            </w:r>
            <w:r>
              <w:rPr>
                <w:rFonts w:hint="default" w:ascii="Times New Roman" w:hAnsi="Times New Roman" w:eastAsia="宋体" w:cs="Times New Roman"/>
                <w:color w:val="auto"/>
                <w:sz w:val="24"/>
              </w:rPr>
              <w:t>2吨、二氧化硫年排放量</w:t>
            </w:r>
            <w:r>
              <w:rPr>
                <w:rFonts w:hint="default" w:ascii="Times New Roman" w:hAnsi="Times New Roman" w:eastAsia="宋体" w:cs="Times New Roman"/>
                <w:color w:val="auto"/>
                <w:sz w:val="24"/>
                <w:lang w:val="en-US" w:eastAsia="zh-CN"/>
              </w:rPr>
              <w:t>0.</w:t>
            </w:r>
            <w:r>
              <w:rPr>
                <w:rFonts w:hint="eastAsia" w:cs="Times New Roman"/>
                <w:color w:val="auto"/>
                <w:sz w:val="24"/>
                <w:lang w:val="en-US" w:eastAsia="zh-CN"/>
              </w:rPr>
              <w:t>12</w:t>
            </w:r>
            <w:r>
              <w:rPr>
                <w:rFonts w:hint="default" w:ascii="Times New Roman" w:hAnsi="Times New Roman" w:eastAsia="宋体" w:cs="Times New Roman"/>
                <w:color w:val="auto"/>
                <w:sz w:val="24"/>
              </w:rPr>
              <w:t>吨。</w:t>
            </w:r>
          </w:p>
          <w:p>
            <w:pPr>
              <w:adjustRightInd w:val="0"/>
              <w:snapToGrid w:val="0"/>
              <w:spacing w:line="360" w:lineRule="auto"/>
              <w:ind w:firstLine="482" w:firstLineChars="200"/>
              <w:rPr>
                <w:rFonts w:hint="default" w:ascii="Times New Roman" w:hAnsi="Times New Roman" w:eastAsia="宋体" w:cs="Times New Roman"/>
                <w:b/>
                <w:bCs/>
                <w:color w:val="auto"/>
                <w:sz w:val="24"/>
                <w:lang w:val="en-US" w:eastAsia="zh-CN"/>
              </w:rPr>
            </w:pPr>
            <w:r>
              <w:rPr>
                <w:rFonts w:hint="default" w:ascii="Times New Roman" w:hAnsi="Times New Roman" w:eastAsia="宋体" w:cs="Times New Roman"/>
                <w:b/>
                <w:bCs/>
                <w:color w:val="auto"/>
                <w:sz w:val="24"/>
                <w:lang w:val="en-US" w:eastAsia="zh-CN"/>
              </w:rPr>
              <w:t>综上</w:t>
            </w:r>
            <w:r>
              <w:rPr>
                <w:rFonts w:hint="eastAsia" w:cs="Times New Roman"/>
                <w:b/>
                <w:bCs/>
                <w:color w:val="auto"/>
                <w:sz w:val="24"/>
                <w:lang w:val="en-US" w:eastAsia="zh-CN"/>
              </w:rPr>
              <w:t>所述</w:t>
            </w:r>
            <w:r>
              <w:rPr>
                <w:rFonts w:hint="default" w:ascii="Times New Roman" w:hAnsi="Times New Roman" w:eastAsia="宋体" w:cs="Times New Roman"/>
                <w:b/>
                <w:bCs/>
                <w:color w:val="auto"/>
                <w:sz w:val="24"/>
                <w:lang w:val="en-US" w:eastAsia="zh-CN"/>
              </w:rPr>
              <w:t>，本项目年产生非甲烷总烃</w:t>
            </w:r>
            <w:r>
              <w:rPr>
                <w:rFonts w:hint="eastAsia"/>
                <w:b/>
                <w:bCs/>
                <w:color w:val="auto"/>
                <w:sz w:val="24"/>
                <w:lang w:val="en-US" w:eastAsia="zh-CN"/>
              </w:rPr>
              <w:t>4.8375</w:t>
            </w:r>
            <w:r>
              <w:rPr>
                <w:rFonts w:hint="default" w:ascii="Times New Roman" w:hAnsi="Times New Roman" w:eastAsia="宋体" w:cs="Times New Roman"/>
                <w:b/>
                <w:bCs/>
                <w:color w:val="auto"/>
                <w:sz w:val="24"/>
                <w:lang w:val="en-US" w:eastAsia="zh-CN"/>
              </w:rPr>
              <w:t>t/a、</w:t>
            </w:r>
            <w:r>
              <w:rPr>
                <w:rFonts w:hint="default" w:ascii="Times New Roman" w:hAnsi="Times New Roman" w:eastAsia="宋体" w:cs="Times New Roman"/>
                <w:b/>
                <w:bCs/>
                <w:color w:val="auto"/>
                <w:sz w:val="24"/>
              </w:rPr>
              <w:t>氮氧化物0.0909</w:t>
            </w:r>
            <w:r>
              <w:rPr>
                <w:rFonts w:hint="default" w:ascii="Times New Roman" w:hAnsi="Times New Roman" w:eastAsia="宋体" w:cs="Times New Roman"/>
                <w:b/>
                <w:bCs/>
                <w:color w:val="auto"/>
                <w:sz w:val="24"/>
                <w:lang w:val="en-US" w:eastAsia="zh-CN"/>
              </w:rPr>
              <w:t>t/a</w:t>
            </w:r>
            <w:r>
              <w:rPr>
                <w:rFonts w:hint="default" w:ascii="Times New Roman" w:hAnsi="Times New Roman" w:eastAsia="宋体" w:cs="Times New Roman"/>
                <w:b/>
                <w:bCs/>
                <w:color w:val="auto"/>
                <w:sz w:val="24"/>
              </w:rPr>
              <w:t>、颗粒物0.0</w:t>
            </w:r>
            <w:r>
              <w:rPr>
                <w:rFonts w:hint="eastAsia" w:cs="Times New Roman"/>
                <w:b/>
                <w:bCs/>
                <w:color w:val="auto"/>
                <w:sz w:val="24"/>
                <w:lang w:val="en-US" w:eastAsia="zh-CN"/>
              </w:rPr>
              <w:t>7</w:t>
            </w:r>
            <w:r>
              <w:rPr>
                <w:rFonts w:hint="default" w:ascii="Times New Roman" w:hAnsi="Times New Roman" w:eastAsia="宋体" w:cs="Times New Roman"/>
                <w:b/>
                <w:bCs/>
                <w:color w:val="auto"/>
                <w:sz w:val="24"/>
              </w:rPr>
              <w:t>2</w:t>
            </w:r>
            <w:r>
              <w:rPr>
                <w:rFonts w:hint="default" w:ascii="Times New Roman" w:hAnsi="Times New Roman" w:eastAsia="宋体" w:cs="Times New Roman"/>
                <w:b/>
                <w:bCs/>
                <w:color w:val="auto"/>
                <w:sz w:val="24"/>
                <w:lang w:val="en-US" w:eastAsia="zh-CN"/>
              </w:rPr>
              <w:t>t/a</w:t>
            </w:r>
            <w:r>
              <w:rPr>
                <w:rFonts w:hint="default" w:ascii="Times New Roman" w:hAnsi="Times New Roman" w:eastAsia="宋体" w:cs="Times New Roman"/>
                <w:b/>
                <w:bCs/>
                <w:color w:val="auto"/>
                <w:sz w:val="24"/>
              </w:rPr>
              <w:t>、二氧化硫</w:t>
            </w:r>
            <w:r>
              <w:rPr>
                <w:rFonts w:hint="default" w:ascii="Times New Roman" w:hAnsi="Times New Roman" w:eastAsia="宋体" w:cs="Times New Roman"/>
                <w:b/>
                <w:bCs/>
                <w:color w:val="auto"/>
                <w:sz w:val="24"/>
                <w:lang w:val="en-US" w:eastAsia="zh-CN"/>
              </w:rPr>
              <w:t>0.</w:t>
            </w:r>
            <w:r>
              <w:rPr>
                <w:rFonts w:hint="eastAsia" w:cs="Times New Roman"/>
                <w:b/>
                <w:bCs/>
                <w:color w:val="auto"/>
                <w:sz w:val="24"/>
                <w:lang w:val="en-US" w:eastAsia="zh-CN"/>
              </w:rPr>
              <w:t>12</w:t>
            </w:r>
            <w:r>
              <w:rPr>
                <w:rFonts w:hint="default" w:ascii="Times New Roman" w:hAnsi="Times New Roman" w:eastAsia="宋体" w:cs="Times New Roman"/>
                <w:b/>
                <w:bCs/>
                <w:color w:val="auto"/>
                <w:sz w:val="24"/>
                <w:lang w:val="en-US" w:eastAsia="zh-CN"/>
              </w:rPr>
              <w:t>t/a。</w:t>
            </w:r>
          </w:p>
          <w:p>
            <w:pPr>
              <w:snapToGrid w:val="0"/>
              <w:spacing w:line="360" w:lineRule="auto"/>
              <w:ind w:firstLine="480" w:firstLineChars="200"/>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本项目</w:t>
            </w:r>
            <w:r>
              <w:rPr>
                <w:rFonts w:hint="default" w:ascii="Times New Roman" w:hAnsi="Times New Roman" w:eastAsia="宋体" w:cs="Times New Roman"/>
                <w:color w:val="auto"/>
                <w:sz w:val="24"/>
                <w:lang w:val="en-US" w:eastAsia="zh-CN"/>
              </w:rPr>
              <w:t>电泳及烘干工段</w:t>
            </w:r>
            <w:r>
              <w:rPr>
                <w:rFonts w:hint="default" w:ascii="Times New Roman" w:hAnsi="Times New Roman" w:eastAsia="宋体" w:cs="Times New Roman"/>
                <w:color w:val="auto"/>
                <w:sz w:val="24"/>
              </w:rPr>
              <w:t>产生的废气采用集气罩收集，经“二级活性炭吸附装置”处理后，通过1根15米高排气筒（FQ-1）排放；废气捕集率以90%计，二级活性炭吸附装置处理对有机废气总去除效率约为</w:t>
            </w:r>
            <w:r>
              <w:rPr>
                <w:rFonts w:hint="eastAsia" w:ascii="Times New Roman" w:hAnsi="Times New Roman" w:eastAsia="宋体" w:cs="Times New Roman"/>
                <w:color w:val="auto"/>
                <w:sz w:val="24"/>
                <w:lang w:val="en-US" w:eastAsia="zh-CN"/>
              </w:rPr>
              <w:t>90</w:t>
            </w:r>
            <w:r>
              <w:rPr>
                <w:rFonts w:hint="default" w:ascii="Times New Roman" w:hAnsi="Times New Roman" w:eastAsia="宋体" w:cs="Times New Roman"/>
                <w:color w:val="auto"/>
                <w:sz w:val="24"/>
              </w:rPr>
              <w:t>%，未收集部分无组织排放，通过加强车间通风，减少其对周围环境的影响</w:t>
            </w:r>
            <w:r>
              <w:rPr>
                <w:rFonts w:hint="default" w:ascii="Times New Roman" w:hAnsi="Times New Roman" w:eastAsia="宋体" w:cs="Times New Roman"/>
                <w:color w:val="auto"/>
                <w:sz w:val="24"/>
                <w:lang w:val="en-US" w:eastAsia="zh-CN"/>
              </w:rPr>
              <w:t>。</w:t>
            </w:r>
          </w:p>
          <w:p>
            <w:pPr>
              <w:snapToGrid w:val="0"/>
              <w:spacing w:line="360" w:lineRule="auto"/>
              <w:ind w:firstLine="480" w:firstLineChars="200"/>
              <w:rPr>
                <w:rFonts w:hint="default" w:ascii="Times New Roman" w:hAnsi="Times New Roman" w:eastAsia="宋体" w:cs="Times New Roman"/>
                <w:color w:val="auto"/>
                <w:sz w:val="24"/>
              </w:rPr>
            </w:pPr>
            <w:r>
              <w:rPr>
                <w:rFonts w:hint="eastAsia" w:cs="Times New Roman"/>
                <w:color w:val="auto"/>
                <w:sz w:val="24"/>
                <w:lang w:val="en-US" w:eastAsia="zh-CN"/>
              </w:rPr>
              <w:t>经计算，</w:t>
            </w:r>
            <w:r>
              <w:rPr>
                <w:rFonts w:hint="default" w:ascii="Times New Roman" w:hAnsi="Times New Roman" w:eastAsia="宋体" w:cs="Times New Roman"/>
                <w:color w:val="auto"/>
                <w:sz w:val="24"/>
              </w:rPr>
              <w:t>本项目有组织废气产生情况见下表：</w:t>
            </w:r>
          </w:p>
          <w:p>
            <w:pPr>
              <w:adjustRightInd w:val="0"/>
              <w:snapToGrid w:val="0"/>
              <w:jc w:val="center"/>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表4-</w:t>
            </w:r>
            <w:r>
              <w:rPr>
                <w:rFonts w:hint="eastAsia" w:cs="Times New Roman"/>
                <w:b/>
                <w:bCs/>
                <w:color w:val="auto"/>
                <w:sz w:val="24"/>
                <w:lang w:val="en-US" w:eastAsia="zh-CN"/>
              </w:rPr>
              <w:t>1</w:t>
            </w:r>
            <w:r>
              <w:rPr>
                <w:rFonts w:hint="default" w:ascii="Times New Roman" w:hAnsi="Times New Roman" w:eastAsia="宋体" w:cs="Times New Roman"/>
                <w:b/>
                <w:bCs/>
                <w:color w:val="auto"/>
                <w:sz w:val="24"/>
              </w:rPr>
              <w:t xml:space="preserve"> 本项目有组织废气污染物产生情况</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727"/>
              <w:gridCol w:w="766"/>
              <w:gridCol w:w="1411"/>
              <w:gridCol w:w="802"/>
              <w:gridCol w:w="1204"/>
              <w:gridCol w:w="1105"/>
              <w:gridCol w:w="1126"/>
              <w:gridCol w:w="110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454" w:hRule="exact"/>
                <w:jc w:val="center"/>
              </w:trPr>
              <w:tc>
                <w:tcPr>
                  <w:tcW w:w="441" w:type="pct"/>
                  <w:vMerge w:val="restart"/>
                  <w:vAlign w:val="center"/>
                </w:tcPr>
                <w:p>
                  <w:pPr>
                    <w:pStyle w:val="64"/>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工作车间</w:t>
                  </w:r>
                </w:p>
              </w:tc>
              <w:tc>
                <w:tcPr>
                  <w:tcW w:w="464" w:type="pct"/>
                  <w:vMerge w:val="restart"/>
                  <w:vAlign w:val="center"/>
                </w:tcPr>
                <w:p>
                  <w:pPr>
                    <w:pStyle w:val="64"/>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排气筒编号</w:t>
                  </w:r>
                </w:p>
              </w:tc>
              <w:tc>
                <w:tcPr>
                  <w:tcW w:w="855" w:type="pct"/>
                  <w:vMerge w:val="restart"/>
                  <w:vAlign w:val="center"/>
                </w:tcPr>
                <w:p>
                  <w:pPr>
                    <w:pStyle w:val="64"/>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污染源名称</w:t>
                  </w:r>
                </w:p>
              </w:tc>
              <w:tc>
                <w:tcPr>
                  <w:tcW w:w="486" w:type="pct"/>
                  <w:vMerge w:val="restart"/>
                  <w:vAlign w:val="center"/>
                </w:tcPr>
                <w:p>
                  <w:pPr>
                    <w:pStyle w:val="64"/>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排气量m</w:t>
                  </w:r>
                  <w:r>
                    <w:rPr>
                      <w:rFonts w:hint="default" w:ascii="Times New Roman" w:hAnsi="Times New Roman" w:eastAsia="宋体" w:cs="Times New Roman"/>
                      <w:b/>
                      <w:color w:val="auto"/>
                      <w:sz w:val="21"/>
                      <w:szCs w:val="21"/>
                      <w:vertAlign w:val="superscript"/>
                    </w:rPr>
                    <w:t>3</w:t>
                  </w:r>
                  <w:r>
                    <w:rPr>
                      <w:rFonts w:hint="default" w:ascii="Times New Roman" w:hAnsi="Times New Roman" w:eastAsia="宋体" w:cs="Times New Roman"/>
                      <w:b/>
                      <w:color w:val="auto"/>
                      <w:sz w:val="21"/>
                      <w:szCs w:val="21"/>
                    </w:rPr>
                    <w:t>/h</w:t>
                  </w:r>
                </w:p>
              </w:tc>
              <w:tc>
                <w:tcPr>
                  <w:tcW w:w="2751" w:type="pct"/>
                  <w:gridSpan w:val="4"/>
                  <w:vAlign w:val="center"/>
                </w:tcPr>
                <w:p>
                  <w:pPr>
                    <w:pStyle w:val="64"/>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污染物产生情况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454" w:hRule="exact"/>
                <w:jc w:val="center"/>
              </w:trPr>
              <w:tc>
                <w:tcPr>
                  <w:tcW w:w="441" w:type="pct"/>
                  <w:vMerge w:val="continue"/>
                  <w:vAlign w:val="center"/>
                </w:tcPr>
                <w:p>
                  <w:pPr>
                    <w:pStyle w:val="64"/>
                    <w:rPr>
                      <w:rFonts w:hint="default" w:ascii="Times New Roman" w:hAnsi="Times New Roman" w:eastAsia="宋体" w:cs="Times New Roman"/>
                      <w:b/>
                      <w:color w:val="auto"/>
                      <w:sz w:val="21"/>
                      <w:szCs w:val="21"/>
                    </w:rPr>
                  </w:pPr>
                </w:p>
              </w:tc>
              <w:tc>
                <w:tcPr>
                  <w:tcW w:w="464" w:type="pct"/>
                  <w:vMerge w:val="continue"/>
                  <w:vAlign w:val="center"/>
                </w:tcPr>
                <w:p>
                  <w:pPr>
                    <w:pStyle w:val="64"/>
                    <w:rPr>
                      <w:rFonts w:hint="default" w:ascii="Times New Roman" w:hAnsi="Times New Roman" w:eastAsia="宋体" w:cs="Times New Roman"/>
                      <w:b/>
                      <w:color w:val="auto"/>
                      <w:sz w:val="21"/>
                      <w:szCs w:val="21"/>
                    </w:rPr>
                  </w:pPr>
                </w:p>
              </w:tc>
              <w:tc>
                <w:tcPr>
                  <w:tcW w:w="855" w:type="pct"/>
                  <w:vMerge w:val="continue"/>
                  <w:vAlign w:val="center"/>
                </w:tcPr>
                <w:p>
                  <w:pPr>
                    <w:pStyle w:val="64"/>
                    <w:rPr>
                      <w:rFonts w:hint="default" w:ascii="Times New Roman" w:hAnsi="Times New Roman" w:eastAsia="宋体" w:cs="Times New Roman"/>
                      <w:b/>
                      <w:color w:val="auto"/>
                      <w:sz w:val="21"/>
                      <w:szCs w:val="21"/>
                    </w:rPr>
                  </w:pPr>
                </w:p>
              </w:tc>
              <w:tc>
                <w:tcPr>
                  <w:tcW w:w="486" w:type="pct"/>
                  <w:vMerge w:val="continue"/>
                  <w:vAlign w:val="center"/>
                </w:tcPr>
                <w:p>
                  <w:pPr>
                    <w:pStyle w:val="64"/>
                    <w:rPr>
                      <w:rFonts w:hint="default" w:ascii="Times New Roman" w:hAnsi="Times New Roman" w:eastAsia="宋体" w:cs="Times New Roman"/>
                      <w:b/>
                      <w:color w:val="auto"/>
                      <w:sz w:val="21"/>
                      <w:szCs w:val="21"/>
                    </w:rPr>
                  </w:pPr>
                </w:p>
              </w:tc>
              <w:tc>
                <w:tcPr>
                  <w:tcW w:w="730" w:type="pct"/>
                  <w:vAlign w:val="center"/>
                </w:tcPr>
                <w:p>
                  <w:pPr>
                    <w:pStyle w:val="64"/>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名称</w:t>
                  </w:r>
                </w:p>
              </w:tc>
              <w:tc>
                <w:tcPr>
                  <w:tcW w:w="670" w:type="pct"/>
                  <w:vAlign w:val="center"/>
                </w:tcPr>
                <w:p>
                  <w:pPr>
                    <w:pStyle w:val="64"/>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浓度mg/m</w:t>
                  </w:r>
                  <w:r>
                    <w:rPr>
                      <w:rFonts w:hint="default" w:ascii="Times New Roman" w:hAnsi="Times New Roman" w:eastAsia="宋体" w:cs="Times New Roman"/>
                      <w:b/>
                      <w:color w:val="auto"/>
                      <w:sz w:val="21"/>
                      <w:szCs w:val="21"/>
                      <w:vertAlign w:val="superscript"/>
                    </w:rPr>
                    <w:t>3</w:t>
                  </w:r>
                </w:p>
              </w:tc>
              <w:tc>
                <w:tcPr>
                  <w:tcW w:w="682" w:type="pct"/>
                  <w:vAlign w:val="center"/>
                </w:tcPr>
                <w:p>
                  <w:pPr>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速率kg/h</w:t>
                  </w:r>
                </w:p>
              </w:tc>
              <w:tc>
                <w:tcPr>
                  <w:tcW w:w="669" w:type="pct"/>
                  <w:vAlign w:val="center"/>
                </w:tcPr>
                <w:p>
                  <w:pPr>
                    <w:pStyle w:val="64"/>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产生量t/a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454" w:hRule="exact"/>
                <w:jc w:val="center"/>
              </w:trPr>
              <w:tc>
                <w:tcPr>
                  <w:tcW w:w="441" w:type="pct"/>
                  <w:vMerge w:val="restart"/>
                  <w:vAlign w:val="center"/>
                </w:tcPr>
                <w:p>
                  <w:pPr>
                    <w:pStyle w:val="64"/>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生产车间</w:t>
                  </w:r>
                </w:p>
              </w:tc>
              <w:tc>
                <w:tcPr>
                  <w:tcW w:w="464" w:type="pct"/>
                  <w:vMerge w:val="restart"/>
                  <w:vAlign w:val="center"/>
                </w:tcPr>
                <w:p>
                  <w:pPr>
                    <w:snapToGrid w:val="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rPr>
                    <w:t>FQ-</w:t>
                  </w:r>
                  <w:r>
                    <w:rPr>
                      <w:rFonts w:hint="default" w:ascii="Times New Roman" w:hAnsi="Times New Roman" w:eastAsia="宋体" w:cs="Times New Roman"/>
                      <w:color w:val="auto"/>
                      <w:szCs w:val="21"/>
                      <w:lang w:val="en-US" w:eastAsia="zh-CN"/>
                    </w:rPr>
                    <w:t>1</w:t>
                  </w:r>
                </w:p>
              </w:tc>
              <w:tc>
                <w:tcPr>
                  <w:tcW w:w="855" w:type="pct"/>
                  <w:vAlign w:val="center"/>
                </w:tcPr>
                <w:p>
                  <w:pPr>
                    <w:pStyle w:val="64"/>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电泳、烘干工段</w:t>
                  </w:r>
                </w:p>
              </w:tc>
              <w:tc>
                <w:tcPr>
                  <w:tcW w:w="486" w:type="pct"/>
                  <w:vMerge w:val="restart"/>
                  <w:vAlign w:val="center"/>
                </w:tcPr>
                <w:p>
                  <w:pPr>
                    <w:pStyle w:val="64"/>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r>
                    <w:rPr>
                      <w:rFonts w:hint="eastAsia" w:ascii="Times New Roman" w:hAnsi="Times New Roman" w:eastAsia="宋体" w:cs="Times New Roman"/>
                      <w:color w:val="auto"/>
                      <w:sz w:val="21"/>
                      <w:szCs w:val="21"/>
                      <w:lang w:val="en-US" w:eastAsia="zh-CN"/>
                    </w:rPr>
                    <w:t>8</w:t>
                  </w:r>
                  <w:r>
                    <w:rPr>
                      <w:rFonts w:hint="default" w:ascii="Times New Roman" w:hAnsi="Times New Roman" w:eastAsia="宋体" w:cs="Times New Roman"/>
                      <w:color w:val="auto"/>
                      <w:sz w:val="21"/>
                      <w:szCs w:val="21"/>
                      <w:lang w:val="en-US" w:eastAsia="zh-CN"/>
                    </w:rPr>
                    <w:t>000</w:t>
                  </w:r>
                </w:p>
              </w:tc>
              <w:tc>
                <w:tcPr>
                  <w:tcW w:w="730" w:type="pct"/>
                  <w:vAlign w:val="center"/>
                </w:tcPr>
                <w:p>
                  <w:pPr>
                    <w:pStyle w:val="51"/>
                    <w:spacing w:line="240" w:lineRule="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非甲烷总烃</w:t>
                  </w:r>
                </w:p>
              </w:tc>
              <w:tc>
                <w:tcPr>
                  <w:tcW w:w="670" w:type="pct"/>
                  <w:vAlign w:val="center"/>
                </w:tcPr>
                <w:p>
                  <w:pPr>
                    <w:pStyle w:val="5"/>
                    <w:adjustRightInd w:val="0"/>
                    <w:snapToGrid w:val="0"/>
                    <w:ind w:firstLine="0"/>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50.39</w:t>
                  </w:r>
                </w:p>
              </w:tc>
              <w:tc>
                <w:tcPr>
                  <w:tcW w:w="682" w:type="pct"/>
                  <w:vAlign w:val="center"/>
                </w:tcPr>
                <w:p>
                  <w:pPr>
                    <w:widowControl/>
                    <w:jc w:val="center"/>
                    <w:textAlignment w:val="center"/>
                    <w:rPr>
                      <w:rFonts w:hint="default" w:ascii="Times New Roman" w:hAnsi="Times New Roman" w:eastAsia="宋体" w:cs="Times New Roman"/>
                      <w:color w:val="auto"/>
                      <w:kern w:val="0"/>
                      <w:szCs w:val="21"/>
                      <w:lang w:val="en-US" w:eastAsia="zh-CN"/>
                    </w:rPr>
                  </w:pPr>
                  <w:r>
                    <w:rPr>
                      <w:rFonts w:hint="eastAsia" w:cs="Times New Roman"/>
                      <w:color w:val="auto"/>
                      <w:kern w:val="0"/>
                      <w:szCs w:val="21"/>
                      <w:lang w:val="en-US" w:eastAsia="zh-CN"/>
                    </w:rPr>
                    <w:t>0.907</w:t>
                  </w:r>
                </w:p>
              </w:tc>
              <w:tc>
                <w:tcPr>
                  <w:tcW w:w="669" w:type="pct"/>
                  <w:vAlign w:val="center"/>
                </w:tcPr>
                <w:p>
                  <w:pPr>
                    <w:pStyle w:val="5"/>
                    <w:adjustRightInd w:val="0"/>
                    <w:snapToGrid w:val="0"/>
                    <w:ind w:firstLine="0"/>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4.354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454" w:hRule="exact"/>
                <w:jc w:val="center"/>
              </w:trPr>
              <w:tc>
                <w:tcPr>
                  <w:tcW w:w="441" w:type="pct"/>
                  <w:vMerge w:val="continue"/>
                  <w:vAlign w:val="center"/>
                </w:tcPr>
                <w:p>
                  <w:pPr>
                    <w:pStyle w:val="64"/>
                    <w:rPr>
                      <w:rFonts w:hint="default" w:ascii="Times New Roman" w:hAnsi="Times New Roman" w:eastAsia="宋体" w:cs="Times New Roman"/>
                      <w:color w:val="auto"/>
                      <w:sz w:val="21"/>
                      <w:szCs w:val="21"/>
                      <w:lang w:val="en-US" w:eastAsia="zh-CN"/>
                    </w:rPr>
                  </w:pPr>
                </w:p>
              </w:tc>
              <w:tc>
                <w:tcPr>
                  <w:tcW w:w="464" w:type="pct"/>
                  <w:vMerge w:val="continue"/>
                  <w:vAlign w:val="center"/>
                </w:tcPr>
                <w:p>
                  <w:pPr>
                    <w:snapToGrid w:val="0"/>
                    <w:jc w:val="center"/>
                    <w:rPr>
                      <w:rFonts w:hint="default" w:ascii="Times New Roman" w:hAnsi="Times New Roman" w:eastAsia="宋体" w:cs="Times New Roman"/>
                      <w:color w:val="auto"/>
                      <w:szCs w:val="21"/>
                    </w:rPr>
                  </w:pPr>
                </w:p>
              </w:tc>
              <w:tc>
                <w:tcPr>
                  <w:tcW w:w="855" w:type="pct"/>
                  <w:vMerge w:val="restart"/>
                  <w:vAlign w:val="center"/>
                </w:tcPr>
                <w:p>
                  <w:pPr>
                    <w:pStyle w:val="64"/>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天然气燃烧</w:t>
                  </w:r>
                </w:p>
              </w:tc>
              <w:tc>
                <w:tcPr>
                  <w:tcW w:w="486" w:type="pct"/>
                  <w:vMerge w:val="continue"/>
                  <w:vAlign w:val="center"/>
                </w:tcPr>
                <w:p>
                  <w:pPr>
                    <w:pStyle w:val="64"/>
                    <w:rPr>
                      <w:rFonts w:hint="default" w:ascii="Times New Roman" w:hAnsi="Times New Roman" w:eastAsia="宋体" w:cs="Times New Roman"/>
                      <w:color w:val="auto"/>
                      <w:sz w:val="21"/>
                      <w:szCs w:val="21"/>
                    </w:rPr>
                  </w:pPr>
                </w:p>
              </w:tc>
              <w:tc>
                <w:tcPr>
                  <w:tcW w:w="730" w:type="pct"/>
                  <w:vAlign w:val="center"/>
                </w:tcPr>
                <w:p>
                  <w:pPr>
                    <w:pStyle w:val="51"/>
                    <w:spacing w:line="240" w:lineRule="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color w:val="auto"/>
                      <w:szCs w:val="21"/>
                      <w:lang w:val="en-US" w:eastAsia="zh-CN"/>
                    </w:rPr>
                    <w:t>氮氧化物</w:t>
                  </w:r>
                </w:p>
              </w:tc>
              <w:tc>
                <w:tcPr>
                  <w:tcW w:w="670" w:type="pct"/>
                  <w:vAlign w:val="center"/>
                </w:tcPr>
                <w:p>
                  <w:pPr>
                    <w:pStyle w:val="51"/>
                    <w:spacing w:line="240" w:lineRule="auto"/>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2.1</w:t>
                  </w:r>
                </w:p>
              </w:tc>
              <w:tc>
                <w:tcPr>
                  <w:tcW w:w="682" w:type="pct"/>
                  <w:vAlign w:val="center"/>
                </w:tcPr>
                <w:p>
                  <w:pPr>
                    <w:pStyle w:val="51"/>
                    <w:spacing w:line="240" w:lineRule="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0.0379</w:t>
                  </w:r>
                </w:p>
              </w:tc>
              <w:tc>
                <w:tcPr>
                  <w:tcW w:w="669" w:type="pct"/>
                  <w:vAlign w:val="center"/>
                </w:tcPr>
                <w:p>
                  <w:pPr>
                    <w:pStyle w:val="51"/>
                    <w:spacing w:line="240" w:lineRule="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0.0909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454" w:hRule="exact"/>
                <w:jc w:val="center"/>
              </w:trPr>
              <w:tc>
                <w:tcPr>
                  <w:tcW w:w="441" w:type="pct"/>
                  <w:vMerge w:val="continue"/>
                  <w:vAlign w:val="center"/>
                </w:tcPr>
                <w:p>
                  <w:pPr>
                    <w:pStyle w:val="64"/>
                    <w:rPr>
                      <w:rFonts w:hint="default" w:ascii="Times New Roman" w:hAnsi="Times New Roman" w:eastAsia="宋体" w:cs="Times New Roman"/>
                      <w:color w:val="auto"/>
                      <w:sz w:val="21"/>
                      <w:szCs w:val="21"/>
                      <w:lang w:val="en-US" w:eastAsia="zh-CN"/>
                    </w:rPr>
                  </w:pPr>
                </w:p>
              </w:tc>
              <w:tc>
                <w:tcPr>
                  <w:tcW w:w="464" w:type="pct"/>
                  <w:vMerge w:val="continue"/>
                  <w:vAlign w:val="center"/>
                </w:tcPr>
                <w:p>
                  <w:pPr>
                    <w:snapToGrid w:val="0"/>
                    <w:jc w:val="center"/>
                    <w:rPr>
                      <w:rFonts w:hint="default" w:ascii="Times New Roman" w:hAnsi="Times New Roman" w:eastAsia="宋体" w:cs="Times New Roman"/>
                      <w:color w:val="auto"/>
                      <w:szCs w:val="21"/>
                    </w:rPr>
                  </w:pPr>
                </w:p>
              </w:tc>
              <w:tc>
                <w:tcPr>
                  <w:tcW w:w="855" w:type="pct"/>
                  <w:vMerge w:val="continue"/>
                  <w:vAlign w:val="center"/>
                </w:tcPr>
                <w:p>
                  <w:pPr>
                    <w:pStyle w:val="64"/>
                    <w:rPr>
                      <w:rFonts w:hint="default" w:ascii="Times New Roman" w:hAnsi="Times New Roman" w:eastAsia="宋体" w:cs="Times New Roman"/>
                      <w:color w:val="auto"/>
                      <w:sz w:val="21"/>
                      <w:szCs w:val="21"/>
                    </w:rPr>
                  </w:pPr>
                </w:p>
              </w:tc>
              <w:tc>
                <w:tcPr>
                  <w:tcW w:w="486" w:type="pct"/>
                  <w:vMerge w:val="continue"/>
                  <w:vAlign w:val="center"/>
                </w:tcPr>
                <w:p>
                  <w:pPr>
                    <w:pStyle w:val="64"/>
                    <w:rPr>
                      <w:rFonts w:hint="default" w:ascii="Times New Roman" w:hAnsi="Times New Roman" w:eastAsia="宋体" w:cs="Times New Roman"/>
                      <w:color w:val="auto"/>
                      <w:sz w:val="21"/>
                      <w:szCs w:val="21"/>
                    </w:rPr>
                  </w:pPr>
                </w:p>
              </w:tc>
              <w:tc>
                <w:tcPr>
                  <w:tcW w:w="730" w:type="pct"/>
                  <w:vAlign w:val="center"/>
                </w:tcPr>
                <w:p>
                  <w:pPr>
                    <w:pStyle w:val="51"/>
                    <w:spacing w:line="240" w:lineRule="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color w:val="auto"/>
                      <w:szCs w:val="21"/>
                      <w:lang w:val="en-US" w:eastAsia="zh-CN"/>
                    </w:rPr>
                    <w:t>颗粒物</w:t>
                  </w:r>
                </w:p>
              </w:tc>
              <w:tc>
                <w:tcPr>
                  <w:tcW w:w="670" w:type="pct"/>
                  <w:vAlign w:val="center"/>
                </w:tcPr>
                <w:p>
                  <w:pPr>
                    <w:pStyle w:val="51"/>
                    <w:spacing w:line="240" w:lineRule="auto"/>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1.67</w:t>
                  </w:r>
                </w:p>
              </w:tc>
              <w:tc>
                <w:tcPr>
                  <w:tcW w:w="682" w:type="pct"/>
                  <w:vAlign w:val="center"/>
                </w:tcPr>
                <w:p>
                  <w:pPr>
                    <w:pStyle w:val="51"/>
                    <w:spacing w:line="240" w:lineRule="auto"/>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0.03</w:t>
                  </w:r>
                </w:p>
              </w:tc>
              <w:tc>
                <w:tcPr>
                  <w:tcW w:w="669" w:type="pct"/>
                  <w:vAlign w:val="center"/>
                </w:tcPr>
                <w:p>
                  <w:pPr>
                    <w:pStyle w:val="51"/>
                    <w:spacing w:line="240" w:lineRule="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0.0</w:t>
                  </w:r>
                  <w:r>
                    <w:rPr>
                      <w:rFonts w:hint="eastAsia" w:ascii="Times New Roman" w:hAnsi="Times New Roman" w:cs="Times New Roman"/>
                      <w:color w:val="auto"/>
                      <w:szCs w:val="21"/>
                      <w:lang w:val="en-US" w:eastAsia="zh-CN"/>
                    </w:rPr>
                    <w:t>7</w:t>
                  </w:r>
                  <w:r>
                    <w:rPr>
                      <w:rFonts w:hint="default" w:ascii="Times New Roman" w:hAnsi="Times New Roman" w:eastAsia="宋体" w:cs="Times New Roman"/>
                      <w:color w:val="auto"/>
                      <w:szCs w:val="21"/>
                      <w:lang w:val="en-US" w:eastAsia="zh-C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454" w:hRule="exact"/>
                <w:jc w:val="center"/>
              </w:trPr>
              <w:tc>
                <w:tcPr>
                  <w:tcW w:w="441" w:type="pct"/>
                  <w:vMerge w:val="continue"/>
                  <w:vAlign w:val="center"/>
                </w:tcPr>
                <w:p>
                  <w:pPr>
                    <w:pStyle w:val="64"/>
                    <w:rPr>
                      <w:rFonts w:hint="default" w:ascii="Times New Roman" w:hAnsi="Times New Roman" w:eastAsia="宋体" w:cs="Times New Roman"/>
                      <w:color w:val="auto"/>
                      <w:sz w:val="21"/>
                      <w:szCs w:val="21"/>
                      <w:lang w:val="en-US" w:eastAsia="zh-CN"/>
                    </w:rPr>
                  </w:pPr>
                </w:p>
              </w:tc>
              <w:tc>
                <w:tcPr>
                  <w:tcW w:w="464" w:type="pct"/>
                  <w:vMerge w:val="continue"/>
                  <w:vAlign w:val="center"/>
                </w:tcPr>
                <w:p>
                  <w:pPr>
                    <w:snapToGrid w:val="0"/>
                    <w:jc w:val="center"/>
                    <w:rPr>
                      <w:rFonts w:hint="default" w:ascii="Times New Roman" w:hAnsi="Times New Roman" w:eastAsia="宋体" w:cs="Times New Roman"/>
                      <w:color w:val="auto"/>
                      <w:szCs w:val="21"/>
                    </w:rPr>
                  </w:pPr>
                </w:p>
              </w:tc>
              <w:tc>
                <w:tcPr>
                  <w:tcW w:w="855" w:type="pct"/>
                  <w:vMerge w:val="continue"/>
                  <w:vAlign w:val="center"/>
                </w:tcPr>
                <w:p>
                  <w:pPr>
                    <w:pStyle w:val="64"/>
                    <w:rPr>
                      <w:rFonts w:hint="default" w:ascii="Times New Roman" w:hAnsi="Times New Roman" w:eastAsia="宋体" w:cs="Times New Roman"/>
                      <w:color w:val="auto"/>
                      <w:sz w:val="21"/>
                      <w:szCs w:val="21"/>
                    </w:rPr>
                  </w:pPr>
                </w:p>
              </w:tc>
              <w:tc>
                <w:tcPr>
                  <w:tcW w:w="486" w:type="pct"/>
                  <w:vMerge w:val="continue"/>
                  <w:vAlign w:val="center"/>
                </w:tcPr>
                <w:p>
                  <w:pPr>
                    <w:pStyle w:val="64"/>
                    <w:rPr>
                      <w:rFonts w:hint="default" w:ascii="Times New Roman" w:hAnsi="Times New Roman" w:eastAsia="宋体" w:cs="Times New Roman"/>
                      <w:color w:val="auto"/>
                      <w:sz w:val="21"/>
                      <w:szCs w:val="21"/>
                    </w:rPr>
                  </w:pPr>
                </w:p>
              </w:tc>
              <w:tc>
                <w:tcPr>
                  <w:tcW w:w="730" w:type="pct"/>
                  <w:vAlign w:val="center"/>
                </w:tcPr>
                <w:p>
                  <w:pPr>
                    <w:pStyle w:val="51"/>
                    <w:spacing w:line="240" w:lineRule="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color w:val="auto"/>
                      <w:szCs w:val="21"/>
                      <w:lang w:val="en-US" w:eastAsia="zh-CN"/>
                    </w:rPr>
                    <w:t>二氧化硫</w:t>
                  </w:r>
                </w:p>
              </w:tc>
              <w:tc>
                <w:tcPr>
                  <w:tcW w:w="670" w:type="pct"/>
                  <w:vAlign w:val="center"/>
                </w:tcPr>
                <w:p>
                  <w:pPr>
                    <w:pStyle w:val="51"/>
                    <w:spacing w:line="240" w:lineRule="auto"/>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2.78</w:t>
                  </w:r>
                </w:p>
              </w:tc>
              <w:tc>
                <w:tcPr>
                  <w:tcW w:w="682" w:type="pct"/>
                  <w:vAlign w:val="center"/>
                </w:tcPr>
                <w:p>
                  <w:pPr>
                    <w:pStyle w:val="51"/>
                    <w:spacing w:line="240" w:lineRule="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0.0</w:t>
                  </w:r>
                  <w:r>
                    <w:rPr>
                      <w:rFonts w:hint="eastAsia" w:ascii="Times New Roman" w:hAnsi="Times New Roman" w:cs="Times New Roman"/>
                      <w:color w:val="auto"/>
                      <w:szCs w:val="21"/>
                      <w:lang w:val="en-US" w:eastAsia="zh-CN"/>
                    </w:rPr>
                    <w:t>5</w:t>
                  </w:r>
                </w:p>
              </w:tc>
              <w:tc>
                <w:tcPr>
                  <w:tcW w:w="669" w:type="pct"/>
                  <w:vAlign w:val="center"/>
                </w:tcPr>
                <w:p>
                  <w:pPr>
                    <w:pStyle w:val="51"/>
                    <w:spacing w:line="240" w:lineRule="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r>
                    <w:rPr>
                      <w:rFonts w:hint="eastAsia" w:ascii="Times New Roman" w:hAnsi="Times New Roman" w:cs="Times New Roman"/>
                      <w:color w:val="auto"/>
                      <w:szCs w:val="21"/>
                      <w:lang w:val="en-US" w:eastAsia="zh-CN"/>
                    </w:rPr>
                    <w:t>12</w:t>
                  </w:r>
                </w:p>
              </w:tc>
            </w:tr>
          </w:tbl>
          <w:p>
            <w:pPr>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本项目无组织废气产生情况见下表：</w:t>
            </w:r>
          </w:p>
          <w:p>
            <w:pPr>
              <w:jc w:val="center"/>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表4-</w:t>
            </w:r>
            <w:r>
              <w:rPr>
                <w:rFonts w:hint="eastAsia" w:cs="Times New Roman"/>
                <w:b/>
                <w:bCs/>
                <w:color w:val="auto"/>
                <w:sz w:val="24"/>
                <w:lang w:val="en-US" w:eastAsia="zh-CN"/>
              </w:rPr>
              <w:t>2</w:t>
            </w:r>
            <w:r>
              <w:rPr>
                <w:rFonts w:hint="default" w:ascii="Times New Roman" w:hAnsi="Times New Roman" w:eastAsia="宋体" w:cs="Times New Roman"/>
                <w:b/>
                <w:bCs/>
                <w:color w:val="auto"/>
                <w:sz w:val="24"/>
              </w:rPr>
              <w:t xml:space="preserve"> 本项目无组织废气污染物产生情况</w:t>
            </w:r>
          </w:p>
          <w:tbl>
            <w:tblPr>
              <w:tblStyle w:val="22"/>
              <w:tblW w:w="4994"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37"/>
              <w:gridCol w:w="1677"/>
              <w:gridCol w:w="1317"/>
              <w:gridCol w:w="1237"/>
              <w:gridCol w:w="1459"/>
              <w:gridCol w:w="140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690" w:type="pc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工作车间</w:t>
                  </w:r>
                </w:p>
              </w:tc>
              <w:tc>
                <w:tcPr>
                  <w:tcW w:w="1018" w:type="pct"/>
                  <w:vAlign w:val="center"/>
                </w:tcPr>
                <w:p>
                  <w:pPr>
                    <w:adjustRightInd w:val="0"/>
                    <w:snapToGrid w:val="0"/>
                    <w:jc w:val="center"/>
                    <w:rPr>
                      <w:rFonts w:hint="default" w:ascii="Times New Roman" w:hAnsi="Times New Roman" w:eastAsia="宋体" w:cs="Times New Roman"/>
                      <w:color w:val="auto"/>
                    </w:rPr>
                  </w:pPr>
                  <w:r>
                    <w:rPr>
                      <w:rFonts w:hint="default" w:ascii="Times New Roman" w:hAnsi="Times New Roman" w:eastAsia="宋体" w:cs="Times New Roman"/>
                      <w:b/>
                      <w:bCs/>
                      <w:color w:val="auto"/>
                      <w:szCs w:val="21"/>
                    </w:rPr>
                    <w:t>产生环节</w:t>
                  </w:r>
                </w:p>
              </w:tc>
              <w:tc>
                <w:tcPr>
                  <w:tcW w:w="799" w:type="pc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污染物名称</w:t>
                  </w:r>
                </w:p>
              </w:tc>
              <w:tc>
                <w:tcPr>
                  <w:tcW w:w="750" w:type="pc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排放量t/a</w:t>
                  </w:r>
                </w:p>
              </w:tc>
              <w:tc>
                <w:tcPr>
                  <w:tcW w:w="885" w:type="pc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面源面积m</w:t>
                  </w:r>
                  <w:r>
                    <w:rPr>
                      <w:rFonts w:hint="default" w:ascii="Times New Roman" w:hAnsi="Times New Roman" w:eastAsia="宋体" w:cs="Times New Roman"/>
                      <w:b/>
                      <w:bCs/>
                      <w:color w:val="auto"/>
                      <w:szCs w:val="21"/>
                      <w:vertAlign w:val="superscript"/>
                    </w:rPr>
                    <w:t>2</w:t>
                  </w:r>
                </w:p>
              </w:tc>
              <w:tc>
                <w:tcPr>
                  <w:tcW w:w="855" w:type="pc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面源高度m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21" w:hRule="atLeast"/>
                <w:jc w:val="center"/>
              </w:trPr>
              <w:tc>
                <w:tcPr>
                  <w:tcW w:w="690" w:type="pct"/>
                  <w:vAlign w:val="center"/>
                </w:tcPr>
                <w:p>
                  <w:pPr>
                    <w:adjustRightInd w:val="0"/>
                    <w:snapToGrid w:val="0"/>
                    <w:jc w:val="center"/>
                    <w:rPr>
                      <w:rFonts w:hint="default" w:ascii="Times New Roman" w:hAnsi="Times New Roman" w:eastAsia="宋体" w:cs="Times New Roman"/>
                      <w:color w:val="auto"/>
                      <w:kern w:val="44"/>
                      <w:szCs w:val="21"/>
                      <w:lang w:eastAsia="zh-CN"/>
                    </w:rPr>
                  </w:pPr>
                  <w:r>
                    <w:rPr>
                      <w:rFonts w:hint="default" w:ascii="Times New Roman" w:hAnsi="Times New Roman" w:eastAsia="宋体" w:cs="Times New Roman"/>
                      <w:color w:val="auto"/>
                      <w:kern w:val="44"/>
                      <w:szCs w:val="21"/>
                      <w:lang w:val="en-US" w:eastAsia="zh-CN"/>
                    </w:rPr>
                    <w:t>生产车间</w:t>
                  </w:r>
                </w:p>
              </w:tc>
              <w:tc>
                <w:tcPr>
                  <w:tcW w:w="1018" w:type="pct"/>
                  <w:tcBorders>
                    <w:bottom w:val="single" w:color="auto" w:sz="12" w:space="0"/>
                  </w:tcBorders>
                  <w:vAlign w:val="center"/>
                </w:tcPr>
                <w:p>
                  <w:pPr>
                    <w:adjustRightInd w:val="0"/>
                    <w:snapToGrid w:val="0"/>
                    <w:jc w:val="center"/>
                    <w:rPr>
                      <w:rFonts w:hint="default" w:ascii="Times New Roman" w:hAnsi="Times New Roman" w:eastAsia="宋体" w:cs="Times New Roman"/>
                      <w:color w:val="auto"/>
                      <w:kern w:val="44"/>
                      <w:szCs w:val="21"/>
                      <w:lang w:val="en-US" w:eastAsia="zh-CN"/>
                    </w:rPr>
                  </w:pPr>
                  <w:r>
                    <w:rPr>
                      <w:rFonts w:hint="default" w:ascii="Times New Roman" w:hAnsi="Times New Roman" w:eastAsia="宋体" w:cs="Times New Roman"/>
                      <w:color w:val="auto"/>
                      <w:kern w:val="44"/>
                      <w:szCs w:val="21"/>
                      <w:lang w:val="en-US" w:eastAsia="zh-CN"/>
                    </w:rPr>
                    <w:t>电泳、烘干废气</w:t>
                  </w:r>
                </w:p>
              </w:tc>
              <w:tc>
                <w:tcPr>
                  <w:tcW w:w="799" w:type="pct"/>
                  <w:vAlign w:val="center"/>
                </w:tcPr>
                <w:p>
                  <w:pPr>
                    <w:adjustRightInd w:val="0"/>
                    <w:snapToGrid w:val="0"/>
                    <w:jc w:val="center"/>
                    <w:rPr>
                      <w:rFonts w:hint="default" w:ascii="Times New Roman" w:hAnsi="Times New Roman" w:eastAsia="宋体" w:cs="Times New Roman"/>
                      <w:color w:val="auto"/>
                      <w:kern w:val="44"/>
                      <w:szCs w:val="21"/>
                      <w:lang w:eastAsia="zh-CN"/>
                    </w:rPr>
                  </w:pPr>
                  <w:r>
                    <w:rPr>
                      <w:rFonts w:hint="default" w:ascii="Times New Roman" w:hAnsi="Times New Roman" w:eastAsia="宋体" w:cs="Times New Roman"/>
                      <w:color w:val="auto"/>
                      <w:kern w:val="44"/>
                      <w:szCs w:val="21"/>
                      <w:lang w:val="en-US" w:eastAsia="zh-CN"/>
                    </w:rPr>
                    <w:t>非甲烷总烃</w:t>
                  </w:r>
                </w:p>
              </w:tc>
              <w:tc>
                <w:tcPr>
                  <w:tcW w:w="750" w:type="pct"/>
                  <w:vAlign w:val="center"/>
                </w:tcPr>
                <w:p>
                  <w:pPr>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0.484</w:t>
                  </w:r>
                </w:p>
              </w:tc>
              <w:tc>
                <w:tcPr>
                  <w:tcW w:w="885" w:type="pct"/>
                  <w:vAlign w:val="center"/>
                </w:tcPr>
                <w:p>
                  <w:pPr>
                    <w:adjustRightInd w:val="0"/>
                    <w:snapToGrid w:val="0"/>
                    <w:jc w:val="center"/>
                    <w:rPr>
                      <w:rFonts w:hint="default" w:ascii="Times New Roman" w:hAnsi="Times New Roman" w:eastAsia="宋体" w:cs="Times New Roman"/>
                      <w:color w:val="auto"/>
                      <w:kern w:val="44"/>
                      <w:szCs w:val="21"/>
                      <w:lang w:val="en-US" w:eastAsia="zh-CN"/>
                    </w:rPr>
                  </w:pPr>
                  <w:r>
                    <w:rPr>
                      <w:rFonts w:hint="default" w:ascii="Times New Roman" w:hAnsi="Times New Roman" w:eastAsia="宋体" w:cs="Times New Roman"/>
                      <w:color w:val="auto"/>
                      <w:kern w:val="44"/>
                      <w:szCs w:val="21"/>
                      <w:lang w:val="en-US" w:eastAsia="zh-CN"/>
                    </w:rPr>
                    <w:t>1008</w:t>
                  </w:r>
                </w:p>
              </w:tc>
              <w:tc>
                <w:tcPr>
                  <w:tcW w:w="855" w:type="pct"/>
                  <w:vAlign w:val="center"/>
                </w:tcPr>
                <w:p>
                  <w:pPr>
                    <w:adjustRightInd w:val="0"/>
                    <w:snapToGrid w:val="0"/>
                    <w:jc w:val="center"/>
                    <w:rPr>
                      <w:rFonts w:hint="default" w:ascii="Times New Roman" w:hAnsi="Times New Roman" w:eastAsia="宋体" w:cs="Times New Roman"/>
                      <w:color w:val="auto"/>
                      <w:kern w:val="44"/>
                      <w:szCs w:val="21"/>
                      <w:lang w:val="en-US" w:eastAsia="zh-CN"/>
                    </w:rPr>
                  </w:pPr>
                  <w:r>
                    <w:rPr>
                      <w:rFonts w:hint="default" w:ascii="Times New Roman" w:hAnsi="Times New Roman" w:eastAsia="宋体" w:cs="Times New Roman"/>
                      <w:color w:val="auto"/>
                      <w:kern w:val="44"/>
                      <w:szCs w:val="21"/>
                      <w:lang w:val="en-US" w:eastAsia="zh-CN"/>
                    </w:rPr>
                    <w:t>9.15</w:t>
                  </w:r>
                </w:p>
              </w:tc>
            </w:tr>
          </w:tbl>
          <w:p>
            <w:pPr>
              <w:adjustRightInd w:val="0"/>
              <w:snapToGrid w:val="0"/>
              <w:spacing w:line="360" w:lineRule="auto"/>
              <w:ind w:firstLine="482" w:firstLineChars="200"/>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（2）防治措施及污染物排放分析</w:t>
            </w:r>
          </w:p>
          <w:p>
            <w:pPr>
              <w:adjustRightInd w:val="0"/>
              <w:snapToGrid w:val="0"/>
              <w:spacing w:line="360" w:lineRule="auto"/>
              <w:ind w:firstLine="480" w:firstLineChars="200"/>
              <w:jc w:val="left"/>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1）有组织废气</w:t>
            </w:r>
          </w:p>
          <w:p>
            <w:pPr>
              <w:adjustRightInd w:val="0"/>
              <w:snapToGrid w:val="0"/>
              <w:spacing w:line="360" w:lineRule="auto"/>
              <w:jc w:val="center"/>
              <w:rPr>
                <w:rFonts w:hint="default" w:ascii="Times New Roman" w:hAnsi="Times New Roman" w:eastAsia="宋体" w:cs="Times New Roman"/>
                <w:bCs/>
                <w:color w:val="auto"/>
                <w:sz w:val="24"/>
                <w:szCs w:val="22"/>
              </w:rPr>
            </w:pPr>
            <w:r>
              <w:rPr>
                <w:rFonts w:hint="default" w:ascii="Times New Roman" w:hAnsi="Times New Roman" w:eastAsia="宋体" w:cs="Times New Roman"/>
                <w:color w:val="auto"/>
              </w:rPr>
              <w:pict>
                <v:group id="画布 42" o:spid="_x0000_s2050" o:spt="203" style="height:48.05pt;width:433.35pt;" coordorigin="1715,8063" coordsize="8667,960" editas="canvas">
                  <o:lock v:ext="edit"/>
                  <v:rect id="画布 42" o:spid="_x0000_s2051" o:spt="1" style="position:absolute;left:1715;top:8063;height:960;width:8667;" filled="f" stroked="f" coordsize="21600,21600">
                    <v:path/>
                    <v:fill on="f" focussize="0,0"/>
                    <v:stroke on="f"/>
                    <v:imagedata o:title=""/>
                    <o:lock v:ext="edit" aspectratio="t"/>
                  </v:rect>
                  <v:rect id="矩形 12" o:spid="_x0000_s2052" o:spt="1" style="position:absolute;left:1781;top:8063;height:977;width:1431;" filled="f" stroked="f" coordsize="21600,21600">
                    <v:path/>
                    <v:fill on="f" focussize="0,0"/>
                    <v:stroke on="f"/>
                    <v:imagedata o:title=""/>
                    <o:lock v:ext="edit" aspectratio="f"/>
                    <v:textbox inset="1mm,1.27mm,1mm,1.27mm">
                      <w:txbxContent>
                        <w:p>
                          <w:pPr>
                            <w:jc w:val="center"/>
                            <w:rPr>
                              <w:rFonts w:hint="default" w:ascii="宋体" w:hAnsi="宋体" w:eastAsia="宋体"/>
                              <w:lang w:val="en-US" w:eastAsia="zh-CN"/>
                            </w:rPr>
                          </w:pPr>
                          <w:r>
                            <w:rPr>
                              <w:rFonts w:hint="eastAsia" w:ascii="宋体" w:hAnsi="宋体"/>
                              <w:szCs w:val="22"/>
                              <w:lang w:val="en-US" w:eastAsia="zh-CN"/>
                            </w:rPr>
                            <w:t>电泳、烘干</w:t>
                          </w:r>
                          <w:r>
                            <w:rPr>
                              <w:rFonts w:hint="eastAsia" w:ascii="宋体" w:hAnsi="宋体"/>
                              <w:szCs w:val="22"/>
                            </w:rPr>
                            <w:t>废气</w:t>
                          </w:r>
                          <w:r>
                            <w:rPr>
                              <w:rFonts w:hint="eastAsia" w:ascii="宋体" w:hAnsi="宋体"/>
                              <w:szCs w:val="22"/>
                              <w:lang w:eastAsia="zh-CN"/>
                            </w:rPr>
                            <w:t>、</w:t>
                          </w:r>
                          <w:r>
                            <w:rPr>
                              <w:rFonts w:hint="eastAsia" w:ascii="宋体" w:hAnsi="宋体"/>
                              <w:szCs w:val="22"/>
                              <w:lang w:val="en-US" w:eastAsia="zh-CN"/>
                            </w:rPr>
                            <w:t>天然气燃烧废气</w:t>
                          </w:r>
                        </w:p>
                        <w:p>
                          <w:pPr>
                            <w:pStyle w:val="2"/>
                            <w:ind w:left="1470" w:right="1470"/>
                          </w:pPr>
                        </w:p>
                        <w:p>
                          <w:pPr>
                            <w:pStyle w:val="2"/>
                            <w:ind w:left="1470" w:right="1470"/>
                          </w:pPr>
                          <w:r>
                            <w:rPr>
                              <w:rFonts w:hint="eastAsia"/>
                            </w:rPr>
                            <w:t xml:space="preserve">  </w:t>
                          </w:r>
                        </w:p>
                        <w:p>
                          <w:pPr>
                            <w:pStyle w:val="2"/>
                            <w:ind w:left="1470" w:right="1470"/>
                            <w:rPr>
                              <w:rFonts w:ascii="宋体" w:hAnsi="宋体"/>
                            </w:rPr>
                          </w:pPr>
                        </w:p>
                        <w:p>
                          <w:pPr>
                            <w:pStyle w:val="2"/>
                            <w:ind w:left="1470" w:right="1470"/>
                            <w:rPr>
                              <w:rFonts w:ascii="宋体" w:hAnsi="宋体"/>
                            </w:rPr>
                          </w:pPr>
                        </w:p>
                      </w:txbxContent>
                    </v:textbox>
                  </v:rect>
                  <v:rect id="矩形 25" o:spid="_x0000_s2054" o:spt="1" style="position:absolute;left:3365;top:8074;height:807;width:1339;" filled="f" stroked="f" coordsize="21600,21600">
                    <v:path/>
                    <v:fill on="f" focussize="0,0"/>
                    <v:stroke on="f"/>
                    <v:imagedata o:title=""/>
                    <o:lock v:ext="edit" aspectratio="f"/>
                    <v:textbox inset="1mm,1.27mm,1mm,1.27mm">
                      <w:txbxContent>
                        <w:p>
                          <w:pPr>
                            <w:jc w:val="center"/>
                          </w:pPr>
                          <w:r>
                            <w:rPr>
                              <w:rFonts w:hint="eastAsia"/>
                            </w:rPr>
                            <w:t>非甲烷总烃</w:t>
                          </w:r>
                        </w:p>
                      </w:txbxContent>
                    </v:textbox>
                  </v:rect>
                  <v:rect id="矩形 34" o:spid="_x0000_s2055" o:spt="1" style="position:absolute;left:8739;top:8142;height:808;width:1385;" filled="f" stroked="f" coordsize="21600,21600">
                    <v:path/>
                    <v:fill on="f" focussize="0,0"/>
                    <v:stroke on="f"/>
                    <v:imagedata o:title=""/>
                    <o:lock v:ext="edit" aspectratio="f"/>
                    <v:textbox>
                      <w:txbxContent>
                        <w:p>
                          <w:pPr>
                            <w:jc w:val="center"/>
                            <w:rPr>
                              <w:rFonts w:ascii="宋体" w:hAnsi="宋体"/>
                            </w:rPr>
                          </w:pPr>
                          <w:r>
                            <w:rPr>
                              <w:rFonts w:hint="eastAsia"/>
                            </w:rPr>
                            <w:t>15</w:t>
                          </w:r>
                          <w:r>
                            <w:rPr>
                              <w:rFonts w:hint="eastAsia" w:ascii="宋体" w:hAnsi="宋体"/>
                            </w:rPr>
                            <w:t>米高排气筒（</w:t>
                          </w:r>
                          <w:r>
                            <w:rPr>
                              <w:rFonts w:hint="eastAsia"/>
                              <w:b/>
                            </w:rPr>
                            <w:t>FQ</w:t>
                          </w:r>
                          <w:r>
                            <w:rPr>
                              <w:rFonts w:hint="eastAsia" w:ascii="宋体" w:hAnsi="宋体"/>
                              <w:b/>
                            </w:rPr>
                            <w:t>-</w:t>
                          </w:r>
                          <w:r>
                            <w:rPr>
                              <w:rFonts w:hint="eastAsia"/>
                              <w:b/>
                              <w:lang w:val="en-US" w:eastAsia="zh-CN"/>
                            </w:rPr>
                            <w:t>1</w:t>
                          </w:r>
                          <w:r>
                            <w:rPr>
                              <w:rFonts w:hint="eastAsia" w:ascii="宋体" w:hAnsi="宋体"/>
                            </w:rPr>
                            <w:t>）</w:t>
                          </w:r>
                        </w:p>
                      </w:txbxContent>
                    </v:textbox>
                  </v:rect>
                  <v:rect id="矩形 32" o:spid="_x0000_s2056" o:spt="1" style="position:absolute;left:7177;top:8126;height:752;width:1512;" filled="f" stroked="f" coordsize="21600,21600">
                    <v:path/>
                    <v:fill on="f" focussize="0,0"/>
                    <v:stroke on="f"/>
                    <v:imagedata o:title=""/>
                    <o:lock v:ext="edit" aspectratio="f"/>
                    <v:textbox>
                      <w:txbxContent>
                        <w:p>
                          <w:pPr>
                            <w:jc w:val="center"/>
                            <w:rPr>
                              <w:rFonts w:ascii="宋体" w:hAnsi="宋体"/>
                            </w:rPr>
                          </w:pPr>
                          <w:r>
                            <w:rPr>
                              <w:rFonts w:hint="eastAsia" w:ascii="宋体" w:hAnsi="宋体"/>
                            </w:rPr>
                            <w:t>风量</w:t>
                          </w:r>
                        </w:p>
                        <w:p>
                          <w:pPr>
                            <w:jc w:val="center"/>
                            <w:rPr>
                              <w:rFonts w:ascii="宋体" w:hAnsi="宋体"/>
                            </w:rPr>
                          </w:pPr>
                          <w:r>
                            <w:rPr>
                              <w:rFonts w:hint="eastAsia"/>
                            </w:rPr>
                            <w:t>1</w:t>
                          </w:r>
                          <w:r>
                            <w:rPr>
                              <w:rFonts w:hint="eastAsia"/>
                              <w:lang w:val="en-US" w:eastAsia="zh-CN"/>
                            </w:rPr>
                            <w:t>85</w:t>
                          </w:r>
                          <w:r>
                            <w:rPr>
                              <w:rFonts w:hint="eastAsia"/>
                            </w:rPr>
                            <w:t>000m</w:t>
                          </w:r>
                          <w:r>
                            <w:rPr>
                              <w:vertAlign w:val="superscript"/>
                            </w:rPr>
                            <w:t>3</w:t>
                          </w:r>
                          <w:r>
                            <w:t>/h</w:t>
                          </w:r>
                        </w:p>
                      </w:txbxContent>
                    </v:textbox>
                  </v:rect>
                  <v:rect id="矩形 14" o:spid="_x0000_s2057" o:spt="1" style="position:absolute;left:5060;top:8256;height:426;width:2117;" filled="f" stroked="t" coordsize="21600,21600">
                    <v:path/>
                    <v:fill on="f" focussize="0,0"/>
                    <v:stroke weight="1pt" color="#000000" joinstyle="miter"/>
                    <v:imagedata o:title=""/>
                    <o:lock v:ext="edit" aspectratio="f"/>
                    <v:textbox inset="1.5mm,1.27mm,1.5mm,1.27mm">
                      <w:txbxContent>
                        <w:p>
                          <w:pPr>
                            <w:jc w:val="center"/>
                            <w:rPr>
                              <w:rFonts w:ascii="宋体" w:hAnsi="宋体"/>
                            </w:rPr>
                          </w:pPr>
                          <w:r>
                            <w:rPr>
                              <w:rFonts w:hint="eastAsia" w:ascii="宋体" w:hAnsi="宋体" w:cs="宋体"/>
                              <w:szCs w:val="21"/>
                            </w:rPr>
                            <w:t>二级活性炭</w:t>
                          </w:r>
                        </w:p>
                      </w:txbxContent>
                    </v:textbox>
                  </v:rect>
                  <v:shape id="直接连接符 18" o:spid="_x0000_s2058" o:spt="32" type="#_x0000_t32" style="position:absolute;left:7177;top:8477;height:1;width:1420;" filled="f" stroked="t" coordsize="21600,21600">
                    <v:path arrowok="t"/>
                    <v:fill on="f" focussize="0,0"/>
                    <v:stroke weight="1pt" color="#000000" endarrow="block"/>
                    <v:imagedata o:title=""/>
                    <o:lock v:ext="edit" aspectratio="f"/>
                  </v:shape>
                  <v:shape id="_x0000_s2060" o:spid="_x0000_s2060" o:spt="32" type="#_x0000_t32" style="position:absolute;left:3149;top:8477;flip:y;height:10;width:1911;" filled="f" stroked="t" coordsize="21600,21600">
                    <v:path arrowok="t"/>
                    <v:fill on="f" focussize="0,0"/>
                    <v:stroke color="#000000" endarrow="block"/>
                    <v:imagedata o:title=""/>
                    <o:lock v:ext="edit" aspectratio="f"/>
                  </v:shape>
                  <w10:wrap type="none"/>
                  <w10:anchorlock/>
                </v:group>
              </w:pict>
            </w:r>
          </w:p>
          <w:p>
            <w:pPr>
              <w:adjustRightInd w:val="0"/>
              <w:snapToGrid w:val="0"/>
              <w:spacing w:line="360" w:lineRule="auto"/>
              <w:jc w:val="center"/>
              <w:rPr>
                <w:rFonts w:hint="default" w:ascii="Times New Roman" w:hAnsi="Times New Roman" w:eastAsia="宋体" w:cs="Times New Roman"/>
                <w:b/>
                <w:bCs/>
                <w:color w:val="auto"/>
                <w:sz w:val="24"/>
                <w:szCs w:val="22"/>
              </w:rPr>
            </w:pPr>
            <w:r>
              <w:rPr>
                <w:rFonts w:hint="default" w:ascii="Times New Roman" w:hAnsi="Times New Roman" w:eastAsia="宋体" w:cs="Times New Roman"/>
                <w:b/>
                <w:bCs/>
                <w:color w:val="auto"/>
                <w:sz w:val="24"/>
                <w:szCs w:val="22"/>
              </w:rPr>
              <w:t>图4-1项目废气治理措施示意图</w:t>
            </w:r>
          </w:p>
          <w:p>
            <w:pPr>
              <w:jc w:val="center"/>
              <w:rPr>
                <w:rFonts w:hint="default" w:ascii="Times New Roman" w:hAnsi="Times New Roman" w:eastAsia="宋体" w:cs="Times New Roman"/>
                <w:b/>
                <w:color w:val="auto"/>
              </w:rPr>
            </w:pPr>
            <w:r>
              <w:rPr>
                <w:rFonts w:hint="default" w:ascii="Times New Roman" w:hAnsi="Times New Roman" w:eastAsia="宋体" w:cs="Times New Roman"/>
                <w:b/>
                <w:color w:val="auto"/>
                <w:sz w:val="24"/>
              </w:rPr>
              <w:t>表4-</w:t>
            </w:r>
            <w:r>
              <w:rPr>
                <w:rFonts w:hint="eastAsia" w:cs="Times New Roman"/>
                <w:b/>
                <w:color w:val="auto"/>
                <w:sz w:val="24"/>
                <w:lang w:val="en-US" w:eastAsia="zh-CN"/>
              </w:rPr>
              <w:t>3</w:t>
            </w:r>
            <w:r>
              <w:rPr>
                <w:rFonts w:hint="default" w:ascii="Times New Roman" w:hAnsi="Times New Roman" w:eastAsia="宋体" w:cs="Times New Roman"/>
                <w:b/>
                <w:color w:val="auto"/>
                <w:sz w:val="24"/>
              </w:rPr>
              <w:t xml:space="preserve"> 废气处理效果表</w:t>
            </w:r>
          </w:p>
          <w:tbl>
            <w:tblPr>
              <w:tblStyle w:val="22"/>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435"/>
              <w:gridCol w:w="2965"/>
              <w:gridCol w:w="284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275" w:type="pct"/>
                  <w:gridSpan w:val="2"/>
                  <w:shd w:val="clear" w:color="auto" w:fill="auto"/>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处理方式</w:t>
                  </w:r>
                </w:p>
              </w:tc>
              <w:tc>
                <w:tcPr>
                  <w:tcW w:w="1724" w:type="pct"/>
                  <w:shd w:val="clear" w:color="auto" w:fill="auto"/>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非甲烷总烃（FQ-</w:t>
                  </w:r>
                  <w:r>
                    <w:rPr>
                      <w:rFonts w:hint="default" w:ascii="Times New Roman" w:hAnsi="Times New Roman" w:eastAsia="宋体" w:cs="Times New Roman"/>
                      <w:b/>
                      <w:color w:val="auto"/>
                      <w:szCs w:val="21"/>
                      <w:lang w:val="en-US" w:eastAsia="zh-CN"/>
                    </w:rPr>
                    <w:t>1</w:t>
                  </w:r>
                  <w:r>
                    <w:rPr>
                      <w:rFonts w:hint="default" w:ascii="Times New Roman" w:hAnsi="Times New Roman" w:eastAsia="宋体" w:cs="Times New Roman"/>
                      <w:b/>
                      <w:color w:val="auto"/>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477" w:type="pct"/>
                  <w:vMerge w:val="restar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二级活性炭</w:t>
                  </w:r>
                </w:p>
              </w:tc>
              <w:tc>
                <w:tcPr>
                  <w:tcW w:w="1797"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进口（mg/m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w:t>
                  </w:r>
                </w:p>
              </w:tc>
              <w:tc>
                <w:tcPr>
                  <w:tcW w:w="1724"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50.39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477"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1797"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出口（mg/m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w:t>
                  </w:r>
                </w:p>
              </w:tc>
              <w:tc>
                <w:tcPr>
                  <w:tcW w:w="1724"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5.039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477"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1797"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去除率(%)</w:t>
                  </w:r>
                </w:p>
              </w:tc>
              <w:tc>
                <w:tcPr>
                  <w:tcW w:w="1724"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90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275" w:type="pct"/>
                  <w:gridSpan w:val="2"/>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总去除率%</w:t>
                  </w:r>
                </w:p>
              </w:tc>
              <w:tc>
                <w:tcPr>
                  <w:tcW w:w="1724"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90</w:t>
                  </w:r>
                </w:p>
              </w:tc>
            </w:tr>
          </w:tbl>
          <w:p>
            <w:pPr>
              <w:adjustRightInd w:val="0"/>
              <w:snapToGrid w:val="0"/>
              <w:spacing w:line="360" w:lineRule="auto"/>
              <w:ind w:firstLine="480" w:firstLineChars="200"/>
              <w:rPr>
                <w:rFonts w:hint="default" w:ascii="Times New Roman" w:hAnsi="Times New Roman" w:eastAsia="宋体" w:cs="Times New Roman"/>
                <w:bCs/>
                <w:color w:val="auto"/>
                <w:sz w:val="24"/>
                <w:lang w:val="en-US" w:eastAsia="zh-CN"/>
              </w:rPr>
            </w:pPr>
            <w:r>
              <w:rPr>
                <w:rFonts w:hint="default" w:ascii="Times New Roman" w:hAnsi="Times New Roman" w:eastAsia="宋体" w:cs="Times New Roman"/>
                <w:bCs/>
                <w:color w:val="auto"/>
                <w:sz w:val="24"/>
                <w:lang w:val="en-US" w:eastAsia="zh-CN"/>
              </w:rPr>
              <w:t>风机风量可行性分析：</w:t>
            </w:r>
          </w:p>
          <w:p>
            <w:pPr>
              <w:adjustRightInd w:val="0"/>
              <w:snapToGrid w:val="0"/>
              <w:spacing w:line="360" w:lineRule="auto"/>
              <w:ind w:firstLine="480" w:firstLineChars="200"/>
              <w:rPr>
                <w:rFonts w:hint="default" w:ascii="Times New Roman" w:hAnsi="Times New Roman" w:eastAsia="宋体" w:cs="Times New Roman"/>
                <w:bCs/>
                <w:color w:val="auto"/>
                <w:sz w:val="24"/>
                <w:lang w:val="en-US" w:eastAsia="zh-CN"/>
              </w:rPr>
            </w:pPr>
            <w:r>
              <w:rPr>
                <w:rFonts w:hint="default" w:ascii="Times New Roman" w:hAnsi="Times New Roman" w:eastAsia="宋体" w:cs="Times New Roman"/>
                <w:bCs/>
                <w:color w:val="auto"/>
                <w:sz w:val="24"/>
                <w:lang w:val="en-US" w:eastAsia="zh-CN"/>
              </w:rPr>
              <w:t>①电泳及烘干所需风机风量计算</w:t>
            </w:r>
          </w:p>
          <w:p>
            <w:pPr>
              <w:adjustRightInd w:val="0"/>
              <w:snapToGrid w:val="0"/>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本项目采用集气罩为伞形集气罩，位于</w:t>
            </w:r>
            <w:r>
              <w:rPr>
                <w:rFonts w:hint="default" w:ascii="Times New Roman" w:hAnsi="Times New Roman" w:eastAsia="宋体" w:cs="Times New Roman"/>
                <w:bCs/>
                <w:color w:val="auto"/>
                <w:sz w:val="24"/>
                <w:lang w:val="en-US" w:eastAsia="zh-CN"/>
              </w:rPr>
              <w:t>电泳槽上方及烘干线</w:t>
            </w:r>
            <w:r>
              <w:rPr>
                <w:rFonts w:hint="eastAsia" w:cs="Times New Roman"/>
                <w:bCs/>
                <w:color w:val="auto"/>
                <w:sz w:val="24"/>
                <w:lang w:val="en-US" w:eastAsia="zh-CN"/>
              </w:rPr>
              <w:t>出口</w:t>
            </w:r>
            <w:r>
              <w:rPr>
                <w:rFonts w:hint="default" w:ascii="Times New Roman" w:hAnsi="Times New Roman" w:eastAsia="宋体" w:cs="Times New Roman"/>
                <w:bCs/>
                <w:color w:val="auto"/>
                <w:sz w:val="24"/>
                <w:lang w:eastAsia="zh-CN"/>
              </w:rPr>
              <w:t>，</w:t>
            </w:r>
            <w:r>
              <w:rPr>
                <w:rFonts w:hint="default" w:ascii="Times New Roman" w:hAnsi="Times New Roman" w:eastAsia="宋体" w:cs="Times New Roman"/>
                <w:bCs/>
                <w:color w:val="auto"/>
                <w:sz w:val="24"/>
              </w:rPr>
              <w:t>参考《除尘技术手册》（张殿印、张学义编著）中关于热设备伞形集气吸尘罩（低悬罩）的风量计算。</w:t>
            </w:r>
          </w:p>
          <w:p>
            <w:pPr>
              <w:adjustRightInd w:val="0"/>
              <w:snapToGrid w:val="0"/>
              <w:spacing w:line="360" w:lineRule="auto"/>
              <w:ind w:firstLine="480" w:firstLineChars="200"/>
              <w:jc w:val="left"/>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热设备水平面对流散热量W</w:t>
            </w:r>
          </w:p>
          <w:p>
            <w:pPr>
              <w:pStyle w:val="2"/>
              <w:spacing w:after="0" w:line="360" w:lineRule="auto"/>
              <w:ind w:left="0" w:leftChars="0" w:right="0" w:rightChars="0"/>
              <w:jc w:val="center"/>
              <w:rPr>
                <w:rFonts w:hint="default" w:ascii="Times New Roman" w:hAnsi="Times New Roman" w:eastAsia="宋体" w:cs="Times New Roman"/>
                <w:color w:val="auto"/>
              </w:rPr>
            </w:pPr>
            <w:r>
              <w:rPr>
                <w:rFonts w:hint="default" w:ascii="Times New Roman" w:hAnsi="Times New Roman" w:eastAsia="宋体" w:cs="Times New Roman"/>
                <w:color w:val="auto"/>
              </w:rPr>
              <w:t>W=</w:t>
            </w:r>
            <w:r>
              <w:rPr>
                <w:rFonts w:hint="default" w:ascii="Times New Roman" w:hAnsi="Times New Roman" w:eastAsia="宋体" w:cs="Times New Roman"/>
                <w:color w:val="auto"/>
                <w:position w:val="-24"/>
              </w:rPr>
              <w:object>
                <v:shape id="_x0000_i1030" o:spt="75" type="#_x0000_t75" style="height:33.4pt;width:78.9pt;" o:ole="t" filled="f" o:preferrelative="t" stroked="f" coordsize="21600,21600">
                  <v:path/>
                  <v:fill on="f" focussize="0,0"/>
                  <v:stroke on="f" joinstyle="miter"/>
                  <v:imagedata r:id="rId25" o:title=""/>
                  <o:lock v:ext="edit" aspectratio="t"/>
                  <w10:wrap type="none"/>
                  <w10:anchorlock/>
                </v:shape>
                <o:OLEObject Type="Embed" ProgID="Equation.3" ShapeID="_x0000_i1030" DrawAspect="Content" ObjectID="_1468075730" r:id="rId24">
                  <o:LockedField>false</o:LockedField>
                </o:OLEObject>
              </w:object>
            </w:r>
          </w:p>
          <w:p>
            <w:pPr>
              <w:adjustRightInd w:val="0"/>
              <w:snapToGrid w:val="0"/>
              <w:spacing w:line="360" w:lineRule="auto"/>
              <w:ind w:firstLine="480" w:firstLineChars="200"/>
              <w:jc w:val="left"/>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其中：W——热设备水平面对流散热量，kJ/s；</w:t>
            </w:r>
          </w:p>
          <w:p>
            <w:pPr>
              <w:adjustRightInd w:val="0"/>
              <w:snapToGrid w:val="0"/>
              <w:spacing w:line="360" w:lineRule="auto"/>
              <w:ind w:firstLine="1200" w:firstLineChars="500"/>
              <w:jc w:val="left"/>
              <w:rPr>
                <w:rFonts w:hint="default" w:ascii="Times New Roman" w:hAnsi="Times New Roman" w:eastAsia="宋体" w:cs="Times New Roman"/>
                <w:bCs/>
                <w:color w:val="auto"/>
                <w:sz w:val="24"/>
                <w:lang w:val="en-US" w:eastAsia="zh-CN"/>
              </w:rPr>
            </w:pPr>
            <w:r>
              <w:rPr>
                <w:rFonts w:hint="default" w:ascii="Times New Roman" w:hAnsi="Times New Roman" w:eastAsia="宋体" w:cs="Times New Roman"/>
                <w:bCs/>
                <w:color w:val="auto"/>
                <w:sz w:val="24"/>
              </w:rPr>
              <w:t>S——热设备水平表面积，m</w:t>
            </w:r>
            <w:r>
              <w:rPr>
                <w:rFonts w:hint="default" w:ascii="Times New Roman" w:hAnsi="Times New Roman" w:eastAsia="宋体" w:cs="Times New Roman"/>
                <w:bCs/>
                <w:color w:val="auto"/>
                <w:sz w:val="24"/>
                <w:vertAlign w:val="superscript"/>
              </w:rPr>
              <w:t>2</w:t>
            </w:r>
            <w:r>
              <w:rPr>
                <w:rFonts w:hint="default" w:ascii="Times New Roman" w:hAnsi="Times New Roman" w:eastAsia="宋体" w:cs="Times New Roman"/>
                <w:bCs/>
                <w:color w:val="auto"/>
                <w:sz w:val="24"/>
              </w:rPr>
              <w:t>；</w:t>
            </w:r>
            <w:r>
              <w:rPr>
                <w:rFonts w:hint="default" w:ascii="Times New Roman" w:hAnsi="Times New Roman" w:eastAsia="宋体" w:cs="Times New Roman"/>
                <w:bCs/>
                <w:color w:val="auto"/>
                <w:sz w:val="24"/>
                <w:lang w:val="en-US" w:eastAsia="zh-CN"/>
              </w:rPr>
              <w:t>电泳池表面积</w:t>
            </w:r>
            <w:r>
              <w:rPr>
                <w:rFonts w:hint="default" w:ascii="Times New Roman" w:hAnsi="Times New Roman" w:eastAsia="宋体" w:cs="Times New Roman"/>
                <w:bCs/>
                <w:color w:val="auto"/>
                <w:sz w:val="24"/>
              </w:rPr>
              <w:t>约为</w:t>
            </w:r>
            <w:r>
              <w:rPr>
                <w:rFonts w:hint="default" w:ascii="Times New Roman" w:hAnsi="Times New Roman" w:eastAsia="宋体" w:cs="Times New Roman"/>
                <w:bCs/>
                <w:color w:val="auto"/>
                <w:sz w:val="24"/>
                <w:lang w:val="en-US" w:eastAsia="zh-CN"/>
              </w:rPr>
              <w:t>13.2</w:t>
            </w:r>
            <w:r>
              <w:rPr>
                <w:rFonts w:hint="default" w:ascii="Times New Roman" w:hAnsi="Times New Roman" w:eastAsia="宋体" w:cs="Times New Roman"/>
                <w:bCs/>
                <w:color w:val="auto"/>
                <w:sz w:val="24"/>
              </w:rPr>
              <w:t>m</w:t>
            </w:r>
            <w:r>
              <w:rPr>
                <w:rFonts w:hint="default" w:ascii="Times New Roman" w:hAnsi="Times New Roman" w:eastAsia="宋体" w:cs="Times New Roman"/>
                <w:bCs/>
                <w:color w:val="auto"/>
                <w:sz w:val="24"/>
                <w:vertAlign w:val="superscript"/>
              </w:rPr>
              <w:t>2</w:t>
            </w:r>
            <w:r>
              <w:rPr>
                <w:rFonts w:hint="default" w:ascii="Times New Roman" w:hAnsi="Times New Roman" w:eastAsia="宋体" w:cs="Times New Roman"/>
                <w:bCs/>
                <w:color w:val="auto"/>
                <w:sz w:val="24"/>
                <w:lang w:eastAsia="zh-CN"/>
              </w:rPr>
              <w:t>，</w:t>
            </w:r>
            <w:r>
              <w:rPr>
                <w:rFonts w:hint="default" w:ascii="Times New Roman" w:hAnsi="Times New Roman" w:eastAsia="宋体" w:cs="Times New Roman"/>
                <w:bCs/>
                <w:color w:val="auto"/>
                <w:sz w:val="24"/>
                <w:lang w:val="en-US" w:eastAsia="zh-CN"/>
              </w:rPr>
              <w:t>烘干线约6m</w:t>
            </w:r>
            <w:r>
              <w:rPr>
                <w:rFonts w:hint="default" w:ascii="Times New Roman" w:hAnsi="Times New Roman" w:eastAsia="宋体" w:cs="Times New Roman"/>
                <w:bCs/>
                <w:color w:val="auto"/>
                <w:sz w:val="24"/>
                <w:vertAlign w:val="superscript"/>
                <w:lang w:val="en-US" w:eastAsia="zh-CN"/>
              </w:rPr>
              <w:t>2</w:t>
            </w:r>
            <w:r>
              <w:rPr>
                <w:rFonts w:hint="default" w:ascii="Times New Roman" w:hAnsi="Times New Roman" w:eastAsia="宋体" w:cs="Times New Roman"/>
                <w:bCs/>
                <w:color w:val="auto"/>
                <w:sz w:val="24"/>
                <w:vertAlign w:val="baseline"/>
                <w:lang w:val="en-US" w:eastAsia="zh-CN"/>
              </w:rPr>
              <w:t>。</w:t>
            </w:r>
          </w:p>
          <w:p>
            <w:pPr>
              <w:adjustRightInd w:val="0"/>
              <w:snapToGrid w:val="0"/>
              <w:spacing w:line="360" w:lineRule="auto"/>
              <w:ind w:firstLine="1200" w:firstLineChars="500"/>
              <w:jc w:val="left"/>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t</w:t>
            </w:r>
            <w:r>
              <w:rPr>
                <w:rFonts w:hint="default" w:ascii="Times New Roman" w:hAnsi="Times New Roman" w:eastAsia="宋体" w:cs="Times New Roman"/>
                <w:bCs/>
                <w:color w:val="auto"/>
                <w:sz w:val="24"/>
                <w:vertAlign w:val="subscript"/>
              </w:rPr>
              <w:t>n</w:t>
            </w:r>
            <w:r>
              <w:rPr>
                <w:rFonts w:hint="default" w:ascii="Times New Roman" w:hAnsi="Times New Roman" w:eastAsia="宋体" w:cs="Times New Roman"/>
                <w:bCs/>
                <w:color w:val="auto"/>
                <w:sz w:val="24"/>
              </w:rPr>
              <w:t>——热设备水平表面温度，℃；</w:t>
            </w:r>
            <w:r>
              <w:rPr>
                <w:rFonts w:hint="default" w:ascii="Times New Roman" w:hAnsi="Times New Roman" w:eastAsia="宋体" w:cs="Times New Roman"/>
                <w:bCs/>
                <w:color w:val="auto"/>
                <w:sz w:val="24"/>
                <w:lang w:val="en-US" w:eastAsia="zh-CN"/>
              </w:rPr>
              <w:t>电泳池</w:t>
            </w:r>
            <w:r>
              <w:rPr>
                <w:rFonts w:hint="default" w:ascii="Times New Roman" w:hAnsi="Times New Roman" w:eastAsia="宋体" w:cs="Times New Roman"/>
                <w:bCs/>
                <w:color w:val="auto"/>
                <w:sz w:val="24"/>
              </w:rPr>
              <w:t>约为</w:t>
            </w:r>
            <w:r>
              <w:rPr>
                <w:rFonts w:hint="default" w:ascii="Times New Roman" w:hAnsi="Times New Roman" w:eastAsia="宋体" w:cs="Times New Roman"/>
                <w:bCs/>
                <w:color w:val="auto"/>
                <w:sz w:val="24"/>
                <w:lang w:val="en-US" w:eastAsia="zh-CN"/>
              </w:rPr>
              <w:t>34</w:t>
            </w:r>
            <w:r>
              <w:rPr>
                <w:rFonts w:hint="default" w:ascii="Times New Roman" w:hAnsi="Times New Roman" w:eastAsia="宋体" w:cs="Times New Roman"/>
                <w:bCs/>
                <w:color w:val="auto"/>
                <w:sz w:val="24"/>
              </w:rPr>
              <w:t>℃</w:t>
            </w:r>
            <w:r>
              <w:rPr>
                <w:rFonts w:hint="default" w:ascii="Times New Roman" w:hAnsi="Times New Roman" w:eastAsia="宋体" w:cs="Times New Roman"/>
                <w:bCs/>
                <w:color w:val="auto"/>
                <w:sz w:val="24"/>
                <w:lang w:eastAsia="zh-CN"/>
              </w:rPr>
              <w:t>，</w:t>
            </w:r>
            <w:r>
              <w:rPr>
                <w:rFonts w:hint="default" w:ascii="Times New Roman" w:hAnsi="Times New Roman" w:eastAsia="宋体" w:cs="Times New Roman"/>
                <w:bCs/>
                <w:color w:val="auto"/>
                <w:sz w:val="24"/>
                <w:lang w:val="en-US" w:eastAsia="zh-CN"/>
              </w:rPr>
              <w:t>烘干线约为210</w:t>
            </w:r>
            <w:r>
              <w:rPr>
                <w:rFonts w:hint="default" w:ascii="Times New Roman" w:hAnsi="Times New Roman" w:eastAsia="宋体" w:cs="Times New Roman"/>
                <w:bCs/>
                <w:color w:val="auto"/>
                <w:sz w:val="24"/>
              </w:rPr>
              <w:t>℃。</w:t>
            </w:r>
          </w:p>
          <w:p>
            <w:pPr>
              <w:adjustRightInd w:val="0"/>
              <w:snapToGrid w:val="0"/>
              <w:spacing w:line="360" w:lineRule="auto"/>
              <w:ind w:firstLine="1200" w:firstLineChars="500"/>
              <w:jc w:val="left"/>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t——周围空气温度，℃；本项目约为25℃。</w:t>
            </w:r>
          </w:p>
          <w:p>
            <w:pPr>
              <w:adjustRightInd w:val="0"/>
              <w:snapToGrid w:val="0"/>
              <w:spacing w:line="360" w:lineRule="auto"/>
              <w:ind w:firstLine="480" w:firstLineChars="200"/>
              <w:jc w:val="left"/>
              <w:rPr>
                <w:rFonts w:hint="default" w:ascii="Times New Roman" w:hAnsi="Times New Roman" w:eastAsia="宋体" w:cs="Times New Roman"/>
                <w:bCs/>
                <w:color w:val="auto"/>
                <w:sz w:val="24"/>
              </w:rPr>
            </w:pPr>
          </w:p>
          <w:p>
            <w:pPr>
              <w:spacing w:line="360" w:lineRule="auto"/>
              <w:jc w:val="center"/>
              <w:rPr>
                <w:rFonts w:hint="default" w:ascii="Times New Roman" w:hAnsi="Times New Roman" w:eastAsia="宋体" w:cs="Times New Roman"/>
                <w:color w:val="auto"/>
                <w:sz w:val="24"/>
              </w:rPr>
            </w:pPr>
            <w:r>
              <w:rPr>
                <w:rFonts w:hint="default" w:ascii="Times New Roman" w:hAnsi="Times New Roman" w:eastAsia="宋体" w:cs="Times New Roman"/>
                <w:bCs/>
                <w:color w:val="auto"/>
                <w:sz w:val="24"/>
                <w:lang w:val="en-US" w:eastAsia="zh-CN"/>
              </w:rPr>
              <w:t>W</w:t>
            </w:r>
            <w:r>
              <w:rPr>
                <w:rFonts w:hint="default" w:ascii="Times New Roman" w:hAnsi="Times New Roman" w:eastAsia="宋体" w:cs="Times New Roman"/>
                <w:bCs/>
                <w:color w:val="auto"/>
                <w:sz w:val="24"/>
                <w:vertAlign w:val="subscript"/>
                <w:lang w:val="en-US" w:eastAsia="zh-CN"/>
              </w:rPr>
              <w:t>电泳</w:t>
            </w:r>
            <w:r>
              <w:rPr>
                <w:rFonts w:hint="eastAsia" w:cs="Times New Roman"/>
                <w:bCs/>
                <w:color w:val="auto"/>
                <w:sz w:val="24"/>
                <w:vertAlign w:val="subscript"/>
                <w:lang w:val="en-US" w:eastAsia="zh-CN"/>
              </w:rPr>
              <w:t>槽</w:t>
            </w:r>
            <w:r>
              <w:rPr>
                <w:rFonts w:hint="default" w:ascii="Times New Roman" w:hAnsi="Times New Roman" w:eastAsia="宋体" w:cs="Times New Roman"/>
                <w:bCs/>
                <w:color w:val="auto"/>
                <w:sz w:val="24"/>
              </w:rPr>
              <w:t>=</w:t>
            </w:r>
            <m:oMath>
              <m:f>
                <m:fPr>
                  <m:ctrlPr>
                    <w:rPr>
                      <w:rFonts w:hint="default" w:ascii="Cambria Math" w:hAnsi="Cambria Math" w:eastAsia="宋体" w:cs="Times New Roman"/>
                      <w:bCs/>
                      <w:color w:val="auto"/>
                      <w:sz w:val="24"/>
                    </w:rPr>
                  </m:ctrlPr>
                </m:fPr>
                <m:num>
                  <m:r>
                    <m:rPr>
                      <m:sty m:val="p"/>
                    </m:rPr>
                    <w:rPr>
                      <w:rFonts w:hint="default" w:ascii="Cambria Math" w:hAnsi="Cambria Math" w:eastAsia="宋体" w:cs="Times New Roman"/>
                      <w:color w:val="auto"/>
                      <w:sz w:val="24"/>
                    </w:rPr>
                    <m:t>9∗</m:t>
                  </m:r>
                  <m:sSup>
                    <m:sSupPr>
                      <m:ctrlPr>
                        <w:rPr>
                          <w:rFonts w:hint="default" w:ascii="Cambria Math" w:hAnsi="Cambria Math" w:eastAsia="宋体" w:cs="Times New Roman"/>
                          <w:bCs/>
                          <w:color w:val="auto"/>
                          <w:sz w:val="24"/>
                        </w:rPr>
                      </m:ctrlPr>
                    </m:sSupPr>
                    <m:e>
                      <m:r>
                        <m:rPr>
                          <m:sty m:val="p"/>
                        </m:rPr>
                        <w:rPr>
                          <w:rFonts w:hint="default" w:ascii="Cambria Math" w:hAnsi="Cambria Math" w:eastAsia="宋体" w:cs="Times New Roman"/>
                          <w:color w:val="auto"/>
                          <w:sz w:val="24"/>
                        </w:rPr>
                        <m:t>(</m:t>
                      </m:r>
                      <m:r>
                        <m:rPr>
                          <m:sty m:val="p"/>
                        </m:rPr>
                        <w:rPr>
                          <w:rFonts w:hint="default" w:ascii="Cambria Math" w:hAnsi="Cambria Math" w:eastAsia="宋体" w:cs="Times New Roman"/>
                          <w:color w:val="auto"/>
                          <w:sz w:val="24"/>
                          <w:lang w:val="en-US" w:eastAsia="zh-CN"/>
                        </w:rPr>
                        <m:t>34</m:t>
                      </m:r>
                      <m:r>
                        <m:rPr>
                          <m:sty m:val="p"/>
                        </m:rPr>
                        <w:rPr>
                          <w:rFonts w:hint="default" w:ascii="Cambria Math" w:hAnsi="Cambria Math" w:eastAsia="宋体" w:cs="Times New Roman"/>
                          <w:color w:val="auto"/>
                          <w:sz w:val="24"/>
                        </w:rPr>
                        <m:t>−25)</m:t>
                      </m:r>
                      <m:ctrlPr>
                        <w:rPr>
                          <w:rFonts w:hint="default" w:ascii="Cambria Math" w:hAnsi="Cambria Math" w:eastAsia="宋体" w:cs="Times New Roman"/>
                          <w:bCs/>
                          <w:color w:val="auto"/>
                          <w:sz w:val="24"/>
                        </w:rPr>
                      </m:ctrlPr>
                    </m:e>
                    <m:sup>
                      <m:r>
                        <m:rPr>
                          <m:sty m:val="p"/>
                        </m:rPr>
                        <w:rPr>
                          <w:rFonts w:hint="default" w:ascii="Cambria Math" w:hAnsi="Cambria Math" w:eastAsia="宋体" w:cs="Times New Roman"/>
                          <w:color w:val="auto"/>
                          <w:sz w:val="24"/>
                        </w:rPr>
                        <m:t>1.25</m:t>
                      </m:r>
                      <m:ctrlPr>
                        <w:rPr>
                          <w:rFonts w:hint="default" w:ascii="Cambria Math" w:hAnsi="Cambria Math" w:eastAsia="宋体" w:cs="Times New Roman"/>
                          <w:bCs/>
                          <w:color w:val="auto"/>
                          <w:sz w:val="24"/>
                        </w:rPr>
                      </m:ctrlPr>
                    </m:sup>
                  </m:sSup>
                  <m:r>
                    <m:rPr>
                      <m:sty m:val="p"/>
                    </m:rPr>
                    <w:rPr>
                      <w:rFonts w:hint="default" w:ascii="Cambria Math" w:hAnsi="Cambria Math" w:eastAsia="宋体" w:cs="Times New Roman"/>
                      <w:color w:val="auto"/>
                      <w:sz w:val="24"/>
                    </w:rPr>
                    <m:t>∗</m:t>
                  </m:r>
                  <m:r>
                    <m:rPr>
                      <m:sty m:val="p"/>
                    </m:rPr>
                    <w:rPr>
                      <w:rFonts w:hint="default" w:ascii="Cambria Math" w:hAnsi="Cambria Math" w:eastAsia="宋体" w:cs="Times New Roman"/>
                      <w:color w:val="auto"/>
                      <w:sz w:val="24"/>
                      <w:lang w:val="en-US" w:eastAsia="zh-CN"/>
                    </w:rPr>
                    <m:t>13.2</m:t>
                  </m:r>
                  <m:ctrlPr>
                    <w:rPr>
                      <w:rFonts w:hint="default" w:ascii="Cambria Math" w:hAnsi="Cambria Math" w:eastAsia="宋体" w:cs="Times New Roman"/>
                      <w:bCs/>
                      <w:color w:val="auto"/>
                      <w:sz w:val="24"/>
                    </w:rPr>
                  </m:ctrlPr>
                </m:num>
                <m:den>
                  <m:r>
                    <m:rPr>
                      <m:sty m:val="p"/>
                    </m:rPr>
                    <w:rPr>
                      <w:rFonts w:hint="default" w:ascii="Cambria Math" w:hAnsi="Cambria Math" w:eastAsia="宋体" w:cs="Times New Roman"/>
                      <w:color w:val="auto"/>
                      <w:sz w:val="24"/>
                    </w:rPr>
                    <m:t>3600</m:t>
                  </m:r>
                  <m:ctrlPr>
                    <w:rPr>
                      <w:rFonts w:hint="default" w:ascii="Cambria Math" w:hAnsi="Cambria Math" w:eastAsia="宋体" w:cs="Times New Roman"/>
                      <w:bCs/>
                      <w:color w:val="auto"/>
                      <w:sz w:val="24"/>
                    </w:rPr>
                  </m:ctrlPr>
                </m:den>
              </m:f>
            </m:oMath>
            <w:r>
              <w:rPr>
                <w:rFonts w:hint="default" w:ascii="Times New Roman" w:hAnsi="Times New Roman" w:eastAsia="宋体" w:cs="Times New Roman"/>
                <w:bCs/>
                <w:color w:val="auto"/>
                <w:sz w:val="24"/>
              </w:rPr>
              <w:t>=</w:t>
            </w:r>
            <w:r>
              <w:rPr>
                <w:rFonts w:hint="default" w:ascii="Times New Roman" w:hAnsi="Times New Roman" w:eastAsia="宋体" w:cs="Times New Roman"/>
                <w:bCs/>
                <w:color w:val="auto"/>
                <w:sz w:val="24"/>
                <w:lang w:val="en-US" w:eastAsia="zh-CN"/>
              </w:rPr>
              <w:t>0.51</w:t>
            </w:r>
            <w:r>
              <w:rPr>
                <w:rFonts w:hint="default" w:ascii="Times New Roman" w:hAnsi="Times New Roman" w:eastAsia="宋体" w:cs="Times New Roman"/>
                <w:color w:val="auto"/>
                <w:sz w:val="24"/>
              </w:rPr>
              <w:t>kJ/s</w:t>
            </w:r>
          </w:p>
          <w:p>
            <w:pPr>
              <w:spacing w:line="360" w:lineRule="auto"/>
              <w:jc w:val="center"/>
              <w:rPr>
                <w:rFonts w:hint="default" w:ascii="Times New Roman" w:hAnsi="Times New Roman" w:eastAsia="宋体" w:cs="Times New Roman"/>
                <w:color w:val="auto"/>
              </w:rPr>
            </w:pPr>
            <w:r>
              <w:rPr>
                <w:rFonts w:hint="default" w:ascii="Times New Roman" w:hAnsi="Times New Roman" w:eastAsia="宋体" w:cs="Times New Roman"/>
                <w:bCs/>
                <w:color w:val="auto"/>
                <w:sz w:val="24"/>
                <w:lang w:val="en-US" w:eastAsia="zh-CN"/>
              </w:rPr>
              <w:t>W</w:t>
            </w:r>
            <w:r>
              <w:rPr>
                <w:rFonts w:hint="default" w:ascii="Times New Roman" w:hAnsi="Times New Roman" w:eastAsia="宋体" w:cs="Times New Roman"/>
                <w:bCs/>
                <w:color w:val="auto"/>
                <w:sz w:val="24"/>
                <w:vertAlign w:val="subscript"/>
                <w:lang w:val="en-US" w:eastAsia="zh-CN"/>
              </w:rPr>
              <w:t>烘干线</w:t>
            </w:r>
            <w:r>
              <w:rPr>
                <w:rFonts w:hint="default" w:ascii="Times New Roman" w:hAnsi="Times New Roman" w:eastAsia="宋体" w:cs="Times New Roman"/>
                <w:bCs/>
                <w:color w:val="auto"/>
                <w:sz w:val="24"/>
              </w:rPr>
              <w:t>=</w:t>
            </w:r>
            <m:oMath>
              <m:f>
                <m:fPr>
                  <m:ctrlPr>
                    <w:rPr>
                      <w:rFonts w:hint="default" w:ascii="Cambria Math" w:hAnsi="Cambria Math" w:eastAsia="宋体" w:cs="Times New Roman"/>
                      <w:bCs/>
                      <w:color w:val="auto"/>
                      <w:sz w:val="24"/>
                    </w:rPr>
                  </m:ctrlPr>
                </m:fPr>
                <m:num>
                  <m:r>
                    <m:rPr>
                      <m:sty m:val="p"/>
                    </m:rPr>
                    <w:rPr>
                      <w:rFonts w:hint="default" w:ascii="Cambria Math" w:hAnsi="Cambria Math" w:eastAsia="宋体" w:cs="Times New Roman"/>
                      <w:color w:val="auto"/>
                      <w:sz w:val="24"/>
                    </w:rPr>
                    <m:t>9∗</m:t>
                  </m:r>
                  <m:sSup>
                    <m:sSupPr>
                      <m:ctrlPr>
                        <w:rPr>
                          <w:rFonts w:hint="default" w:ascii="Cambria Math" w:hAnsi="Cambria Math" w:eastAsia="宋体" w:cs="Times New Roman"/>
                          <w:bCs/>
                          <w:color w:val="auto"/>
                          <w:sz w:val="24"/>
                        </w:rPr>
                      </m:ctrlPr>
                    </m:sSupPr>
                    <m:e>
                      <m:r>
                        <m:rPr>
                          <m:sty m:val="p"/>
                        </m:rPr>
                        <w:rPr>
                          <w:rFonts w:hint="default" w:ascii="Cambria Math" w:hAnsi="Cambria Math" w:eastAsia="宋体" w:cs="Times New Roman"/>
                          <w:color w:val="auto"/>
                          <w:sz w:val="24"/>
                        </w:rPr>
                        <m:t>(</m:t>
                      </m:r>
                      <m:r>
                        <m:rPr>
                          <m:sty m:val="p"/>
                        </m:rPr>
                        <w:rPr>
                          <w:rFonts w:hint="default" w:ascii="Cambria Math" w:hAnsi="Cambria Math" w:eastAsia="宋体" w:cs="Times New Roman"/>
                          <w:color w:val="auto"/>
                          <w:sz w:val="24"/>
                          <w:lang w:val="en-US" w:eastAsia="zh-CN"/>
                        </w:rPr>
                        <m:t>210</m:t>
                      </m:r>
                      <m:r>
                        <m:rPr>
                          <m:sty m:val="p"/>
                        </m:rPr>
                        <w:rPr>
                          <w:rFonts w:hint="default" w:ascii="Cambria Math" w:hAnsi="Cambria Math" w:eastAsia="宋体" w:cs="Times New Roman"/>
                          <w:color w:val="auto"/>
                          <w:sz w:val="24"/>
                        </w:rPr>
                        <m:t>−25)</m:t>
                      </m:r>
                      <m:ctrlPr>
                        <w:rPr>
                          <w:rFonts w:hint="default" w:ascii="Cambria Math" w:hAnsi="Cambria Math" w:eastAsia="宋体" w:cs="Times New Roman"/>
                          <w:bCs/>
                          <w:color w:val="auto"/>
                          <w:sz w:val="24"/>
                        </w:rPr>
                      </m:ctrlPr>
                    </m:e>
                    <m:sup>
                      <m:r>
                        <m:rPr>
                          <m:sty m:val="p"/>
                        </m:rPr>
                        <w:rPr>
                          <w:rFonts w:hint="default" w:ascii="Cambria Math" w:hAnsi="Cambria Math" w:eastAsia="宋体" w:cs="Times New Roman"/>
                          <w:color w:val="auto"/>
                          <w:sz w:val="24"/>
                        </w:rPr>
                        <m:t>1.25</m:t>
                      </m:r>
                      <m:ctrlPr>
                        <w:rPr>
                          <w:rFonts w:hint="default" w:ascii="Cambria Math" w:hAnsi="Cambria Math" w:eastAsia="宋体" w:cs="Times New Roman"/>
                          <w:bCs/>
                          <w:color w:val="auto"/>
                          <w:sz w:val="24"/>
                        </w:rPr>
                      </m:ctrlPr>
                    </m:sup>
                  </m:sSup>
                  <m:r>
                    <m:rPr>
                      <m:sty m:val="p"/>
                    </m:rPr>
                    <w:rPr>
                      <w:rFonts w:hint="default" w:ascii="Cambria Math" w:hAnsi="Cambria Math" w:eastAsia="宋体" w:cs="Times New Roman"/>
                      <w:color w:val="auto"/>
                      <w:sz w:val="24"/>
                    </w:rPr>
                    <m:t>∗</m:t>
                  </m:r>
                  <m:r>
                    <m:rPr>
                      <m:sty m:val="p"/>
                    </m:rPr>
                    <w:rPr>
                      <w:rFonts w:hint="default" w:ascii="Cambria Math" w:hAnsi="Cambria Math" w:eastAsia="宋体" w:cs="Times New Roman"/>
                      <w:color w:val="auto"/>
                      <w:sz w:val="24"/>
                      <w:lang w:val="en-US" w:eastAsia="zh-CN"/>
                    </w:rPr>
                    <m:t>6</m:t>
                  </m:r>
                  <m:ctrlPr>
                    <w:rPr>
                      <w:rFonts w:hint="default" w:ascii="Cambria Math" w:hAnsi="Cambria Math" w:eastAsia="宋体" w:cs="Times New Roman"/>
                      <w:bCs/>
                      <w:color w:val="auto"/>
                      <w:sz w:val="24"/>
                    </w:rPr>
                  </m:ctrlPr>
                </m:num>
                <m:den>
                  <m:r>
                    <m:rPr>
                      <m:sty m:val="p"/>
                    </m:rPr>
                    <w:rPr>
                      <w:rFonts w:hint="default" w:ascii="Cambria Math" w:hAnsi="Cambria Math" w:eastAsia="宋体" w:cs="Times New Roman"/>
                      <w:color w:val="auto"/>
                      <w:sz w:val="24"/>
                    </w:rPr>
                    <m:t>3600</m:t>
                  </m:r>
                  <m:ctrlPr>
                    <w:rPr>
                      <w:rFonts w:hint="default" w:ascii="Cambria Math" w:hAnsi="Cambria Math" w:eastAsia="宋体" w:cs="Times New Roman"/>
                      <w:bCs/>
                      <w:color w:val="auto"/>
                      <w:sz w:val="24"/>
                    </w:rPr>
                  </m:ctrlPr>
                </m:den>
              </m:f>
            </m:oMath>
            <w:r>
              <w:rPr>
                <w:rFonts w:hint="default" w:ascii="Times New Roman" w:hAnsi="Times New Roman" w:eastAsia="宋体" w:cs="Times New Roman"/>
                <w:bCs/>
                <w:color w:val="auto"/>
                <w:sz w:val="24"/>
              </w:rPr>
              <w:t>=</w:t>
            </w:r>
            <w:r>
              <w:rPr>
                <w:rFonts w:hint="default" w:ascii="Times New Roman" w:hAnsi="Times New Roman" w:eastAsia="宋体" w:cs="Times New Roman"/>
                <w:bCs/>
                <w:color w:val="auto"/>
                <w:sz w:val="24"/>
                <w:lang w:val="en-US" w:eastAsia="zh-CN"/>
              </w:rPr>
              <w:t>10.23</w:t>
            </w:r>
            <w:r>
              <w:rPr>
                <w:rFonts w:hint="default" w:ascii="Times New Roman" w:hAnsi="Times New Roman" w:eastAsia="宋体" w:cs="Times New Roman"/>
                <w:color w:val="auto"/>
                <w:sz w:val="24"/>
              </w:rPr>
              <w:t>kJ/s</w:t>
            </w:r>
          </w:p>
          <w:p>
            <w:pPr>
              <w:spacing w:line="360" w:lineRule="auto"/>
              <w:jc w:val="center"/>
              <w:rPr>
                <w:rFonts w:hint="default" w:ascii="Times New Roman" w:hAnsi="Times New Roman" w:eastAsia="宋体" w:cs="Times New Roman"/>
                <w:color w:val="auto"/>
              </w:rPr>
            </w:pPr>
          </w:p>
          <w:p>
            <w:pPr>
              <w:adjustRightInd w:val="0"/>
              <w:snapToGrid w:val="0"/>
              <w:spacing w:line="360" w:lineRule="auto"/>
              <w:ind w:firstLine="1200" w:firstLineChars="500"/>
              <w:jc w:val="left"/>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低悬罩的排烟量Q</w:t>
            </w:r>
          </w:p>
          <w:p>
            <w:pPr>
              <w:tabs>
                <w:tab w:val="left" w:pos="3780"/>
              </w:tabs>
              <w:adjustRightInd w:val="0"/>
              <w:snapToGrid w:val="0"/>
              <w:spacing w:line="360" w:lineRule="auto"/>
              <w:ind w:firstLine="1200" w:firstLineChars="500"/>
              <w:jc w:val="left"/>
              <w:rPr>
                <w:rFonts w:hint="default" w:ascii="Times New Roman" w:hAnsi="Times New Roman" w:eastAsia="宋体" w:cs="Times New Roman"/>
                <w:bCs/>
                <w:color w:val="auto"/>
                <w:sz w:val="24"/>
                <w:vertAlign w:val="superscript"/>
              </w:rPr>
            </w:pPr>
            <w:r>
              <w:rPr>
                <w:rFonts w:hint="default" w:ascii="Times New Roman" w:hAnsi="Times New Roman" w:eastAsia="宋体" w:cs="Times New Roman"/>
                <w:bCs/>
                <w:color w:val="auto"/>
                <w:sz w:val="24"/>
              </w:rPr>
              <w:t>Q=0.4（W*h*S</w:t>
            </w:r>
            <w:r>
              <w:rPr>
                <w:rFonts w:hint="default" w:ascii="Times New Roman" w:hAnsi="Times New Roman" w:eastAsia="宋体" w:cs="Times New Roman"/>
                <w:bCs/>
                <w:color w:val="auto"/>
                <w:sz w:val="24"/>
                <w:vertAlign w:val="superscript"/>
              </w:rPr>
              <w:t>2</w:t>
            </w:r>
            <w:r>
              <w:rPr>
                <w:rFonts w:hint="default" w:ascii="Times New Roman" w:hAnsi="Times New Roman" w:eastAsia="宋体" w:cs="Times New Roman"/>
                <w:bCs/>
                <w:color w:val="auto"/>
                <w:sz w:val="24"/>
              </w:rPr>
              <w:t>）</w:t>
            </w:r>
            <w:r>
              <w:rPr>
                <w:rFonts w:hint="default" w:ascii="Times New Roman" w:hAnsi="Times New Roman" w:eastAsia="宋体" w:cs="Times New Roman"/>
                <w:bCs/>
                <w:color w:val="auto"/>
                <w:sz w:val="24"/>
                <w:vertAlign w:val="superscript"/>
              </w:rPr>
              <w:t>1/3</w:t>
            </w:r>
            <w:r>
              <w:rPr>
                <w:rFonts w:hint="default" w:ascii="Times New Roman" w:hAnsi="Times New Roman" w:eastAsia="宋体" w:cs="Times New Roman"/>
                <w:bCs/>
                <w:color w:val="auto"/>
                <w:sz w:val="24"/>
                <w:vertAlign w:val="superscript"/>
              </w:rPr>
              <w:tab/>
            </w:r>
          </w:p>
          <w:p>
            <w:pPr>
              <w:adjustRightInd w:val="0"/>
              <w:snapToGrid w:val="0"/>
              <w:spacing w:line="360" w:lineRule="auto"/>
              <w:ind w:firstLine="480" w:firstLineChars="200"/>
              <w:jc w:val="left"/>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其中：Q——必须排烟量，m</w:t>
            </w:r>
            <w:r>
              <w:rPr>
                <w:rFonts w:hint="default" w:ascii="Times New Roman" w:hAnsi="Times New Roman" w:eastAsia="宋体" w:cs="Times New Roman"/>
                <w:bCs/>
                <w:color w:val="auto"/>
                <w:sz w:val="24"/>
                <w:vertAlign w:val="superscript"/>
              </w:rPr>
              <w:t>3</w:t>
            </w:r>
            <w:r>
              <w:rPr>
                <w:rFonts w:hint="default" w:ascii="Times New Roman" w:hAnsi="Times New Roman" w:eastAsia="宋体" w:cs="Times New Roman"/>
                <w:bCs/>
                <w:color w:val="auto"/>
                <w:sz w:val="24"/>
              </w:rPr>
              <w:t>/s；</w:t>
            </w:r>
          </w:p>
          <w:p>
            <w:pPr>
              <w:adjustRightInd w:val="0"/>
              <w:snapToGrid w:val="0"/>
              <w:spacing w:line="360" w:lineRule="auto"/>
              <w:ind w:firstLine="1200" w:firstLineChars="500"/>
              <w:jc w:val="left"/>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h——罩口离热设备水平面的距离，m；本项目</w:t>
            </w:r>
            <w:r>
              <w:rPr>
                <w:rFonts w:hint="default" w:ascii="Times New Roman" w:hAnsi="Times New Roman" w:eastAsia="宋体" w:cs="Times New Roman"/>
                <w:bCs/>
                <w:color w:val="auto"/>
                <w:sz w:val="24"/>
                <w:lang w:val="en-US" w:eastAsia="zh-CN"/>
              </w:rPr>
              <w:t>电泳池约1m，烘干线</w:t>
            </w:r>
            <w:r>
              <w:rPr>
                <w:rFonts w:hint="default" w:ascii="Times New Roman" w:hAnsi="Times New Roman" w:eastAsia="宋体" w:cs="Times New Roman"/>
                <w:bCs/>
                <w:color w:val="auto"/>
                <w:sz w:val="24"/>
              </w:rPr>
              <w:t>约0.3m。</w:t>
            </w:r>
          </w:p>
          <w:p>
            <w:pPr>
              <w:adjustRightInd w:val="0"/>
              <w:snapToGrid w:val="0"/>
              <w:spacing w:line="360" w:lineRule="auto"/>
              <w:ind w:firstLine="1200" w:firstLineChars="500"/>
              <w:jc w:val="left"/>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W——热设备水平面对流散热量，kJ/s；</w:t>
            </w:r>
          </w:p>
          <w:p>
            <w:pPr>
              <w:adjustRightInd w:val="0"/>
              <w:snapToGrid w:val="0"/>
              <w:spacing w:line="360" w:lineRule="auto"/>
              <w:ind w:firstLine="1200" w:firstLineChars="500"/>
              <w:jc w:val="left"/>
              <w:rPr>
                <w:rFonts w:hint="default" w:ascii="Times New Roman" w:hAnsi="Times New Roman" w:eastAsia="宋体" w:cs="Times New Roman"/>
                <w:bCs/>
                <w:color w:val="auto"/>
                <w:sz w:val="24"/>
                <w:lang w:val="en-US" w:eastAsia="zh-CN"/>
              </w:rPr>
            </w:pPr>
            <w:r>
              <w:rPr>
                <w:rFonts w:hint="default" w:ascii="Times New Roman" w:hAnsi="Times New Roman" w:eastAsia="宋体" w:cs="Times New Roman"/>
                <w:bCs/>
                <w:color w:val="auto"/>
                <w:sz w:val="24"/>
              </w:rPr>
              <w:t>S——热设备水平表面积，m</w:t>
            </w:r>
            <w:r>
              <w:rPr>
                <w:rFonts w:hint="default" w:ascii="Times New Roman" w:hAnsi="Times New Roman" w:eastAsia="宋体" w:cs="Times New Roman"/>
                <w:bCs/>
                <w:color w:val="auto"/>
                <w:sz w:val="24"/>
                <w:vertAlign w:val="superscript"/>
              </w:rPr>
              <w:t>2</w:t>
            </w:r>
            <w:r>
              <w:rPr>
                <w:rFonts w:hint="default" w:ascii="Times New Roman" w:hAnsi="Times New Roman" w:eastAsia="宋体" w:cs="Times New Roman"/>
                <w:bCs/>
                <w:color w:val="auto"/>
                <w:sz w:val="24"/>
              </w:rPr>
              <w:t>；</w:t>
            </w:r>
            <w:r>
              <w:rPr>
                <w:rFonts w:hint="default" w:ascii="Times New Roman" w:hAnsi="Times New Roman" w:eastAsia="宋体" w:cs="Times New Roman"/>
                <w:bCs/>
                <w:color w:val="auto"/>
                <w:sz w:val="24"/>
                <w:lang w:val="en-US" w:eastAsia="zh-CN"/>
              </w:rPr>
              <w:t>电泳池表面积</w:t>
            </w:r>
            <w:r>
              <w:rPr>
                <w:rFonts w:hint="default" w:ascii="Times New Roman" w:hAnsi="Times New Roman" w:eastAsia="宋体" w:cs="Times New Roman"/>
                <w:bCs/>
                <w:color w:val="auto"/>
                <w:sz w:val="24"/>
              </w:rPr>
              <w:t>约为</w:t>
            </w:r>
            <w:r>
              <w:rPr>
                <w:rFonts w:hint="default" w:ascii="Times New Roman" w:hAnsi="Times New Roman" w:eastAsia="宋体" w:cs="Times New Roman"/>
                <w:bCs/>
                <w:color w:val="auto"/>
                <w:sz w:val="24"/>
                <w:lang w:val="en-US" w:eastAsia="zh-CN"/>
              </w:rPr>
              <w:t>13.2</w:t>
            </w:r>
            <w:r>
              <w:rPr>
                <w:rFonts w:hint="default" w:ascii="Times New Roman" w:hAnsi="Times New Roman" w:eastAsia="宋体" w:cs="Times New Roman"/>
                <w:bCs/>
                <w:color w:val="auto"/>
                <w:sz w:val="24"/>
              </w:rPr>
              <w:t>m</w:t>
            </w:r>
            <w:r>
              <w:rPr>
                <w:rFonts w:hint="default" w:ascii="Times New Roman" w:hAnsi="Times New Roman" w:eastAsia="宋体" w:cs="Times New Roman"/>
                <w:bCs/>
                <w:color w:val="auto"/>
                <w:sz w:val="24"/>
                <w:vertAlign w:val="superscript"/>
              </w:rPr>
              <w:t>2</w:t>
            </w:r>
            <w:r>
              <w:rPr>
                <w:rFonts w:hint="default" w:ascii="Times New Roman" w:hAnsi="Times New Roman" w:eastAsia="宋体" w:cs="Times New Roman"/>
                <w:bCs/>
                <w:color w:val="auto"/>
                <w:sz w:val="24"/>
                <w:lang w:eastAsia="zh-CN"/>
              </w:rPr>
              <w:t>，</w:t>
            </w:r>
            <w:r>
              <w:rPr>
                <w:rFonts w:hint="default" w:ascii="Times New Roman" w:hAnsi="Times New Roman" w:eastAsia="宋体" w:cs="Times New Roman"/>
                <w:bCs/>
                <w:color w:val="auto"/>
                <w:sz w:val="24"/>
                <w:lang w:val="en-US" w:eastAsia="zh-CN"/>
              </w:rPr>
              <w:t>烘干线约</w:t>
            </w:r>
            <w:r>
              <w:rPr>
                <w:rFonts w:hint="eastAsia" w:cs="Times New Roman"/>
                <w:bCs/>
                <w:color w:val="auto"/>
                <w:sz w:val="24"/>
                <w:lang w:val="en-US" w:eastAsia="zh-CN"/>
              </w:rPr>
              <w:t>6</w:t>
            </w:r>
            <w:r>
              <w:rPr>
                <w:rFonts w:hint="default" w:ascii="Times New Roman" w:hAnsi="Times New Roman" w:eastAsia="宋体" w:cs="Times New Roman"/>
                <w:bCs/>
                <w:color w:val="auto"/>
                <w:sz w:val="24"/>
                <w:lang w:val="en-US" w:eastAsia="zh-CN"/>
              </w:rPr>
              <w:t>m</w:t>
            </w:r>
            <w:r>
              <w:rPr>
                <w:rFonts w:hint="default" w:ascii="Times New Roman" w:hAnsi="Times New Roman" w:eastAsia="宋体" w:cs="Times New Roman"/>
                <w:bCs/>
                <w:color w:val="auto"/>
                <w:sz w:val="24"/>
                <w:vertAlign w:val="superscript"/>
                <w:lang w:val="en-US" w:eastAsia="zh-CN"/>
              </w:rPr>
              <w:t>2</w:t>
            </w:r>
            <w:r>
              <w:rPr>
                <w:rFonts w:hint="default" w:ascii="Times New Roman" w:hAnsi="Times New Roman" w:eastAsia="宋体" w:cs="Times New Roman"/>
                <w:bCs/>
                <w:color w:val="auto"/>
                <w:sz w:val="24"/>
                <w:vertAlign w:val="baseline"/>
                <w:lang w:val="en-US" w:eastAsia="zh-CN"/>
              </w:rPr>
              <w:t>。</w:t>
            </w:r>
          </w:p>
          <w:p>
            <w:pPr>
              <w:adjustRightInd w:val="0"/>
              <w:snapToGrid w:val="0"/>
              <w:spacing w:line="360" w:lineRule="auto"/>
              <w:ind w:firstLine="1200" w:firstLineChars="500"/>
              <w:jc w:val="left"/>
              <w:rPr>
                <w:rFonts w:hint="default" w:ascii="Times New Roman" w:hAnsi="Times New Roman" w:eastAsia="宋体" w:cs="Times New Roman"/>
                <w:color w:val="auto"/>
                <w:sz w:val="24"/>
              </w:rPr>
            </w:pPr>
            <w:r>
              <w:rPr>
                <w:rFonts w:hint="default" w:ascii="Times New Roman" w:hAnsi="Times New Roman" w:eastAsia="宋体" w:cs="Times New Roman"/>
                <w:bCs/>
                <w:color w:val="auto"/>
                <w:sz w:val="24"/>
              </w:rPr>
              <w:t>Q</w:t>
            </w:r>
            <w:r>
              <w:rPr>
                <w:rFonts w:hint="default" w:ascii="Times New Roman" w:hAnsi="Times New Roman" w:eastAsia="宋体" w:cs="Times New Roman"/>
                <w:bCs/>
                <w:color w:val="auto"/>
                <w:sz w:val="24"/>
                <w:lang w:val="en-US" w:eastAsia="zh-CN"/>
              </w:rPr>
              <w:t>=Q1+Q2</w:t>
            </w:r>
            <w:r>
              <w:rPr>
                <w:rFonts w:hint="default" w:ascii="Times New Roman" w:hAnsi="Times New Roman" w:eastAsia="宋体" w:cs="Times New Roman"/>
                <w:bCs/>
                <w:color w:val="auto"/>
                <w:sz w:val="24"/>
              </w:rPr>
              <w:t>=</w:t>
            </w:r>
            <w:r>
              <w:rPr>
                <w:rFonts w:hint="default" w:ascii="Times New Roman" w:hAnsi="Times New Roman" w:eastAsia="宋体" w:cs="Times New Roman"/>
                <w:bCs/>
                <w:color w:val="auto"/>
                <w:sz w:val="24"/>
                <w:lang w:val="en-US" w:eastAsia="zh-CN"/>
              </w:rPr>
              <w:t>1.78+1.92</w:t>
            </w:r>
            <w:r>
              <w:rPr>
                <w:rFonts w:hint="default" w:ascii="Times New Roman" w:hAnsi="Times New Roman" w:eastAsia="宋体" w:cs="Times New Roman"/>
                <w:bCs/>
                <w:color w:val="auto"/>
                <w:sz w:val="24"/>
              </w:rPr>
              <w:t>=</w:t>
            </w:r>
            <w:r>
              <w:rPr>
                <w:rFonts w:hint="default" w:ascii="Times New Roman" w:hAnsi="Times New Roman" w:eastAsia="宋体" w:cs="Times New Roman"/>
                <w:bCs/>
                <w:color w:val="auto"/>
                <w:sz w:val="24"/>
                <w:lang w:val="en-US" w:eastAsia="zh-CN"/>
              </w:rPr>
              <w:t>3.7</w:t>
            </w:r>
            <w:r>
              <w:rPr>
                <w:rFonts w:hint="default" w:ascii="Times New Roman" w:hAnsi="Times New Roman" w:eastAsia="宋体" w:cs="Times New Roman"/>
                <w:bCs/>
                <w:color w:val="auto"/>
                <w:sz w:val="24"/>
              </w:rPr>
              <w:t>m</w:t>
            </w:r>
            <w:r>
              <w:rPr>
                <w:rFonts w:hint="default" w:ascii="Times New Roman" w:hAnsi="Times New Roman" w:eastAsia="宋体" w:cs="Times New Roman"/>
                <w:bCs/>
                <w:color w:val="auto"/>
                <w:sz w:val="24"/>
                <w:vertAlign w:val="superscript"/>
              </w:rPr>
              <w:t>3</w:t>
            </w:r>
            <w:r>
              <w:rPr>
                <w:rFonts w:hint="default" w:ascii="Times New Roman" w:hAnsi="Times New Roman" w:eastAsia="宋体" w:cs="Times New Roman"/>
                <w:bCs/>
                <w:color w:val="auto"/>
                <w:sz w:val="24"/>
              </w:rPr>
              <w:t>/s=</w:t>
            </w:r>
            <w:r>
              <w:rPr>
                <w:rFonts w:hint="default" w:ascii="Times New Roman" w:hAnsi="Times New Roman" w:eastAsia="宋体" w:cs="Times New Roman"/>
                <w:bCs/>
                <w:color w:val="auto"/>
                <w:sz w:val="24"/>
                <w:lang w:val="en-US" w:eastAsia="zh-CN"/>
              </w:rPr>
              <w:t>13320</w:t>
            </w:r>
            <w:r>
              <w:rPr>
                <w:rFonts w:hint="default" w:ascii="Times New Roman" w:hAnsi="Times New Roman" w:eastAsia="宋体" w:cs="Times New Roman"/>
                <w:bCs/>
                <w:color w:val="auto"/>
                <w:sz w:val="24"/>
              </w:rPr>
              <w:t>m</w:t>
            </w:r>
            <w:r>
              <w:rPr>
                <w:rFonts w:hint="default" w:ascii="Times New Roman" w:hAnsi="Times New Roman" w:eastAsia="宋体" w:cs="Times New Roman"/>
                <w:bCs/>
                <w:color w:val="auto"/>
                <w:sz w:val="24"/>
                <w:vertAlign w:val="superscript"/>
              </w:rPr>
              <w:t>3</w:t>
            </w:r>
            <w:r>
              <w:rPr>
                <w:rFonts w:hint="default" w:ascii="Times New Roman" w:hAnsi="Times New Roman" w:eastAsia="宋体" w:cs="Times New Roman"/>
                <w:bCs/>
                <w:color w:val="auto"/>
                <w:sz w:val="24"/>
              </w:rPr>
              <w:t>/h</w:t>
            </w:r>
          </w:p>
          <w:p>
            <w:pPr>
              <w:adjustRightInd w:val="0"/>
              <w:snapToGrid w:val="0"/>
              <w:spacing w:line="360" w:lineRule="auto"/>
              <w:ind w:firstLine="480" w:firstLineChars="200"/>
              <w:rPr>
                <w:rFonts w:hint="default" w:ascii="Times New Roman" w:hAnsi="Times New Roman" w:eastAsia="宋体" w:cs="Times New Roman"/>
                <w:bCs/>
                <w:color w:val="auto"/>
                <w:sz w:val="24"/>
                <w:lang w:val="en-US" w:eastAsia="zh-CN"/>
              </w:rPr>
            </w:pPr>
            <w:r>
              <w:rPr>
                <w:rFonts w:hint="default" w:ascii="Times New Roman" w:hAnsi="Times New Roman" w:eastAsia="宋体" w:cs="Times New Roman"/>
                <w:bCs/>
                <w:color w:val="auto"/>
                <w:sz w:val="24"/>
                <w:lang w:val="en-US" w:eastAsia="zh-CN"/>
              </w:rPr>
              <w:t>②燃气锅炉所需风机风量计算</w:t>
            </w:r>
          </w:p>
          <w:p>
            <w:pPr>
              <w:adjustRightInd w:val="0"/>
              <w:snapToGrid w:val="0"/>
              <w:spacing w:line="360" w:lineRule="auto"/>
              <w:ind w:firstLine="480" w:firstLineChars="200"/>
              <w:jc w:val="left"/>
              <w:rPr>
                <w:rFonts w:hint="default" w:ascii="Times New Roman" w:hAnsi="Times New Roman" w:eastAsia="宋体" w:cs="Times New Roman"/>
                <w:bCs/>
                <w:color w:val="auto"/>
                <w:sz w:val="24"/>
                <w:lang w:val="en-US"/>
              </w:rPr>
            </w:pPr>
            <w:r>
              <w:rPr>
                <w:rFonts w:hint="default" w:ascii="Times New Roman" w:hAnsi="Times New Roman" w:eastAsia="宋体" w:cs="Times New Roman"/>
                <w:color w:val="auto"/>
                <w:sz w:val="24"/>
              </w:rPr>
              <w:t>本项目</w:t>
            </w:r>
            <w:r>
              <w:rPr>
                <w:rFonts w:hint="default" w:ascii="Times New Roman" w:hAnsi="Times New Roman" w:eastAsia="宋体" w:cs="Times New Roman"/>
                <w:color w:val="auto"/>
                <w:sz w:val="24"/>
                <w:lang w:val="en-US" w:eastAsia="zh-CN"/>
              </w:rPr>
              <w:t>天然气燃烧产生的工业废气年排放量为323.295万立方米，年工作时间约2400h，经计算，燃气锅炉所需风机风量为1347m</w:t>
            </w:r>
            <w:r>
              <w:rPr>
                <w:rFonts w:hint="default" w:ascii="Times New Roman" w:hAnsi="Times New Roman" w:eastAsia="宋体" w:cs="Times New Roman"/>
                <w:color w:val="auto"/>
                <w:sz w:val="24"/>
                <w:vertAlign w:val="superscript"/>
                <w:lang w:val="en-US" w:eastAsia="zh-CN"/>
              </w:rPr>
              <w:t>3</w:t>
            </w:r>
            <w:r>
              <w:rPr>
                <w:rFonts w:hint="default" w:ascii="Times New Roman" w:hAnsi="Times New Roman" w:eastAsia="宋体" w:cs="Times New Roman"/>
                <w:color w:val="auto"/>
                <w:sz w:val="24"/>
                <w:lang w:val="en-US" w:eastAsia="zh-CN"/>
              </w:rPr>
              <w:t>/h。</w:t>
            </w:r>
          </w:p>
          <w:p>
            <w:pPr>
              <w:adjustRightInd w:val="0"/>
              <w:snapToGrid w:val="0"/>
              <w:spacing w:line="360" w:lineRule="auto"/>
              <w:ind w:firstLine="480" w:firstLineChars="200"/>
              <w:jc w:val="left"/>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lang w:val="en-US" w:eastAsia="zh-CN"/>
              </w:rPr>
              <w:t>综上，本项目所需风机风量14667</w:t>
            </w:r>
            <w:r>
              <w:rPr>
                <w:rFonts w:hint="default" w:ascii="Times New Roman" w:hAnsi="Times New Roman" w:eastAsia="宋体" w:cs="Times New Roman"/>
                <w:color w:val="auto"/>
                <w:sz w:val="24"/>
                <w:lang w:val="en-US" w:eastAsia="zh-CN"/>
              </w:rPr>
              <w:t>m</w:t>
            </w:r>
            <w:r>
              <w:rPr>
                <w:rFonts w:hint="default" w:ascii="Times New Roman" w:hAnsi="Times New Roman" w:eastAsia="宋体" w:cs="Times New Roman"/>
                <w:color w:val="auto"/>
                <w:sz w:val="24"/>
                <w:vertAlign w:val="superscript"/>
                <w:lang w:val="en-US" w:eastAsia="zh-CN"/>
              </w:rPr>
              <w:t>3</w:t>
            </w:r>
            <w:r>
              <w:rPr>
                <w:rFonts w:hint="default" w:ascii="Times New Roman" w:hAnsi="Times New Roman" w:eastAsia="宋体" w:cs="Times New Roman"/>
                <w:color w:val="auto"/>
                <w:sz w:val="24"/>
                <w:lang w:val="en-US" w:eastAsia="zh-CN"/>
              </w:rPr>
              <w:t>/h，</w:t>
            </w:r>
            <w:r>
              <w:rPr>
                <w:rFonts w:hint="default" w:ascii="Times New Roman" w:hAnsi="Times New Roman" w:eastAsia="宋体" w:cs="Times New Roman"/>
                <w:color w:val="auto"/>
                <w:sz w:val="24"/>
              </w:rPr>
              <w:t>在充分考虑风损及捕集效率的情况下</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本项目配套的二级活性炭处理装置风机总风量</w:t>
            </w:r>
            <w:r>
              <w:rPr>
                <w:rFonts w:hint="default" w:ascii="Times New Roman" w:hAnsi="Times New Roman" w:eastAsia="宋体" w:cs="Times New Roman"/>
                <w:color w:val="auto"/>
                <w:sz w:val="24"/>
                <w:lang w:val="en-US" w:eastAsia="zh-CN"/>
              </w:rPr>
              <w:t>设计</w:t>
            </w:r>
            <w:r>
              <w:rPr>
                <w:rFonts w:hint="default" w:ascii="Times New Roman" w:hAnsi="Times New Roman" w:eastAsia="宋体" w:cs="Times New Roman"/>
                <w:bCs/>
                <w:color w:val="auto"/>
                <w:sz w:val="24"/>
              </w:rPr>
              <w:t>为</w:t>
            </w:r>
            <w:r>
              <w:rPr>
                <w:rFonts w:hint="default" w:ascii="Times New Roman" w:hAnsi="Times New Roman" w:eastAsia="宋体" w:cs="Times New Roman"/>
                <w:bCs/>
                <w:color w:val="auto"/>
                <w:sz w:val="24"/>
                <w:lang w:val="en-US" w:eastAsia="zh-CN"/>
              </w:rPr>
              <w:t>1</w:t>
            </w:r>
            <w:r>
              <w:rPr>
                <w:rFonts w:hint="eastAsia" w:cs="Times New Roman"/>
                <w:bCs/>
                <w:color w:val="auto"/>
                <w:sz w:val="24"/>
                <w:lang w:val="en-US" w:eastAsia="zh-CN"/>
              </w:rPr>
              <w:t>8</w:t>
            </w:r>
            <w:r>
              <w:rPr>
                <w:rFonts w:hint="default" w:ascii="Times New Roman" w:hAnsi="Times New Roman" w:eastAsia="宋体" w:cs="Times New Roman"/>
                <w:bCs/>
                <w:color w:val="auto"/>
                <w:sz w:val="24"/>
                <w:lang w:val="en-US" w:eastAsia="zh-CN"/>
              </w:rPr>
              <w:t>000</w:t>
            </w:r>
            <w:r>
              <w:rPr>
                <w:rFonts w:hint="default" w:ascii="Times New Roman" w:hAnsi="Times New Roman" w:eastAsia="宋体" w:cs="Times New Roman"/>
                <w:bCs/>
                <w:color w:val="auto"/>
                <w:sz w:val="24"/>
              </w:rPr>
              <w:t>m</w:t>
            </w:r>
            <w:r>
              <w:rPr>
                <w:rFonts w:hint="default" w:ascii="Times New Roman" w:hAnsi="Times New Roman" w:eastAsia="宋体" w:cs="Times New Roman"/>
                <w:bCs/>
                <w:color w:val="auto"/>
                <w:sz w:val="24"/>
                <w:vertAlign w:val="superscript"/>
              </w:rPr>
              <w:t>3</w:t>
            </w:r>
            <w:r>
              <w:rPr>
                <w:rFonts w:hint="default" w:ascii="Times New Roman" w:hAnsi="Times New Roman" w:eastAsia="宋体" w:cs="Times New Roman"/>
                <w:bCs/>
                <w:color w:val="auto"/>
                <w:sz w:val="24"/>
              </w:rPr>
              <w:t>/h，故满足所需风量要求。</w:t>
            </w:r>
          </w:p>
          <w:p>
            <w:pPr>
              <w:adjustRightInd w:val="0"/>
              <w:snapToGrid w:val="0"/>
              <w:spacing w:line="360" w:lineRule="auto"/>
              <w:ind w:firstLine="480" w:firstLineChars="200"/>
              <w:jc w:val="left"/>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2）无组织废气</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val="en-US" w:eastAsia="zh-CN"/>
              </w:rPr>
              <w:t>电泳及烘干工段中集气罩未捕集的废气在车间内无组织排放，通过加强车间通风，</w:t>
            </w:r>
            <w:r>
              <w:rPr>
                <w:rFonts w:hint="default" w:ascii="Times New Roman" w:hAnsi="Times New Roman" w:eastAsia="宋体" w:cs="Times New Roman"/>
                <w:color w:val="auto"/>
                <w:sz w:val="24"/>
              </w:rPr>
              <w:t>可减少其对周围大气环境的影响。</w:t>
            </w:r>
          </w:p>
          <w:p>
            <w:pPr>
              <w:adjustRightInd w:val="0"/>
              <w:snapToGrid w:val="0"/>
              <w:spacing w:line="360" w:lineRule="auto"/>
              <w:ind w:left="482"/>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lang w:val="en-US" w:eastAsia="zh-CN"/>
              </w:rPr>
              <w:t>3</w:t>
            </w:r>
            <w:r>
              <w:rPr>
                <w:rFonts w:hint="default" w:ascii="Times New Roman" w:hAnsi="Times New Roman" w:eastAsia="宋体" w:cs="Times New Roman"/>
                <w:color w:val="auto"/>
                <w:sz w:val="24"/>
                <w:szCs w:val="22"/>
              </w:rPr>
              <w:t>）技术、经济可行性论证</w:t>
            </w:r>
          </w:p>
          <w:p>
            <w:pPr>
              <w:pStyle w:val="5"/>
              <w:adjustRightInd w:val="0"/>
              <w:snapToGrid w:val="0"/>
              <w:spacing w:line="360" w:lineRule="auto"/>
              <w:ind w:firstLine="482" w:firstLineChars="200"/>
              <w:rPr>
                <w:rFonts w:hint="eastAsia" w:ascii="Times New Roman" w:hAnsi="Times New Roman" w:eastAsia="宋体" w:cs="Times New Roman"/>
                <w:b/>
                <w:bCs/>
                <w:color w:val="auto"/>
                <w:szCs w:val="22"/>
                <w:lang w:eastAsia="zh-CN"/>
              </w:rPr>
            </w:pPr>
            <w:r>
              <w:rPr>
                <w:rFonts w:hint="default" w:ascii="Times New Roman" w:hAnsi="Times New Roman" w:eastAsia="宋体" w:cs="Times New Roman"/>
                <w:b/>
                <w:bCs/>
                <w:color w:val="auto"/>
                <w:sz w:val="24"/>
                <w:szCs w:val="22"/>
              </w:rPr>
              <w:t>活性炭吸附装置</w:t>
            </w:r>
            <w:r>
              <w:rPr>
                <w:rFonts w:hint="eastAsia" w:ascii="Times New Roman" w:hAnsi="Times New Roman" w:cs="Times New Roman"/>
                <w:b/>
                <w:bCs/>
                <w:color w:val="auto"/>
                <w:sz w:val="24"/>
                <w:szCs w:val="22"/>
                <w:lang w:eastAsia="zh-CN"/>
              </w:rPr>
              <w:t>：</w:t>
            </w:r>
          </w:p>
          <w:p>
            <w:pPr>
              <w:pStyle w:val="5"/>
              <w:snapToGrid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活性炭吸附是利用活性炭多微孔及其巨大的表面张力等特性将废气中的有机物吸附，使所排废气得到净化。活性炭纤维是采用天然或人造纤维经高温、催化等特殊工艺制作而成的高效吸附材料，含有高度发达的微孔结构，微孔直径为5-100Å，其主要特点为：比表面积大（900-220m</w:t>
            </w:r>
            <w:r>
              <w:rPr>
                <w:rFonts w:hint="default" w:ascii="Times New Roman" w:hAnsi="Times New Roman" w:eastAsia="宋体" w:cs="Times New Roman"/>
                <w:color w:val="auto"/>
                <w:sz w:val="24"/>
                <w:szCs w:val="24"/>
                <w:vertAlign w:val="superscript"/>
              </w:rPr>
              <w:t>2</w:t>
            </w:r>
            <w:r>
              <w:rPr>
                <w:rFonts w:hint="default" w:ascii="Times New Roman" w:hAnsi="Times New Roman" w:eastAsia="宋体" w:cs="Times New Roman"/>
                <w:color w:val="auto"/>
                <w:sz w:val="24"/>
                <w:szCs w:val="24"/>
              </w:rPr>
              <w:t>/g），吸脱附容量高，如对有机气体、恶臭、腥臭物质吸附量比颗粒和粉状活性炭大20-30倍；吸脱附速度快，是颗粒活性炭的10-100倍；脱附速度快、易再生，脱附以后活性炭纤维吸附能力基本不变；耐温性能好，且耐酸、耐碱，具有良好的导电性能和化学稳定性；灰份少，其灰份含量仅为颗粒活性炭的十分之一。本项目所用活性炭参数见下表：</w:t>
            </w:r>
          </w:p>
          <w:p>
            <w:pPr>
              <w:jc w:val="center"/>
              <w:rPr>
                <w:rFonts w:hint="default" w:ascii="Times New Roman" w:hAnsi="Times New Roman" w:eastAsia="宋体" w:cs="Times New Roman"/>
                <w:b/>
                <w:color w:val="auto"/>
              </w:rPr>
            </w:pPr>
            <w:r>
              <w:rPr>
                <w:rFonts w:hint="default" w:ascii="Times New Roman" w:hAnsi="Times New Roman" w:eastAsia="宋体" w:cs="Times New Roman"/>
                <w:b/>
                <w:color w:val="auto"/>
                <w:sz w:val="24"/>
              </w:rPr>
              <w:t>表4-</w:t>
            </w:r>
            <w:r>
              <w:rPr>
                <w:rFonts w:hint="eastAsia" w:cs="Times New Roman"/>
                <w:b/>
                <w:color w:val="auto"/>
                <w:sz w:val="24"/>
                <w:lang w:val="en-US" w:eastAsia="zh-CN"/>
              </w:rPr>
              <w:t>4</w:t>
            </w:r>
            <w:r>
              <w:rPr>
                <w:rFonts w:hint="default" w:ascii="Times New Roman" w:hAnsi="Times New Roman" w:eastAsia="宋体" w:cs="Times New Roman"/>
                <w:b/>
                <w:color w:val="auto"/>
                <w:sz w:val="24"/>
              </w:rPr>
              <w:t>活性炭技术参数一览表</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856"/>
              <w:gridCol w:w="538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32"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种类</w:t>
                  </w:r>
                </w:p>
              </w:tc>
              <w:tc>
                <w:tcPr>
                  <w:tcW w:w="3268" w:type="pct"/>
                  <w:shd w:val="clear" w:color="auto" w:fill="auto"/>
                  <w:vAlign w:val="center"/>
                </w:tcPr>
                <w:p>
                  <w:pPr>
                    <w:tabs>
                      <w:tab w:val="left" w:pos="1390"/>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蜂窝活性炭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32"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产品规格</w:t>
                  </w:r>
                </w:p>
              </w:tc>
              <w:tc>
                <w:tcPr>
                  <w:tcW w:w="3268"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10cm*10cm*10cm/18块/箱</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32"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抗压强度</w:t>
                  </w:r>
                </w:p>
              </w:tc>
              <w:tc>
                <w:tcPr>
                  <w:tcW w:w="3268"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0.9Mpa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32"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孔径</w:t>
                  </w:r>
                </w:p>
              </w:tc>
              <w:tc>
                <w:tcPr>
                  <w:tcW w:w="3268"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1.5mm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32"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壁厚</w:t>
                  </w:r>
                </w:p>
              </w:tc>
              <w:tc>
                <w:tcPr>
                  <w:tcW w:w="3268"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1.0mm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32"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pH值</w:t>
                  </w:r>
                </w:p>
              </w:tc>
              <w:tc>
                <w:tcPr>
                  <w:tcW w:w="3268"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32"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水分</w:t>
                  </w:r>
                </w:p>
              </w:tc>
              <w:tc>
                <w:tcPr>
                  <w:tcW w:w="3268"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32"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体积密度</w:t>
                  </w:r>
                </w:p>
              </w:tc>
              <w:tc>
                <w:tcPr>
                  <w:tcW w:w="3268"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0.35-0.60g/cm</w:t>
                  </w:r>
                  <w:r>
                    <w:rPr>
                      <w:rFonts w:hint="default" w:ascii="Times New Roman" w:hAnsi="Times New Roman" w:eastAsia="宋体" w:cs="Times New Roman"/>
                      <w:color w:val="auto"/>
                      <w:szCs w:val="21"/>
                      <w:vertAlign w:val="superscript"/>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32"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使用温度</w:t>
                  </w:r>
                </w:p>
              </w:tc>
              <w:tc>
                <w:tcPr>
                  <w:tcW w:w="3268"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32"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碘值</w:t>
                  </w:r>
                </w:p>
              </w:tc>
              <w:tc>
                <w:tcPr>
                  <w:tcW w:w="3268"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878mg/g</w:t>
                  </w:r>
                </w:p>
              </w:tc>
            </w:tr>
          </w:tbl>
          <w:p>
            <w:pPr>
              <w:pStyle w:val="5"/>
              <w:spacing w:line="360" w:lineRule="auto"/>
              <w:ind w:firstLine="0"/>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注：本项目所用活性炭符合《2020年挥发性有机物治理攻坚方案》内相关要求。</w:t>
            </w:r>
          </w:p>
          <w:p>
            <w:pPr>
              <w:adjustRightInd w:val="0"/>
              <w:snapToGrid w:val="0"/>
              <w:spacing w:line="360" w:lineRule="auto"/>
              <w:ind w:firstLine="470" w:firstLineChars="200"/>
              <w:jc w:val="left"/>
              <w:rPr>
                <w:rFonts w:hint="default" w:ascii="Times New Roman" w:hAnsi="Times New Roman" w:eastAsia="宋体" w:cs="Times New Roman"/>
                <w:b/>
                <w:bCs/>
                <w:color w:val="auto"/>
                <w:spacing w:val="-3"/>
                <w:sz w:val="24"/>
              </w:rPr>
            </w:pPr>
            <w:r>
              <w:rPr>
                <w:rFonts w:hint="default" w:ascii="Times New Roman" w:hAnsi="Times New Roman" w:eastAsia="宋体" w:cs="Times New Roman"/>
                <w:b/>
                <w:bCs/>
                <w:color w:val="auto"/>
                <w:spacing w:val="-3"/>
                <w:sz w:val="24"/>
              </w:rPr>
              <w:t>低氮燃烧器工作原理：</w:t>
            </w:r>
          </w:p>
          <w:p>
            <w:pPr>
              <w:adjustRightInd w:val="0"/>
              <w:snapToGrid w:val="0"/>
              <w:spacing w:line="360" w:lineRule="auto"/>
              <w:ind w:firstLine="468" w:firstLineChars="200"/>
              <w:jc w:val="left"/>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pacing w:val="-3"/>
                <w:sz w:val="24"/>
              </w:rPr>
              <w:t>天然气燃料在燃烧过程中，氮气在高温下持续氧化生成氮氧化物。数据显示，当温度低于1500℃时，氮氧化物生成量很少；高于1500℃时，温度每升高100℃，氮氧化物生成速度将增大6～7倍。在实际燃</w:t>
            </w:r>
            <w:r>
              <w:rPr>
                <w:rFonts w:hint="default" w:ascii="Times New Roman" w:hAnsi="Times New Roman" w:eastAsia="宋体" w:cs="Times New Roman"/>
                <w:color w:val="auto"/>
                <w:sz w:val="24"/>
                <w:szCs w:val="22"/>
              </w:rPr>
              <w:t>烧过程中，由于燃烧室内温度分布不均匀，如果出现局部高温区，则在该区域会生成较多</w:t>
            </w:r>
            <w:r>
              <w:rPr>
                <w:rFonts w:hint="default" w:ascii="Times New Roman" w:hAnsi="Times New Roman" w:eastAsia="宋体" w:cs="Times New Roman"/>
                <w:color w:val="auto"/>
                <w:spacing w:val="-3"/>
                <w:sz w:val="24"/>
              </w:rPr>
              <w:t>氮氧化物</w:t>
            </w:r>
            <w:r>
              <w:rPr>
                <w:rFonts w:hint="default" w:ascii="Times New Roman" w:hAnsi="Times New Roman" w:eastAsia="宋体" w:cs="Times New Roman"/>
                <w:color w:val="auto"/>
                <w:sz w:val="24"/>
                <w:szCs w:val="22"/>
              </w:rPr>
              <w:t>。</w:t>
            </w:r>
          </w:p>
          <w:p>
            <w:pPr>
              <w:adjustRightInd w:val="0"/>
              <w:snapToGrid w:val="0"/>
              <w:spacing w:line="360" w:lineRule="auto"/>
              <w:ind w:firstLine="480" w:firstLineChars="200"/>
              <w:jc w:val="left"/>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针对这种现象，目前现有的低氮燃烧技术主要围绕降低燃烧温度开展，包括烟气再循环技术、分级燃烧技术、预混燃烧等技术。</w:t>
            </w:r>
          </w:p>
          <w:p>
            <w:pPr>
              <w:pStyle w:val="5"/>
              <w:snapToGrid w:val="0"/>
              <w:spacing w:line="360" w:lineRule="auto"/>
              <w:ind w:firstLine="480" w:firstLineChars="200"/>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目前应用最广泛的低氮燃烧技术是烟气再循环技术，烟气再循环分为内部循环和外部循环，内部烟气再循环需通过燃烧器与炉膛总体结构化设计，通过燃烧器和炉膛的结构化设计，主要燃气和空气的高速射流卷吸效应，使得烟气在炉膛内形成回流，参与二次燃烧。外部烟气再循环通过一个外部管道，连接烟道、空气风门两侧，使得烟气与空气进行混合后，进入燃烧区。其主要原理就是提取一部分烟气送回燃烧区，利用惰性气体稀释燃烧区氧浓度、降低燃烧区温度，从而降低燃烧过程氮氧化物的生成。</w:t>
            </w:r>
          </w:p>
          <w:p>
            <w:pPr>
              <w:pStyle w:val="5"/>
              <w:snapToGrid w:val="0"/>
              <w:spacing w:line="360" w:lineRule="auto"/>
              <w:ind w:firstLine="482" w:firstLineChars="200"/>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工程实例</w:t>
            </w:r>
          </w:p>
          <w:p>
            <w:pPr>
              <w:pStyle w:val="5"/>
              <w:snapToGrid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“江苏海鹏特种车辆有限公司电泳涂装技改项目”于</w:t>
            </w:r>
            <w:r>
              <w:rPr>
                <w:rFonts w:hint="default" w:ascii="Times New Roman" w:hAnsi="Times New Roman" w:eastAsia="宋体" w:cs="Times New Roman"/>
                <w:color w:val="auto"/>
                <w:sz w:val="24"/>
                <w:szCs w:val="24"/>
                <w:lang w:val="en-US" w:eastAsia="zh-CN"/>
              </w:rPr>
              <w:t>2019</w:t>
            </w:r>
            <w:r>
              <w:rPr>
                <w:rFonts w:hint="default" w:ascii="Times New Roman" w:hAnsi="Times New Roman" w:eastAsia="宋体" w:cs="Times New Roman"/>
                <w:color w:val="auto"/>
                <w:sz w:val="24"/>
                <w:szCs w:val="24"/>
              </w:rPr>
              <w:t>年12月1</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日取得了泰州市行政审批局发布的批复（批复文号：泰行审批（靖江）[2019]20113 号），并于2021年7月20日完成自主验收。江苏海鹏特种车辆有限公司生产过程中产生的有机废气经二级活性炭吸附装置处理后通过15m高排气筒排放。根据竣工环境保护验收监测报告，该项目非甲烷总烃的排放浓度、排放速率可满足相应排放标准。</w:t>
            </w:r>
          </w:p>
          <w:p>
            <w:pPr>
              <w:pStyle w:val="5"/>
              <w:snapToGrid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根据《环境保护产品技术要求 工业废气吸附净化装置》（HJT386-2007）要求：</w:t>
            </w:r>
          </w:p>
          <w:p>
            <w:pPr>
              <w:pStyle w:val="5"/>
              <w:snapToGrid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①吸附装置应防火、防爆、防漏电和防泄漏；</w:t>
            </w:r>
          </w:p>
          <w:p>
            <w:pPr>
              <w:pStyle w:val="5"/>
              <w:snapToGrid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②吸附装置主体的表面温度不高于60℃；</w:t>
            </w:r>
          </w:p>
          <w:p>
            <w:pPr>
              <w:pStyle w:val="5"/>
              <w:snapToGrid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③吸附单元应设置温度指示、超温声光报警装置及应急处理系统；</w:t>
            </w:r>
          </w:p>
          <w:p>
            <w:pPr>
              <w:pStyle w:val="5"/>
              <w:snapToGrid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④吸附单元应设置压力指示和泄压装置，其性能应符合安全技术要求；</w:t>
            </w:r>
          </w:p>
          <w:p>
            <w:pPr>
              <w:pStyle w:val="5"/>
              <w:snapToGrid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⑤污染物为易燃易爆气体时，应采用防爆风机和电机；</w:t>
            </w:r>
          </w:p>
          <w:p>
            <w:pPr>
              <w:pStyle w:val="5"/>
              <w:snapToGrid w:val="0"/>
              <w:spacing w:line="360" w:lineRule="auto"/>
              <w:ind w:firstLine="480" w:firstLineChars="200"/>
              <w:rPr>
                <w:rFonts w:hint="default" w:ascii="Times New Roman" w:hAnsi="Times New Roman" w:eastAsia="宋体" w:cs="Times New Roman"/>
                <w:snapToGrid w:val="0"/>
                <w:color w:val="auto"/>
                <w:kern w:val="0"/>
                <w:sz w:val="24"/>
                <w:szCs w:val="22"/>
              </w:rPr>
            </w:pPr>
            <w:r>
              <w:rPr>
                <w:rFonts w:hint="default" w:ascii="Times New Roman" w:hAnsi="Times New Roman" w:eastAsia="宋体" w:cs="Times New Roman"/>
                <w:color w:val="auto"/>
                <w:sz w:val="24"/>
                <w:szCs w:val="24"/>
              </w:rPr>
              <w:t>⑥由计算机控制的吸附装置应同时具备手动操作功能。本项目不涉及易燃易爆气体，吸附装置设置防火、防爆、防漏电和防泄漏设施等。</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本项目针对生产过程产生的有机废气采取二级活性碳吸附装置处理，螺杆熔融工序工作温度为180-220℃，废气收集后通过管道进入废气处理装置，废气输送期间温度逐渐损耗，参</w:t>
            </w:r>
            <w:r>
              <w:rPr>
                <w:rFonts w:hint="default" w:ascii="Times New Roman" w:hAnsi="Times New Roman" w:eastAsia="宋体" w:cs="Times New Roman"/>
                <w:bCs/>
                <w:snapToGrid w:val="0"/>
                <w:color w:val="auto"/>
                <w:kern w:val="0"/>
                <w:sz w:val="24"/>
                <w:szCs w:val="22"/>
              </w:rPr>
              <w:t>考</w:t>
            </w:r>
            <w:r>
              <w:rPr>
                <w:rFonts w:hint="default" w:ascii="Times New Roman" w:hAnsi="Times New Roman" w:eastAsia="宋体" w:cs="Times New Roman"/>
                <w:color w:val="auto"/>
                <w:sz w:val="24"/>
                <w:szCs w:val="24"/>
              </w:rPr>
              <w:t>江苏海鹏特种车辆有限公司</w:t>
            </w:r>
            <w:r>
              <w:rPr>
                <w:rFonts w:hint="default" w:ascii="Times New Roman" w:hAnsi="Times New Roman" w:eastAsia="宋体" w:cs="Times New Roman"/>
                <w:bCs/>
                <w:snapToGrid w:val="0"/>
                <w:color w:val="auto"/>
                <w:kern w:val="0"/>
                <w:sz w:val="24"/>
                <w:szCs w:val="22"/>
              </w:rPr>
              <w:t>二级活性炭吸附处理设施</w:t>
            </w:r>
            <w:r>
              <w:rPr>
                <w:rFonts w:hint="default" w:ascii="Times New Roman" w:hAnsi="Times New Roman" w:eastAsia="宋体" w:cs="Times New Roman"/>
                <w:color w:val="auto"/>
                <w:sz w:val="24"/>
              </w:rPr>
              <w:t>，废气处理装置主体的表面温度低于60℃，且满足防火、防爆、防漏电和防泄漏要求，设置温度指示、超温声光报警装置及应急处理系统，设置压力指示和泄压装置，符合《环境保护产品技术要求 工业废气吸附净化装置》（HJT386-2007）要求。</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val="en-US" w:eastAsia="zh-CN"/>
              </w:rPr>
              <w:t>4</w:t>
            </w:r>
            <w:r>
              <w:rPr>
                <w:rFonts w:hint="default" w:ascii="Times New Roman" w:hAnsi="Times New Roman" w:eastAsia="宋体" w:cs="Times New Roman"/>
                <w:color w:val="auto"/>
                <w:sz w:val="24"/>
              </w:rPr>
              <w:t>）排放情况</w:t>
            </w:r>
          </w:p>
          <w:p>
            <w:pPr>
              <w:tabs>
                <w:tab w:val="left" w:pos="7875"/>
              </w:tabs>
              <w:snapToGrid w:val="0"/>
              <w:spacing w:line="360" w:lineRule="auto"/>
              <w:ind w:firstLine="420"/>
              <w:rPr>
                <w:rFonts w:hint="default" w:ascii="Times New Roman" w:hAnsi="Times New Roman" w:eastAsia="宋体" w:cs="Times New Roman"/>
                <w:bCs/>
                <w:snapToGrid w:val="0"/>
                <w:color w:val="auto"/>
                <w:kern w:val="0"/>
                <w:sz w:val="24"/>
                <w:szCs w:val="22"/>
              </w:rPr>
            </w:pPr>
            <w:r>
              <w:rPr>
                <w:rFonts w:hint="default" w:ascii="Times New Roman" w:hAnsi="Times New Roman" w:eastAsia="宋体" w:cs="Times New Roman"/>
                <w:bCs/>
                <w:snapToGrid w:val="0"/>
                <w:color w:val="auto"/>
                <w:kern w:val="0"/>
                <w:sz w:val="24"/>
                <w:szCs w:val="22"/>
              </w:rPr>
              <w:t>①有组织废气</w:t>
            </w:r>
          </w:p>
          <w:p>
            <w:pPr>
              <w:tabs>
                <w:tab w:val="left" w:pos="7875"/>
              </w:tabs>
              <w:snapToGrid w:val="0"/>
              <w:spacing w:line="360" w:lineRule="auto"/>
              <w:ind w:firstLine="420"/>
              <w:rPr>
                <w:rFonts w:hint="default" w:ascii="Times New Roman" w:hAnsi="Times New Roman" w:eastAsia="宋体" w:cs="Times New Roman"/>
                <w:snapToGrid w:val="0"/>
                <w:color w:val="auto"/>
                <w:kern w:val="0"/>
                <w:sz w:val="24"/>
                <w:szCs w:val="22"/>
              </w:rPr>
            </w:pPr>
            <w:r>
              <w:rPr>
                <w:rFonts w:hint="default" w:ascii="Times New Roman" w:hAnsi="Times New Roman" w:eastAsia="宋体" w:cs="Times New Roman"/>
                <w:snapToGrid w:val="0"/>
                <w:color w:val="auto"/>
                <w:kern w:val="0"/>
                <w:sz w:val="24"/>
                <w:szCs w:val="22"/>
              </w:rPr>
              <w:t>本项目废气有组织排放情况见下表：</w:t>
            </w:r>
          </w:p>
          <w:p>
            <w:pPr>
              <w:jc w:val="center"/>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表4-</w:t>
            </w:r>
            <w:r>
              <w:rPr>
                <w:rFonts w:hint="eastAsia" w:cs="Times New Roman"/>
                <w:b/>
                <w:bCs/>
                <w:color w:val="auto"/>
                <w:sz w:val="24"/>
                <w:lang w:val="en-US" w:eastAsia="zh-CN"/>
              </w:rPr>
              <w:t>5</w:t>
            </w:r>
            <w:r>
              <w:rPr>
                <w:rFonts w:hint="default" w:ascii="Times New Roman" w:hAnsi="Times New Roman" w:eastAsia="宋体" w:cs="Times New Roman"/>
                <w:b/>
                <w:bCs/>
                <w:color w:val="auto"/>
                <w:sz w:val="24"/>
              </w:rPr>
              <w:t xml:space="preserve"> 本项目有组织废气污染物排放情况</w:t>
            </w:r>
          </w:p>
          <w:tbl>
            <w:tblPr>
              <w:tblStyle w:val="22"/>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609"/>
              <w:gridCol w:w="1376"/>
              <w:gridCol w:w="650"/>
              <w:gridCol w:w="1088"/>
              <w:gridCol w:w="691"/>
              <w:gridCol w:w="1160"/>
              <w:gridCol w:w="714"/>
              <w:gridCol w:w="915"/>
              <w:gridCol w:w="104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69" w:type="pct"/>
                  <w:vMerge w:val="restart"/>
                  <w:vAlign w:val="center"/>
                </w:tcPr>
                <w:p>
                  <w:pPr>
                    <w:pStyle w:val="64"/>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排气筒设置</w:t>
                  </w:r>
                </w:p>
              </w:tc>
              <w:tc>
                <w:tcPr>
                  <w:tcW w:w="834" w:type="pct"/>
                  <w:vMerge w:val="restart"/>
                  <w:vAlign w:val="center"/>
                </w:tcPr>
                <w:p>
                  <w:pPr>
                    <w:pStyle w:val="64"/>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工段</w:t>
                  </w:r>
                </w:p>
              </w:tc>
              <w:tc>
                <w:tcPr>
                  <w:tcW w:w="394" w:type="pct"/>
                  <w:vMerge w:val="restart"/>
                  <w:vAlign w:val="center"/>
                </w:tcPr>
                <w:p>
                  <w:pPr>
                    <w:pStyle w:val="64"/>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风量m</w:t>
                  </w:r>
                  <w:r>
                    <w:rPr>
                      <w:rFonts w:hint="default" w:ascii="Times New Roman" w:hAnsi="Times New Roman" w:eastAsia="宋体" w:cs="Times New Roman"/>
                      <w:b/>
                      <w:color w:val="auto"/>
                      <w:sz w:val="21"/>
                      <w:szCs w:val="21"/>
                      <w:vertAlign w:val="superscript"/>
                    </w:rPr>
                    <w:t>3</w:t>
                  </w:r>
                  <w:r>
                    <w:rPr>
                      <w:rFonts w:hint="default" w:ascii="Times New Roman" w:hAnsi="Times New Roman" w:eastAsia="宋体" w:cs="Times New Roman"/>
                      <w:b/>
                      <w:color w:val="auto"/>
                      <w:sz w:val="21"/>
                      <w:szCs w:val="21"/>
                    </w:rPr>
                    <w:t>/h</w:t>
                  </w:r>
                </w:p>
              </w:tc>
              <w:tc>
                <w:tcPr>
                  <w:tcW w:w="659" w:type="pct"/>
                  <w:vMerge w:val="restart"/>
                  <w:vAlign w:val="center"/>
                </w:tcPr>
                <w:p>
                  <w:pPr>
                    <w:pStyle w:val="64"/>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拟采取的处理方式</w:t>
                  </w:r>
                </w:p>
              </w:tc>
              <w:tc>
                <w:tcPr>
                  <w:tcW w:w="419" w:type="pct"/>
                  <w:vMerge w:val="restart"/>
                  <w:vAlign w:val="center"/>
                </w:tcPr>
                <w:p>
                  <w:pPr>
                    <w:pStyle w:val="64"/>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去除率</w:t>
                  </w:r>
                </w:p>
                <w:p>
                  <w:pPr>
                    <w:pStyle w:val="64"/>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w:t>
                  </w:r>
                </w:p>
              </w:tc>
              <w:tc>
                <w:tcPr>
                  <w:tcW w:w="703" w:type="pct"/>
                  <w:vMerge w:val="restart"/>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bCs/>
                      <w:color w:val="auto"/>
                      <w:szCs w:val="21"/>
                    </w:rPr>
                    <w:t>污染物名称</w:t>
                  </w:r>
                </w:p>
              </w:tc>
              <w:tc>
                <w:tcPr>
                  <w:tcW w:w="1619" w:type="pct"/>
                  <w:gridSpan w:val="3"/>
                  <w:vAlign w:val="center"/>
                </w:tcPr>
                <w:p>
                  <w:pPr>
                    <w:pStyle w:val="64"/>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排放状况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553" w:hRule="atLeast"/>
                <w:jc w:val="center"/>
              </w:trPr>
              <w:tc>
                <w:tcPr>
                  <w:tcW w:w="369" w:type="pct"/>
                  <w:vMerge w:val="continue"/>
                  <w:vAlign w:val="center"/>
                </w:tcPr>
                <w:p>
                  <w:pPr>
                    <w:pStyle w:val="64"/>
                    <w:rPr>
                      <w:rFonts w:hint="default" w:ascii="Times New Roman" w:hAnsi="Times New Roman" w:eastAsia="宋体" w:cs="Times New Roman"/>
                      <w:b/>
                      <w:color w:val="auto"/>
                      <w:sz w:val="21"/>
                      <w:szCs w:val="21"/>
                    </w:rPr>
                  </w:pPr>
                </w:p>
              </w:tc>
              <w:tc>
                <w:tcPr>
                  <w:tcW w:w="834" w:type="pct"/>
                  <w:vMerge w:val="continue"/>
                  <w:vAlign w:val="center"/>
                </w:tcPr>
                <w:p>
                  <w:pPr>
                    <w:pStyle w:val="64"/>
                    <w:rPr>
                      <w:rFonts w:hint="default" w:ascii="Times New Roman" w:hAnsi="Times New Roman" w:eastAsia="宋体" w:cs="Times New Roman"/>
                      <w:b/>
                      <w:color w:val="auto"/>
                      <w:sz w:val="21"/>
                      <w:szCs w:val="21"/>
                    </w:rPr>
                  </w:pPr>
                </w:p>
              </w:tc>
              <w:tc>
                <w:tcPr>
                  <w:tcW w:w="394" w:type="pct"/>
                  <w:vMerge w:val="continue"/>
                  <w:vAlign w:val="center"/>
                </w:tcPr>
                <w:p>
                  <w:pPr>
                    <w:pStyle w:val="64"/>
                    <w:rPr>
                      <w:rFonts w:hint="default" w:ascii="Times New Roman" w:hAnsi="Times New Roman" w:eastAsia="宋体" w:cs="Times New Roman"/>
                      <w:b/>
                      <w:color w:val="auto"/>
                      <w:sz w:val="21"/>
                      <w:szCs w:val="21"/>
                    </w:rPr>
                  </w:pPr>
                </w:p>
              </w:tc>
              <w:tc>
                <w:tcPr>
                  <w:tcW w:w="659" w:type="pct"/>
                  <w:vMerge w:val="continue"/>
                  <w:vAlign w:val="center"/>
                </w:tcPr>
                <w:p>
                  <w:pPr>
                    <w:pStyle w:val="64"/>
                    <w:rPr>
                      <w:rFonts w:hint="default" w:ascii="Times New Roman" w:hAnsi="Times New Roman" w:eastAsia="宋体" w:cs="Times New Roman"/>
                      <w:b/>
                      <w:color w:val="auto"/>
                      <w:sz w:val="21"/>
                      <w:szCs w:val="21"/>
                    </w:rPr>
                  </w:pPr>
                </w:p>
              </w:tc>
              <w:tc>
                <w:tcPr>
                  <w:tcW w:w="419" w:type="pct"/>
                  <w:vMerge w:val="continue"/>
                  <w:vAlign w:val="center"/>
                </w:tcPr>
                <w:p>
                  <w:pPr>
                    <w:pStyle w:val="64"/>
                    <w:rPr>
                      <w:rFonts w:hint="default" w:ascii="Times New Roman" w:hAnsi="Times New Roman" w:eastAsia="宋体" w:cs="Times New Roman"/>
                      <w:b/>
                      <w:color w:val="auto"/>
                      <w:sz w:val="21"/>
                      <w:szCs w:val="21"/>
                    </w:rPr>
                  </w:pPr>
                </w:p>
              </w:tc>
              <w:tc>
                <w:tcPr>
                  <w:tcW w:w="703" w:type="pct"/>
                  <w:vMerge w:val="continue"/>
                  <w:vAlign w:val="center"/>
                </w:tcPr>
                <w:p>
                  <w:pPr>
                    <w:pStyle w:val="64"/>
                    <w:rPr>
                      <w:rFonts w:hint="default" w:ascii="Times New Roman" w:hAnsi="Times New Roman" w:eastAsia="宋体" w:cs="Times New Roman"/>
                      <w:b/>
                      <w:color w:val="auto"/>
                      <w:szCs w:val="21"/>
                    </w:rPr>
                  </w:pPr>
                </w:p>
              </w:tc>
              <w:tc>
                <w:tcPr>
                  <w:tcW w:w="433" w:type="pct"/>
                  <w:vAlign w:val="center"/>
                </w:tcPr>
                <w:p>
                  <w:pPr>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浓度mg/m</w:t>
                  </w:r>
                  <w:r>
                    <w:rPr>
                      <w:rFonts w:hint="default" w:ascii="Times New Roman" w:hAnsi="Times New Roman" w:eastAsia="宋体" w:cs="Times New Roman"/>
                      <w:b/>
                      <w:color w:val="auto"/>
                      <w:szCs w:val="21"/>
                      <w:vertAlign w:val="superscript"/>
                    </w:rPr>
                    <w:t>3</w:t>
                  </w:r>
                </w:p>
              </w:tc>
              <w:tc>
                <w:tcPr>
                  <w:tcW w:w="554" w:type="pct"/>
                  <w:vAlign w:val="center"/>
                </w:tcPr>
                <w:p>
                  <w:pPr>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速率kg/h</w:t>
                  </w:r>
                </w:p>
              </w:tc>
              <w:tc>
                <w:tcPr>
                  <w:tcW w:w="631" w:type="pct"/>
                  <w:vAlign w:val="center"/>
                </w:tcPr>
                <w:p>
                  <w:pPr>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排放量t/a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exact"/>
                <w:jc w:val="center"/>
              </w:trPr>
              <w:tc>
                <w:tcPr>
                  <w:tcW w:w="369" w:type="pct"/>
                  <w:vMerge w:val="restart"/>
                  <w:vAlign w:val="center"/>
                </w:tcPr>
                <w:p>
                  <w:pPr>
                    <w:snapToGrid w:val="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rPr>
                    <w:t>FQ-</w:t>
                  </w:r>
                  <w:r>
                    <w:rPr>
                      <w:rFonts w:hint="default" w:ascii="Times New Roman" w:hAnsi="Times New Roman" w:eastAsia="宋体" w:cs="Times New Roman"/>
                      <w:color w:val="auto"/>
                      <w:szCs w:val="21"/>
                      <w:lang w:val="en-US" w:eastAsia="zh-CN"/>
                    </w:rPr>
                    <w:t>1</w:t>
                  </w:r>
                </w:p>
              </w:tc>
              <w:tc>
                <w:tcPr>
                  <w:tcW w:w="834" w:type="pct"/>
                  <w:vAlign w:val="center"/>
                </w:tcPr>
                <w:p>
                  <w:pPr>
                    <w:pStyle w:val="64"/>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电泳、烘干工段</w:t>
                  </w:r>
                </w:p>
              </w:tc>
              <w:tc>
                <w:tcPr>
                  <w:tcW w:w="394" w:type="pct"/>
                  <w:vMerge w:val="restart"/>
                  <w:vAlign w:val="center"/>
                </w:tcPr>
                <w:p>
                  <w:pPr>
                    <w:pStyle w:val="64"/>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r>
                    <w:rPr>
                      <w:rFonts w:hint="eastAsia" w:ascii="Times New Roman" w:hAnsi="Times New Roman" w:eastAsia="宋体" w:cs="Times New Roman"/>
                      <w:color w:val="auto"/>
                      <w:sz w:val="21"/>
                      <w:szCs w:val="21"/>
                      <w:lang w:val="en-US" w:eastAsia="zh-CN"/>
                    </w:rPr>
                    <w:t>8</w:t>
                  </w:r>
                  <w:r>
                    <w:rPr>
                      <w:rFonts w:hint="default" w:ascii="Times New Roman" w:hAnsi="Times New Roman" w:eastAsia="宋体" w:cs="Times New Roman"/>
                      <w:color w:val="auto"/>
                      <w:sz w:val="21"/>
                      <w:szCs w:val="21"/>
                      <w:lang w:val="en-US" w:eastAsia="zh-CN"/>
                    </w:rPr>
                    <w:t>000</w:t>
                  </w:r>
                </w:p>
              </w:tc>
              <w:tc>
                <w:tcPr>
                  <w:tcW w:w="659" w:type="pct"/>
                  <w:vAlign w:val="center"/>
                </w:tcPr>
                <w:p>
                  <w:pPr>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二级活性炭</w:t>
                  </w:r>
                </w:p>
              </w:tc>
              <w:tc>
                <w:tcPr>
                  <w:tcW w:w="419" w:type="pct"/>
                  <w:vAlign w:val="center"/>
                </w:tcPr>
                <w:p>
                  <w:pPr>
                    <w:pStyle w:val="64"/>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90</w:t>
                  </w:r>
                </w:p>
              </w:tc>
              <w:tc>
                <w:tcPr>
                  <w:tcW w:w="703" w:type="pct"/>
                  <w:vAlign w:val="center"/>
                </w:tcPr>
                <w:p>
                  <w:pPr>
                    <w:pStyle w:val="51"/>
                    <w:spacing w:line="24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Cs w:val="21"/>
                    </w:rPr>
                    <w:t>非甲烷总烃</w:t>
                  </w:r>
                </w:p>
              </w:tc>
              <w:tc>
                <w:tcPr>
                  <w:tcW w:w="433" w:type="pct"/>
                  <w:vAlign w:val="center"/>
                </w:tcPr>
                <w:p>
                  <w:pPr>
                    <w:pStyle w:val="5"/>
                    <w:adjustRightInd w:val="0"/>
                    <w:snapToGrid w:val="0"/>
                    <w:ind w:firstLine="0"/>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5.039</w:t>
                  </w:r>
                </w:p>
              </w:tc>
              <w:tc>
                <w:tcPr>
                  <w:tcW w:w="554" w:type="pct"/>
                  <w:vAlign w:val="center"/>
                </w:tcPr>
                <w:p>
                  <w:pPr>
                    <w:pStyle w:val="5"/>
                    <w:adjustRightInd w:val="0"/>
                    <w:snapToGrid w:val="0"/>
                    <w:ind w:firstLine="0"/>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0.09</w:t>
                  </w:r>
                </w:p>
              </w:tc>
              <w:tc>
                <w:tcPr>
                  <w:tcW w:w="631" w:type="pct"/>
                  <w:vAlign w:val="center"/>
                </w:tcPr>
                <w:p>
                  <w:pPr>
                    <w:pStyle w:val="5"/>
                    <w:adjustRightInd w:val="0"/>
                    <w:snapToGrid w:val="0"/>
                    <w:ind w:firstLine="0"/>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0.4354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exact"/>
                <w:jc w:val="center"/>
              </w:trPr>
              <w:tc>
                <w:tcPr>
                  <w:tcW w:w="369" w:type="pct"/>
                  <w:vMerge w:val="continue"/>
                  <w:vAlign w:val="center"/>
                </w:tcPr>
                <w:p>
                  <w:pPr>
                    <w:snapToGrid w:val="0"/>
                    <w:jc w:val="center"/>
                    <w:rPr>
                      <w:rFonts w:hint="default" w:ascii="Times New Roman" w:hAnsi="Times New Roman" w:eastAsia="宋体" w:cs="Times New Roman"/>
                      <w:color w:val="auto"/>
                      <w:szCs w:val="21"/>
                    </w:rPr>
                  </w:pPr>
                </w:p>
              </w:tc>
              <w:tc>
                <w:tcPr>
                  <w:tcW w:w="834" w:type="pct"/>
                  <w:vMerge w:val="restart"/>
                  <w:vAlign w:val="center"/>
                </w:tcPr>
                <w:p>
                  <w:pPr>
                    <w:pStyle w:val="64"/>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天然气燃烧</w:t>
                  </w:r>
                </w:p>
              </w:tc>
              <w:tc>
                <w:tcPr>
                  <w:tcW w:w="394" w:type="pct"/>
                  <w:vMerge w:val="continue"/>
                  <w:vAlign w:val="center"/>
                </w:tcPr>
                <w:p>
                  <w:pPr>
                    <w:pStyle w:val="64"/>
                    <w:rPr>
                      <w:rFonts w:hint="default" w:ascii="Times New Roman" w:hAnsi="Times New Roman" w:eastAsia="宋体" w:cs="Times New Roman"/>
                      <w:color w:val="auto"/>
                      <w:sz w:val="21"/>
                      <w:szCs w:val="21"/>
                    </w:rPr>
                  </w:pPr>
                </w:p>
              </w:tc>
              <w:tc>
                <w:tcPr>
                  <w:tcW w:w="659" w:type="pct"/>
                  <w:vAlign w:val="center"/>
                </w:tcPr>
                <w:p>
                  <w:pPr>
                    <w:pStyle w:val="64"/>
                    <w:rPr>
                      <w:rFonts w:hint="default" w:ascii="Times New Roman" w:hAnsi="Times New Roman" w:eastAsia="宋体" w:cs="Times New Roman"/>
                      <w:color w:val="auto"/>
                      <w:kern w:val="44"/>
                      <w:sz w:val="21"/>
                      <w:szCs w:val="21"/>
                      <w:lang w:val="en-US" w:eastAsia="zh-CN" w:bidi="ar-SA"/>
                    </w:rPr>
                  </w:pPr>
                  <w:r>
                    <w:rPr>
                      <w:rFonts w:hint="default" w:ascii="Times New Roman" w:hAnsi="Times New Roman" w:eastAsia="宋体" w:cs="Times New Roman"/>
                      <w:color w:val="auto"/>
                      <w:sz w:val="21"/>
                      <w:szCs w:val="21"/>
                      <w:lang w:val="en-US" w:eastAsia="zh-CN"/>
                    </w:rPr>
                    <w:t>/</w:t>
                  </w:r>
                </w:p>
              </w:tc>
              <w:tc>
                <w:tcPr>
                  <w:tcW w:w="419" w:type="pct"/>
                  <w:vAlign w:val="center"/>
                </w:tcPr>
                <w:p>
                  <w:pPr>
                    <w:pStyle w:val="64"/>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703" w:type="pct"/>
                  <w:vAlign w:val="center"/>
                </w:tcPr>
                <w:p>
                  <w:pPr>
                    <w:pStyle w:val="51"/>
                    <w:spacing w:line="24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Cs w:val="21"/>
                      <w:lang w:val="en-US" w:eastAsia="zh-CN"/>
                    </w:rPr>
                    <w:t>氮氧化物</w:t>
                  </w:r>
                </w:p>
              </w:tc>
              <w:tc>
                <w:tcPr>
                  <w:tcW w:w="433" w:type="pct"/>
                  <w:vAlign w:val="center"/>
                </w:tcPr>
                <w:p>
                  <w:pPr>
                    <w:pStyle w:val="51"/>
                    <w:spacing w:line="240" w:lineRule="auto"/>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cs="Times New Roman"/>
                      <w:color w:val="auto"/>
                      <w:szCs w:val="21"/>
                      <w:lang w:val="en-US" w:eastAsia="zh-CN"/>
                    </w:rPr>
                    <w:t>2.1</w:t>
                  </w:r>
                </w:p>
              </w:tc>
              <w:tc>
                <w:tcPr>
                  <w:tcW w:w="554" w:type="pct"/>
                  <w:vAlign w:val="center"/>
                </w:tcPr>
                <w:p>
                  <w:pPr>
                    <w:pStyle w:val="51"/>
                    <w:spacing w:line="240" w:lineRule="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color w:val="auto"/>
                      <w:szCs w:val="21"/>
                      <w:lang w:val="en-US" w:eastAsia="zh-CN"/>
                    </w:rPr>
                    <w:t>0.0379</w:t>
                  </w:r>
                </w:p>
              </w:tc>
              <w:tc>
                <w:tcPr>
                  <w:tcW w:w="631" w:type="pct"/>
                  <w:vAlign w:val="center"/>
                </w:tcPr>
                <w:p>
                  <w:pPr>
                    <w:pStyle w:val="51"/>
                    <w:spacing w:line="240" w:lineRule="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0.0909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exact"/>
                <w:jc w:val="center"/>
              </w:trPr>
              <w:tc>
                <w:tcPr>
                  <w:tcW w:w="369" w:type="pct"/>
                  <w:vMerge w:val="continue"/>
                  <w:vAlign w:val="center"/>
                </w:tcPr>
                <w:p>
                  <w:pPr>
                    <w:snapToGrid w:val="0"/>
                    <w:jc w:val="center"/>
                    <w:rPr>
                      <w:rFonts w:hint="default" w:ascii="Times New Roman" w:hAnsi="Times New Roman" w:eastAsia="宋体" w:cs="Times New Roman"/>
                      <w:color w:val="auto"/>
                      <w:szCs w:val="21"/>
                    </w:rPr>
                  </w:pPr>
                </w:p>
              </w:tc>
              <w:tc>
                <w:tcPr>
                  <w:tcW w:w="834" w:type="pct"/>
                  <w:vMerge w:val="continue"/>
                  <w:vAlign w:val="center"/>
                </w:tcPr>
                <w:p>
                  <w:pPr>
                    <w:pStyle w:val="64"/>
                    <w:rPr>
                      <w:rFonts w:hint="default" w:ascii="Times New Roman" w:hAnsi="Times New Roman" w:eastAsia="宋体" w:cs="Times New Roman"/>
                      <w:color w:val="auto"/>
                      <w:sz w:val="21"/>
                      <w:szCs w:val="21"/>
                      <w:lang w:val="en-US" w:eastAsia="zh-CN"/>
                    </w:rPr>
                  </w:pPr>
                </w:p>
              </w:tc>
              <w:tc>
                <w:tcPr>
                  <w:tcW w:w="394" w:type="pct"/>
                  <w:vMerge w:val="continue"/>
                  <w:vAlign w:val="center"/>
                </w:tcPr>
                <w:p>
                  <w:pPr>
                    <w:pStyle w:val="64"/>
                    <w:rPr>
                      <w:rFonts w:hint="default" w:ascii="Times New Roman" w:hAnsi="Times New Roman" w:eastAsia="宋体" w:cs="Times New Roman"/>
                      <w:color w:val="auto"/>
                      <w:sz w:val="21"/>
                      <w:szCs w:val="21"/>
                    </w:rPr>
                  </w:pPr>
                </w:p>
              </w:tc>
              <w:tc>
                <w:tcPr>
                  <w:tcW w:w="659" w:type="pct"/>
                  <w:vAlign w:val="center"/>
                </w:tcPr>
                <w:p>
                  <w:pPr>
                    <w:pStyle w:val="64"/>
                    <w:rPr>
                      <w:rFonts w:hint="default" w:ascii="Times New Roman" w:hAnsi="Times New Roman" w:eastAsia="宋体" w:cs="Times New Roman"/>
                      <w:color w:val="auto"/>
                      <w:kern w:val="44"/>
                      <w:sz w:val="21"/>
                      <w:szCs w:val="21"/>
                      <w:lang w:val="en-US" w:eastAsia="zh-CN" w:bidi="ar-SA"/>
                    </w:rPr>
                  </w:pPr>
                  <w:r>
                    <w:rPr>
                      <w:rFonts w:hint="default" w:ascii="Times New Roman" w:hAnsi="Times New Roman" w:eastAsia="宋体" w:cs="Times New Roman"/>
                      <w:color w:val="auto"/>
                      <w:sz w:val="21"/>
                      <w:szCs w:val="21"/>
                      <w:lang w:val="en-US" w:eastAsia="zh-CN"/>
                    </w:rPr>
                    <w:t>/</w:t>
                  </w:r>
                </w:p>
              </w:tc>
              <w:tc>
                <w:tcPr>
                  <w:tcW w:w="419" w:type="pct"/>
                  <w:vAlign w:val="center"/>
                </w:tcPr>
                <w:p>
                  <w:pPr>
                    <w:pStyle w:val="64"/>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703" w:type="pct"/>
                  <w:vAlign w:val="center"/>
                </w:tcPr>
                <w:p>
                  <w:pPr>
                    <w:pStyle w:val="51"/>
                    <w:spacing w:line="24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Cs w:val="21"/>
                      <w:lang w:val="en-US" w:eastAsia="zh-CN"/>
                    </w:rPr>
                    <w:t>颗粒物</w:t>
                  </w:r>
                </w:p>
              </w:tc>
              <w:tc>
                <w:tcPr>
                  <w:tcW w:w="433" w:type="pct"/>
                  <w:vAlign w:val="center"/>
                </w:tcPr>
                <w:p>
                  <w:pPr>
                    <w:pStyle w:val="51"/>
                    <w:spacing w:line="240" w:lineRule="auto"/>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cs="Times New Roman"/>
                      <w:color w:val="auto"/>
                      <w:szCs w:val="21"/>
                      <w:lang w:val="en-US" w:eastAsia="zh-CN"/>
                    </w:rPr>
                    <w:t>1.67</w:t>
                  </w:r>
                </w:p>
              </w:tc>
              <w:tc>
                <w:tcPr>
                  <w:tcW w:w="554" w:type="pct"/>
                  <w:vAlign w:val="center"/>
                </w:tcPr>
                <w:p>
                  <w:pPr>
                    <w:pStyle w:val="51"/>
                    <w:spacing w:line="240" w:lineRule="auto"/>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cs="Times New Roman"/>
                      <w:color w:val="auto"/>
                      <w:szCs w:val="21"/>
                      <w:lang w:val="en-US" w:eastAsia="zh-CN"/>
                    </w:rPr>
                    <w:t>0.03</w:t>
                  </w:r>
                </w:p>
              </w:tc>
              <w:tc>
                <w:tcPr>
                  <w:tcW w:w="631" w:type="pct"/>
                  <w:vAlign w:val="center"/>
                </w:tcPr>
                <w:p>
                  <w:pPr>
                    <w:pStyle w:val="51"/>
                    <w:spacing w:line="240" w:lineRule="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0.0</w:t>
                  </w:r>
                  <w:r>
                    <w:rPr>
                      <w:rFonts w:hint="eastAsia" w:ascii="Times New Roman" w:hAnsi="Times New Roman" w:cs="Times New Roman"/>
                      <w:color w:val="auto"/>
                      <w:szCs w:val="21"/>
                      <w:lang w:val="en-US" w:eastAsia="zh-CN"/>
                    </w:rPr>
                    <w:t>7</w:t>
                  </w:r>
                  <w:r>
                    <w:rPr>
                      <w:rFonts w:hint="default" w:ascii="Times New Roman" w:hAnsi="Times New Roman" w:eastAsia="宋体" w:cs="Times New Roman"/>
                      <w:color w:val="auto"/>
                      <w:szCs w:val="21"/>
                      <w:lang w:val="en-US" w:eastAsia="zh-C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exact"/>
                <w:jc w:val="center"/>
              </w:trPr>
              <w:tc>
                <w:tcPr>
                  <w:tcW w:w="369" w:type="pct"/>
                  <w:vMerge w:val="continue"/>
                  <w:vAlign w:val="center"/>
                </w:tcPr>
                <w:p>
                  <w:pPr>
                    <w:snapToGrid w:val="0"/>
                    <w:jc w:val="center"/>
                    <w:rPr>
                      <w:rFonts w:hint="default" w:ascii="Times New Roman" w:hAnsi="Times New Roman" w:eastAsia="宋体" w:cs="Times New Roman"/>
                      <w:color w:val="auto"/>
                      <w:szCs w:val="21"/>
                    </w:rPr>
                  </w:pPr>
                </w:p>
              </w:tc>
              <w:tc>
                <w:tcPr>
                  <w:tcW w:w="834" w:type="pct"/>
                  <w:vMerge w:val="continue"/>
                  <w:vAlign w:val="center"/>
                </w:tcPr>
                <w:p>
                  <w:pPr>
                    <w:pStyle w:val="64"/>
                    <w:rPr>
                      <w:rFonts w:hint="default" w:ascii="Times New Roman" w:hAnsi="Times New Roman" w:eastAsia="宋体" w:cs="Times New Roman"/>
                      <w:color w:val="auto"/>
                      <w:sz w:val="21"/>
                      <w:szCs w:val="21"/>
                      <w:lang w:val="en-US" w:eastAsia="zh-CN"/>
                    </w:rPr>
                  </w:pPr>
                </w:p>
              </w:tc>
              <w:tc>
                <w:tcPr>
                  <w:tcW w:w="394" w:type="pct"/>
                  <w:vMerge w:val="continue"/>
                  <w:vAlign w:val="center"/>
                </w:tcPr>
                <w:p>
                  <w:pPr>
                    <w:pStyle w:val="64"/>
                    <w:rPr>
                      <w:rFonts w:hint="default" w:ascii="Times New Roman" w:hAnsi="Times New Roman" w:eastAsia="宋体" w:cs="Times New Roman"/>
                      <w:color w:val="auto"/>
                      <w:sz w:val="21"/>
                      <w:szCs w:val="21"/>
                    </w:rPr>
                  </w:pPr>
                </w:p>
              </w:tc>
              <w:tc>
                <w:tcPr>
                  <w:tcW w:w="659" w:type="pct"/>
                  <w:vAlign w:val="center"/>
                </w:tcPr>
                <w:p>
                  <w:pPr>
                    <w:pStyle w:val="64"/>
                    <w:rPr>
                      <w:rFonts w:hint="default" w:ascii="Times New Roman" w:hAnsi="Times New Roman" w:eastAsia="宋体" w:cs="Times New Roman"/>
                      <w:color w:val="auto"/>
                      <w:kern w:val="44"/>
                      <w:sz w:val="21"/>
                      <w:szCs w:val="21"/>
                      <w:lang w:val="en-US" w:eastAsia="zh-CN" w:bidi="ar-SA"/>
                    </w:rPr>
                  </w:pPr>
                  <w:r>
                    <w:rPr>
                      <w:rFonts w:hint="default" w:ascii="Times New Roman" w:hAnsi="Times New Roman" w:eastAsia="宋体" w:cs="Times New Roman"/>
                      <w:color w:val="auto"/>
                      <w:sz w:val="21"/>
                      <w:szCs w:val="21"/>
                      <w:lang w:val="en-US" w:eastAsia="zh-CN"/>
                    </w:rPr>
                    <w:t>/</w:t>
                  </w:r>
                </w:p>
              </w:tc>
              <w:tc>
                <w:tcPr>
                  <w:tcW w:w="419" w:type="pct"/>
                  <w:vAlign w:val="center"/>
                </w:tcPr>
                <w:p>
                  <w:pPr>
                    <w:pStyle w:val="64"/>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703" w:type="pct"/>
                  <w:vAlign w:val="center"/>
                </w:tcPr>
                <w:p>
                  <w:pPr>
                    <w:pStyle w:val="51"/>
                    <w:spacing w:line="24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Cs w:val="21"/>
                      <w:lang w:val="en-US" w:eastAsia="zh-CN"/>
                    </w:rPr>
                    <w:t>二氧化硫</w:t>
                  </w:r>
                </w:p>
              </w:tc>
              <w:tc>
                <w:tcPr>
                  <w:tcW w:w="433" w:type="pct"/>
                  <w:vAlign w:val="center"/>
                </w:tcPr>
                <w:p>
                  <w:pPr>
                    <w:pStyle w:val="51"/>
                    <w:spacing w:line="240" w:lineRule="auto"/>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cs="Times New Roman"/>
                      <w:color w:val="auto"/>
                      <w:szCs w:val="21"/>
                      <w:lang w:val="en-US" w:eastAsia="zh-CN"/>
                    </w:rPr>
                    <w:t>2.78</w:t>
                  </w:r>
                </w:p>
              </w:tc>
              <w:tc>
                <w:tcPr>
                  <w:tcW w:w="554" w:type="pct"/>
                  <w:vAlign w:val="center"/>
                </w:tcPr>
                <w:p>
                  <w:pPr>
                    <w:pStyle w:val="51"/>
                    <w:spacing w:line="240" w:lineRule="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color w:val="auto"/>
                      <w:szCs w:val="21"/>
                      <w:lang w:val="en-US" w:eastAsia="zh-CN"/>
                    </w:rPr>
                    <w:t>0.0</w:t>
                  </w:r>
                  <w:r>
                    <w:rPr>
                      <w:rFonts w:hint="eastAsia" w:ascii="Times New Roman" w:hAnsi="Times New Roman" w:cs="Times New Roman"/>
                      <w:color w:val="auto"/>
                      <w:szCs w:val="21"/>
                      <w:lang w:val="en-US" w:eastAsia="zh-CN"/>
                    </w:rPr>
                    <w:t>5</w:t>
                  </w:r>
                </w:p>
              </w:tc>
              <w:tc>
                <w:tcPr>
                  <w:tcW w:w="631" w:type="pct"/>
                  <w:vAlign w:val="center"/>
                </w:tcPr>
                <w:p>
                  <w:pPr>
                    <w:pStyle w:val="51"/>
                    <w:spacing w:line="240" w:lineRule="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0.</w:t>
                  </w:r>
                  <w:r>
                    <w:rPr>
                      <w:rFonts w:hint="eastAsia" w:ascii="Times New Roman" w:hAnsi="Times New Roman" w:cs="Times New Roman"/>
                      <w:color w:val="auto"/>
                      <w:szCs w:val="21"/>
                      <w:lang w:val="en-US" w:eastAsia="zh-CN"/>
                    </w:rPr>
                    <w:t>12</w:t>
                  </w:r>
                </w:p>
              </w:tc>
            </w:tr>
          </w:tbl>
          <w:p>
            <w:pPr>
              <w:tabs>
                <w:tab w:val="left" w:pos="7875"/>
              </w:tabs>
              <w:snapToGrid w:val="0"/>
              <w:spacing w:line="360" w:lineRule="auto"/>
              <w:ind w:firstLine="420"/>
              <w:rPr>
                <w:rFonts w:hint="default" w:ascii="Times New Roman" w:hAnsi="Times New Roman" w:eastAsia="宋体" w:cs="Times New Roman"/>
                <w:bCs/>
                <w:snapToGrid w:val="0"/>
                <w:color w:val="auto"/>
                <w:kern w:val="0"/>
                <w:sz w:val="24"/>
                <w:szCs w:val="22"/>
              </w:rPr>
            </w:pPr>
            <w:r>
              <w:rPr>
                <w:rFonts w:hint="default" w:ascii="Times New Roman" w:hAnsi="Times New Roman" w:eastAsia="宋体" w:cs="Times New Roman"/>
                <w:bCs/>
                <w:snapToGrid w:val="0"/>
                <w:color w:val="auto"/>
                <w:kern w:val="0"/>
                <w:sz w:val="24"/>
                <w:szCs w:val="22"/>
              </w:rPr>
              <w:t>②无组织废气</w:t>
            </w:r>
          </w:p>
          <w:p>
            <w:pPr>
              <w:tabs>
                <w:tab w:val="left" w:pos="7875"/>
              </w:tabs>
              <w:snapToGrid w:val="0"/>
              <w:spacing w:line="360" w:lineRule="auto"/>
              <w:ind w:firstLine="420"/>
              <w:rPr>
                <w:rFonts w:hint="default" w:ascii="Times New Roman" w:hAnsi="Times New Roman" w:eastAsia="宋体" w:cs="Times New Roman"/>
                <w:snapToGrid w:val="0"/>
                <w:color w:val="auto"/>
                <w:kern w:val="0"/>
                <w:sz w:val="24"/>
                <w:szCs w:val="22"/>
              </w:rPr>
            </w:pPr>
            <w:r>
              <w:rPr>
                <w:rFonts w:hint="default" w:ascii="Times New Roman" w:hAnsi="Times New Roman" w:eastAsia="宋体" w:cs="Times New Roman"/>
                <w:snapToGrid w:val="0"/>
                <w:color w:val="auto"/>
                <w:kern w:val="0"/>
                <w:sz w:val="24"/>
                <w:szCs w:val="22"/>
              </w:rPr>
              <w:t>本项目废气无组织排放情况见下表：</w:t>
            </w:r>
          </w:p>
          <w:p>
            <w:pPr>
              <w:jc w:val="center"/>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表4-</w:t>
            </w:r>
            <w:r>
              <w:rPr>
                <w:rFonts w:hint="eastAsia" w:cs="Times New Roman"/>
                <w:b/>
                <w:bCs/>
                <w:color w:val="auto"/>
                <w:sz w:val="24"/>
                <w:lang w:val="en-US" w:eastAsia="zh-CN"/>
              </w:rPr>
              <w:t>6</w:t>
            </w:r>
            <w:r>
              <w:rPr>
                <w:rFonts w:hint="default" w:ascii="Times New Roman" w:hAnsi="Times New Roman" w:eastAsia="宋体" w:cs="Times New Roman"/>
                <w:b/>
                <w:bCs/>
                <w:color w:val="auto"/>
                <w:sz w:val="24"/>
              </w:rPr>
              <w:t xml:space="preserve"> 本项目无组织废气污染物排放情况</w:t>
            </w:r>
          </w:p>
          <w:tbl>
            <w:tblPr>
              <w:tblStyle w:val="22"/>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69"/>
              <w:gridCol w:w="1336"/>
              <w:gridCol w:w="1082"/>
              <w:gridCol w:w="1181"/>
              <w:gridCol w:w="1237"/>
              <w:gridCol w:w="1237"/>
              <w:gridCol w:w="119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8" w:type="pc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工作车间</w:t>
                  </w:r>
                </w:p>
              </w:tc>
              <w:tc>
                <w:tcPr>
                  <w:tcW w:w="810" w:type="pct"/>
                  <w:vAlign w:val="center"/>
                </w:tcPr>
                <w:p>
                  <w:pPr>
                    <w:adjustRightInd w:val="0"/>
                    <w:snapToGrid w:val="0"/>
                    <w:jc w:val="center"/>
                    <w:rPr>
                      <w:rFonts w:hint="default" w:ascii="Times New Roman" w:hAnsi="Times New Roman" w:eastAsia="宋体" w:cs="Times New Roman"/>
                      <w:color w:val="auto"/>
                    </w:rPr>
                  </w:pPr>
                  <w:r>
                    <w:rPr>
                      <w:rFonts w:hint="default" w:ascii="Times New Roman" w:hAnsi="Times New Roman" w:eastAsia="宋体" w:cs="Times New Roman"/>
                      <w:b/>
                      <w:bCs/>
                      <w:color w:val="auto"/>
                      <w:szCs w:val="21"/>
                    </w:rPr>
                    <w:t>产生环节</w:t>
                  </w:r>
                </w:p>
              </w:tc>
              <w:tc>
                <w:tcPr>
                  <w:tcW w:w="656" w:type="pc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污染物名称</w:t>
                  </w:r>
                </w:p>
              </w:tc>
              <w:tc>
                <w:tcPr>
                  <w:tcW w:w="716" w:type="pc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排放量t/a</w:t>
                  </w:r>
                </w:p>
              </w:tc>
              <w:tc>
                <w:tcPr>
                  <w:tcW w:w="750" w:type="pct"/>
                  <w:vAlign w:val="center"/>
                </w:tcPr>
                <w:p>
                  <w:pPr>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rPr>
                    <w:t>排放速率(kg/h)</w:t>
                  </w:r>
                </w:p>
              </w:tc>
              <w:tc>
                <w:tcPr>
                  <w:tcW w:w="750" w:type="pc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面源面积m</w:t>
                  </w:r>
                  <w:r>
                    <w:rPr>
                      <w:rFonts w:hint="default" w:ascii="Times New Roman" w:hAnsi="Times New Roman" w:eastAsia="宋体" w:cs="Times New Roman"/>
                      <w:b/>
                      <w:bCs/>
                      <w:color w:val="auto"/>
                      <w:szCs w:val="21"/>
                      <w:vertAlign w:val="superscript"/>
                    </w:rPr>
                    <w:t>2</w:t>
                  </w:r>
                </w:p>
              </w:tc>
              <w:tc>
                <w:tcPr>
                  <w:tcW w:w="726" w:type="pc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面源高度m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8" w:type="pct"/>
                  <w:vAlign w:val="center"/>
                </w:tcPr>
                <w:p>
                  <w:pPr>
                    <w:adjustRightInd w:val="0"/>
                    <w:snapToGrid w:val="0"/>
                    <w:jc w:val="center"/>
                    <w:rPr>
                      <w:rFonts w:hint="default" w:ascii="Times New Roman" w:hAnsi="Times New Roman" w:eastAsia="宋体" w:cs="Times New Roman"/>
                      <w:color w:val="auto"/>
                      <w:kern w:val="44"/>
                      <w:szCs w:val="21"/>
                      <w:lang w:val="en-US" w:eastAsia="zh-CN"/>
                    </w:rPr>
                  </w:pPr>
                  <w:r>
                    <w:rPr>
                      <w:rFonts w:hint="default" w:ascii="Times New Roman" w:hAnsi="Times New Roman" w:eastAsia="宋体" w:cs="Times New Roman"/>
                      <w:color w:val="auto"/>
                      <w:kern w:val="44"/>
                      <w:szCs w:val="21"/>
                      <w:lang w:val="en-US" w:eastAsia="zh-CN"/>
                    </w:rPr>
                    <w:t>生产车间</w:t>
                  </w:r>
                </w:p>
              </w:tc>
              <w:tc>
                <w:tcPr>
                  <w:tcW w:w="810" w:type="pct"/>
                  <w:vAlign w:val="center"/>
                </w:tcPr>
                <w:p>
                  <w:pPr>
                    <w:adjustRightInd w:val="0"/>
                    <w:snapToGrid w:val="0"/>
                    <w:jc w:val="center"/>
                    <w:rPr>
                      <w:rFonts w:hint="default" w:ascii="Times New Roman" w:hAnsi="Times New Roman" w:eastAsia="宋体" w:cs="Times New Roman"/>
                      <w:color w:val="auto"/>
                      <w:kern w:val="44"/>
                      <w:szCs w:val="21"/>
                    </w:rPr>
                  </w:pPr>
                  <w:r>
                    <w:rPr>
                      <w:rFonts w:hint="default" w:ascii="Times New Roman" w:hAnsi="Times New Roman" w:eastAsia="宋体" w:cs="Times New Roman"/>
                      <w:color w:val="auto"/>
                      <w:sz w:val="21"/>
                      <w:szCs w:val="21"/>
                      <w:lang w:val="en-US" w:eastAsia="zh-CN"/>
                    </w:rPr>
                    <w:t>电泳、烘干工段</w:t>
                  </w:r>
                </w:p>
              </w:tc>
              <w:tc>
                <w:tcPr>
                  <w:tcW w:w="656" w:type="pct"/>
                  <w:vAlign w:val="center"/>
                </w:tcPr>
                <w:p>
                  <w:pPr>
                    <w:adjustRightInd w:val="0"/>
                    <w:snapToGrid w:val="0"/>
                    <w:jc w:val="center"/>
                    <w:rPr>
                      <w:rFonts w:hint="default" w:ascii="Times New Roman" w:hAnsi="Times New Roman" w:eastAsia="宋体" w:cs="Times New Roman"/>
                      <w:color w:val="auto"/>
                      <w:kern w:val="44"/>
                      <w:szCs w:val="21"/>
                    </w:rPr>
                  </w:pPr>
                  <w:r>
                    <w:rPr>
                      <w:rFonts w:hint="default" w:ascii="Times New Roman" w:hAnsi="Times New Roman" w:eastAsia="宋体" w:cs="Times New Roman"/>
                      <w:color w:val="auto"/>
                      <w:kern w:val="44"/>
                      <w:szCs w:val="21"/>
                    </w:rPr>
                    <w:t>非甲烷总烃</w:t>
                  </w:r>
                </w:p>
              </w:tc>
              <w:tc>
                <w:tcPr>
                  <w:tcW w:w="716" w:type="pct"/>
                  <w:vAlign w:val="center"/>
                </w:tcPr>
                <w:p>
                  <w:pPr>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0.484</w:t>
                  </w:r>
                </w:p>
              </w:tc>
              <w:tc>
                <w:tcPr>
                  <w:tcW w:w="750" w:type="pct"/>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lang w:val="en-US" w:eastAsia="zh-CN"/>
                    </w:rPr>
                    <w:t>0.</w:t>
                  </w:r>
                  <w:r>
                    <w:rPr>
                      <w:rFonts w:hint="eastAsia" w:ascii="Times New Roman" w:hAnsi="Times New Roman" w:eastAsia="宋体" w:cs="Times New Roman"/>
                      <w:color w:val="auto"/>
                      <w:lang w:val="en-US" w:eastAsia="zh-CN"/>
                    </w:rPr>
                    <w:t>1</w:t>
                  </w:r>
                </w:p>
              </w:tc>
              <w:tc>
                <w:tcPr>
                  <w:tcW w:w="750" w:type="pct"/>
                  <w:vAlign w:val="center"/>
                </w:tcPr>
                <w:p>
                  <w:pPr>
                    <w:adjustRightInd w:val="0"/>
                    <w:snapToGrid w:val="0"/>
                    <w:jc w:val="center"/>
                    <w:rPr>
                      <w:rFonts w:hint="default" w:ascii="Times New Roman" w:hAnsi="Times New Roman" w:eastAsia="宋体" w:cs="Times New Roman"/>
                      <w:color w:val="auto"/>
                      <w:kern w:val="44"/>
                      <w:sz w:val="21"/>
                      <w:szCs w:val="21"/>
                      <w:lang w:val="en-US" w:eastAsia="zh-CN" w:bidi="ar-SA"/>
                    </w:rPr>
                  </w:pPr>
                  <w:r>
                    <w:rPr>
                      <w:rFonts w:hint="default" w:ascii="Times New Roman" w:hAnsi="Times New Roman" w:eastAsia="宋体" w:cs="Times New Roman"/>
                      <w:color w:val="auto"/>
                      <w:kern w:val="44"/>
                      <w:szCs w:val="21"/>
                      <w:lang w:val="en-US" w:eastAsia="zh-CN"/>
                    </w:rPr>
                    <w:t>1008</w:t>
                  </w:r>
                </w:p>
              </w:tc>
              <w:tc>
                <w:tcPr>
                  <w:tcW w:w="726" w:type="pct"/>
                  <w:vAlign w:val="center"/>
                </w:tcPr>
                <w:p>
                  <w:pPr>
                    <w:adjustRightInd w:val="0"/>
                    <w:snapToGrid w:val="0"/>
                    <w:jc w:val="center"/>
                    <w:rPr>
                      <w:rFonts w:hint="default" w:ascii="Times New Roman" w:hAnsi="Times New Roman" w:eastAsia="宋体" w:cs="Times New Roman"/>
                      <w:color w:val="auto"/>
                      <w:kern w:val="44"/>
                      <w:sz w:val="21"/>
                      <w:szCs w:val="21"/>
                      <w:lang w:val="en-US" w:eastAsia="zh-CN" w:bidi="ar-SA"/>
                    </w:rPr>
                  </w:pPr>
                  <w:r>
                    <w:rPr>
                      <w:rFonts w:hint="default" w:ascii="Times New Roman" w:hAnsi="Times New Roman" w:eastAsia="宋体" w:cs="Times New Roman"/>
                      <w:color w:val="auto"/>
                      <w:kern w:val="44"/>
                      <w:szCs w:val="21"/>
                      <w:lang w:val="en-US" w:eastAsia="zh-CN"/>
                    </w:rPr>
                    <w:t>9.15</w:t>
                  </w:r>
                </w:p>
              </w:tc>
            </w:tr>
          </w:tbl>
          <w:p>
            <w:pPr>
              <w:pStyle w:val="5"/>
              <w:adjustRightInd w:val="0"/>
              <w:snapToGrid w:val="0"/>
              <w:spacing w:line="360" w:lineRule="auto"/>
              <w:ind w:firstLine="480" w:firstLineChars="200"/>
              <w:rPr>
                <w:rFonts w:hint="default" w:ascii="Times New Roman" w:hAnsi="Times New Roman" w:eastAsia="宋体" w:cs="Times New Roman"/>
                <w:color w:val="auto"/>
                <w:sz w:val="24"/>
                <w:szCs w:val="24"/>
              </w:rPr>
            </w:pPr>
          </w:p>
          <w:p>
            <w:pPr>
              <w:pStyle w:val="5"/>
              <w:adjustRightInd w:val="0"/>
              <w:snapToGrid w:val="0"/>
              <w:spacing w:line="360" w:lineRule="auto"/>
              <w:ind w:firstLine="480" w:firstLineChars="200"/>
              <w:rPr>
                <w:rFonts w:hint="default" w:ascii="Times New Roman" w:hAnsi="Times New Roman" w:eastAsia="宋体" w:cs="Times New Roman"/>
                <w:color w:val="auto"/>
                <w:sz w:val="24"/>
                <w:szCs w:val="24"/>
              </w:rPr>
            </w:pPr>
          </w:p>
          <w:p>
            <w:pPr>
              <w:pStyle w:val="5"/>
              <w:adjustRightInd w:val="0"/>
              <w:snapToGrid w:val="0"/>
              <w:spacing w:line="360" w:lineRule="auto"/>
              <w:ind w:firstLine="480" w:firstLineChars="200"/>
              <w:rPr>
                <w:rFonts w:hint="default" w:ascii="Times New Roman" w:hAnsi="Times New Roman" w:eastAsia="宋体" w:cs="Times New Roman"/>
                <w:color w:val="auto"/>
                <w:sz w:val="24"/>
                <w:szCs w:val="24"/>
              </w:rPr>
            </w:pPr>
          </w:p>
          <w:p>
            <w:pPr>
              <w:pStyle w:val="5"/>
              <w:adjustRightInd w:val="0"/>
              <w:snapToGrid w:val="0"/>
              <w:spacing w:line="360" w:lineRule="auto"/>
              <w:ind w:firstLine="480" w:firstLineChars="200"/>
              <w:rPr>
                <w:rFonts w:hint="default" w:ascii="Times New Roman" w:hAnsi="Times New Roman" w:eastAsia="宋体" w:cs="Times New Roman"/>
                <w:color w:val="auto"/>
                <w:sz w:val="24"/>
                <w:szCs w:val="24"/>
              </w:rPr>
            </w:pPr>
          </w:p>
          <w:p>
            <w:pPr>
              <w:pStyle w:val="5"/>
              <w:adjustRightInd w:val="0"/>
              <w:snapToGrid w:val="0"/>
              <w:spacing w:line="360" w:lineRule="auto"/>
              <w:ind w:firstLine="480" w:firstLineChars="200"/>
              <w:rPr>
                <w:rFonts w:hint="default" w:ascii="Times New Roman" w:hAnsi="Times New Roman" w:eastAsia="宋体" w:cs="Times New Roman"/>
                <w:color w:val="auto"/>
                <w:sz w:val="24"/>
                <w:szCs w:val="24"/>
              </w:rPr>
            </w:pPr>
          </w:p>
          <w:p>
            <w:pPr>
              <w:pStyle w:val="5"/>
              <w:adjustRightInd w:val="0"/>
              <w:snapToGrid w:val="0"/>
              <w:spacing w:line="360" w:lineRule="auto"/>
              <w:ind w:firstLine="480" w:firstLineChars="200"/>
              <w:rPr>
                <w:rFonts w:hint="default" w:ascii="Times New Roman" w:hAnsi="Times New Roman" w:eastAsia="宋体" w:cs="Times New Roman"/>
                <w:color w:val="auto"/>
                <w:sz w:val="24"/>
                <w:szCs w:val="24"/>
              </w:rPr>
            </w:pPr>
          </w:p>
          <w:p>
            <w:pPr>
              <w:pStyle w:val="5"/>
              <w:adjustRightInd w:val="0"/>
              <w:snapToGrid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6）排放口基本情况</w:t>
            </w:r>
          </w:p>
          <w:p>
            <w:pPr>
              <w:snapToGrid w:val="0"/>
              <w:jc w:val="center"/>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表4-</w:t>
            </w:r>
            <w:r>
              <w:rPr>
                <w:rFonts w:hint="eastAsia" w:cs="Times New Roman"/>
                <w:b/>
                <w:color w:val="auto"/>
                <w:sz w:val="24"/>
                <w:lang w:val="en-US" w:eastAsia="zh-CN"/>
              </w:rPr>
              <w:t>7</w:t>
            </w:r>
            <w:r>
              <w:rPr>
                <w:rFonts w:hint="default" w:ascii="Times New Roman" w:hAnsi="Times New Roman" w:eastAsia="宋体" w:cs="Times New Roman"/>
                <w:b/>
                <w:color w:val="auto"/>
                <w:sz w:val="24"/>
              </w:rPr>
              <w:t xml:space="preserve"> 排放口基本情况表</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436"/>
              <w:gridCol w:w="288"/>
              <w:gridCol w:w="714"/>
              <w:gridCol w:w="743"/>
              <w:gridCol w:w="675"/>
              <w:gridCol w:w="587"/>
              <w:gridCol w:w="639"/>
              <w:gridCol w:w="583"/>
              <w:gridCol w:w="1846"/>
              <w:gridCol w:w="1141"/>
              <w:gridCol w:w="59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4" w:type="pct"/>
                  <w:vMerge w:val="restart"/>
                  <w:vAlign w:val="center"/>
                </w:tcPr>
                <w:p>
                  <w:pPr>
                    <w:pStyle w:val="64"/>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排气筒编号</w:t>
                  </w:r>
                </w:p>
              </w:tc>
              <w:tc>
                <w:tcPr>
                  <w:tcW w:w="175" w:type="pct"/>
                  <w:vMerge w:val="restart"/>
                  <w:vAlign w:val="center"/>
                </w:tcPr>
                <w:p>
                  <w:pPr>
                    <w:pStyle w:val="64"/>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类型</w:t>
                  </w:r>
                </w:p>
              </w:tc>
              <w:tc>
                <w:tcPr>
                  <w:tcW w:w="883" w:type="pct"/>
                  <w:gridSpan w:val="2"/>
                  <w:vAlign w:val="center"/>
                </w:tcPr>
                <w:p>
                  <w:pPr>
                    <w:pStyle w:val="64"/>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地理坐标</w:t>
                  </w:r>
                </w:p>
              </w:tc>
              <w:tc>
                <w:tcPr>
                  <w:tcW w:w="409" w:type="pct"/>
                  <w:vMerge w:val="restart"/>
                  <w:vAlign w:val="center"/>
                </w:tcPr>
                <w:p>
                  <w:pPr>
                    <w:pStyle w:val="64"/>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排气筒高度（m）</w:t>
                  </w:r>
                </w:p>
              </w:tc>
              <w:tc>
                <w:tcPr>
                  <w:tcW w:w="356" w:type="pct"/>
                  <w:vMerge w:val="restart"/>
                  <w:vAlign w:val="center"/>
                </w:tcPr>
                <w:p>
                  <w:pPr>
                    <w:pStyle w:val="64"/>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出口内径（m）</w:t>
                  </w:r>
                </w:p>
              </w:tc>
              <w:tc>
                <w:tcPr>
                  <w:tcW w:w="387" w:type="pct"/>
                  <w:vMerge w:val="restart"/>
                  <w:vAlign w:val="center"/>
                </w:tcPr>
                <w:p>
                  <w:pPr>
                    <w:pStyle w:val="64"/>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排气温度（℃）</w:t>
                  </w:r>
                </w:p>
              </w:tc>
              <w:tc>
                <w:tcPr>
                  <w:tcW w:w="353" w:type="pct"/>
                  <w:vMerge w:val="restart"/>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bCs/>
                      <w:color w:val="auto"/>
                      <w:szCs w:val="21"/>
                    </w:rPr>
                    <w:t>污染物类型</w:t>
                  </w:r>
                </w:p>
              </w:tc>
              <w:tc>
                <w:tcPr>
                  <w:tcW w:w="2170" w:type="pct"/>
                  <w:gridSpan w:val="3"/>
                  <w:vAlign w:val="center"/>
                </w:tcPr>
                <w:p>
                  <w:pPr>
                    <w:pStyle w:val="64"/>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排放标准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4" w:type="pct"/>
                  <w:vMerge w:val="continue"/>
                  <w:vAlign w:val="center"/>
                </w:tcPr>
                <w:p>
                  <w:pPr>
                    <w:pStyle w:val="64"/>
                    <w:rPr>
                      <w:rFonts w:hint="default" w:ascii="Times New Roman" w:hAnsi="Times New Roman" w:eastAsia="宋体" w:cs="Times New Roman"/>
                      <w:b/>
                      <w:color w:val="auto"/>
                      <w:sz w:val="21"/>
                      <w:szCs w:val="21"/>
                    </w:rPr>
                  </w:pPr>
                </w:p>
              </w:tc>
              <w:tc>
                <w:tcPr>
                  <w:tcW w:w="175" w:type="pct"/>
                  <w:vMerge w:val="continue"/>
                  <w:vAlign w:val="center"/>
                </w:tcPr>
                <w:p>
                  <w:pPr>
                    <w:pStyle w:val="64"/>
                    <w:rPr>
                      <w:rFonts w:hint="default" w:ascii="Times New Roman" w:hAnsi="Times New Roman" w:eastAsia="宋体" w:cs="Times New Roman"/>
                      <w:b/>
                      <w:color w:val="auto"/>
                      <w:sz w:val="21"/>
                      <w:szCs w:val="21"/>
                    </w:rPr>
                  </w:pPr>
                </w:p>
              </w:tc>
              <w:tc>
                <w:tcPr>
                  <w:tcW w:w="433" w:type="pct"/>
                  <w:vAlign w:val="center"/>
                </w:tcPr>
                <w:p>
                  <w:pPr>
                    <w:pStyle w:val="64"/>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经度/°</w:t>
                  </w:r>
                </w:p>
              </w:tc>
              <w:tc>
                <w:tcPr>
                  <w:tcW w:w="450" w:type="pct"/>
                  <w:vAlign w:val="center"/>
                </w:tcPr>
                <w:p>
                  <w:pPr>
                    <w:pStyle w:val="64"/>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纬度/°</w:t>
                  </w:r>
                </w:p>
              </w:tc>
              <w:tc>
                <w:tcPr>
                  <w:tcW w:w="409" w:type="pct"/>
                  <w:vMerge w:val="continue"/>
                  <w:vAlign w:val="center"/>
                </w:tcPr>
                <w:p>
                  <w:pPr>
                    <w:pStyle w:val="64"/>
                    <w:rPr>
                      <w:rFonts w:hint="default" w:ascii="Times New Roman" w:hAnsi="Times New Roman" w:eastAsia="宋体" w:cs="Times New Roman"/>
                      <w:b/>
                      <w:color w:val="auto"/>
                      <w:sz w:val="21"/>
                      <w:szCs w:val="21"/>
                    </w:rPr>
                  </w:pPr>
                </w:p>
              </w:tc>
              <w:tc>
                <w:tcPr>
                  <w:tcW w:w="356" w:type="pct"/>
                  <w:vMerge w:val="continue"/>
                  <w:vAlign w:val="center"/>
                </w:tcPr>
                <w:p>
                  <w:pPr>
                    <w:pStyle w:val="64"/>
                    <w:rPr>
                      <w:rFonts w:hint="default" w:ascii="Times New Roman" w:hAnsi="Times New Roman" w:eastAsia="宋体" w:cs="Times New Roman"/>
                      <w:b/>
                      <w:color w:val="auto"/>
                      <w:sz w:val="21"/>
                      <w:szCs w:val="21"/>
                    </w:rPr>
                  </w:pPr>
                </w:p>
              </w:tc>
              <w:tc>
                <w:tcPr>
                  <w:tcW w:w="387" w:type="pct"/>
                  <w:vMerge w:val="continue"/>
                  <w:vAlign w:val="center"/>
                </w:tcPr>
                <w:p>
                  <w:pPr>
                    <w:pStyle w:val="64"/>
                    <w:rPr>
                      <w:rFonts w:hint="default" w:ascii="Times New Roman" w:hAnsi="Times New Roman" w:eastAsia="宋体" w:cs="Times New Roman"/>
                      <w:b/>
                      <w:color w:val="auto"/>
                      <w:sz w:val="21"/>
                      <w:szCs w:val="21"/>
                    </w:rPr>
                  </w:pPr>
                </w:p>
              </w:tc>
              <w:tc>
                <w:tcPr>
                  <w:tcW w:w="353" w:type="pct"/>
                  <w:vMerge w:val="continue"/>
                  <w:vAlign w:val="center"/>
                </w:tcPr>
                <w:p>
                  <w:pPr>
                    <w:pStyle w:val="64"/>
                    <w:rPr>
                      <w:rFonts w:hint="default" w:ascii="Times New Roman" w:hAnsi="Times New Roman" w:eastAsia="宋体" w:cs="Times New Roman"/>
                      <w:b/>
                      <w:color w:val="auto"/>
                      <w:szCs w:val="21"/>
                    </w:rPr>
                  </w:pPr>
                </w:p>
              </w:tc>
              <w:tc>
                <w:tcPr>
                  <w:tcW w:w="1119" w:type="pct"/>
                  <w:vAlign w:val="center"/>
                </w:tcPr>
                <w:p>
                  <w:pPr>
                    <w:tabs>
                      <w:tab w:val="left" w:pos="1418"/>
                    </w:tabs>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标准名称</w:t>
                  </w:r>
                </w:p>
              </w:tc>
              <w:tc>
                <w:tcPr>
                  <w:tcW w:w="692" w:type="pct"/>
                  <w:vAlign w:val="center"/>
                </w:tcPr>
                <w:p>
                  <w:pPr>
                    <w:tabs>
                      <w:tab w:val="left" w:pos="1418"/>
                    </w:tabs>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浓度限值（mg/Nm</w:t>
                  </w:r>
                  <w:r>
                    <w:rPr>
                      <w:rFonts w:hint="default" w:ascii="Times New Roman" w:hAnsi="Times New Roman" w:eastAsia="宋体" w:cs="Times New Roman"/>
                      <w:b/>
                      <w:color w:val="auto"/>
                      <w:vertAlign w:val="superscript"/>
                    </w:rPr>
                    <w:t>3</w:t>
                  </w:r>
                  <w:r>
                    <w:rPr>
                      <w:rFonts w:hint="default" w:ascii="Times New Roman" w:hAnsi="Times New Roman" w:eastAsia="宋体" w:cs="Times New Roman"/>
                      <w:b/>
                      <w:color w:val="auto"/>
                    </w:rPr>
                    <w:t>）</w:t>
                  </w:r>
                </w:p>
              </w:tc>
              <w:tc>
                <w:tcPr>
                  <w:tcW w:w="358" w:type="pct"/>
                  <w:vAlign w:val="center"/>
                </w:tcPr>
                <w:p>
                  <w:pPr>
                    <w:tabs>
                      <w:tab w:val="left" w:pos="1418"/>
                    </w:tabs>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速率限值(kg/h)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40" w:hRule="atLeast"/>
                <w:jc w:val="center"/>
              </w:trPr>
              <w:tc>
                <w:tcPr>
                  <w:tcW w:w="264" w:type="pct"/>
                  <w:vMerge w:val="restart"/>
                  <w:vAlign w:val="center"/>
                </w:tcPr>
                <w:p>
                  <w:pPr>
                    <w:snapToGrid w:val="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rPr>
                    <w:t>FQ-</w:t>
                  </w:r>
                  <w:r>
                    <w:rPr>
                      <w:rFonts w:hint="default" w:ascii="Times New Roman" w:hAnsi="Times New Roman" w:eastAsia="宋体" w:cs="Times New Roman"/>
                      <w:color w:val="auto"/>
                      <w:szCs w:val="21"/>
                      <w:lang w:val="en-US" w:eastAsia="zh-CN"/>
                    </w:rPr>
                    <w:t>1</w:t>
                  </w:r>
                </w:p>
              </w:tc>
              <w:tc>
                <w:tcPr>
                  <w:tcW w:w="175" w:type="pct"/>
                  <w:vMerge w:val="restart"/>
                  <w:vAlign w:val="center"/>
                </w:tcPr>
                <w:p>
                  <w:pPr>
                    <w:pStyle w:val="64"/>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一般排放口</w:t>
                  </w:r>
                </w:p>
              </w:tc>
              <w:tc>
                <w:tcPr>
                  <w:tcW w:w="433" w:type="pct"/>
                  <w:vMerge w:val="restart"/>
                  <w:vAlign w:val="center"/>
                </w:tcPr>
                <w:p>
                  <w:pPr>
                    <w:pStyle w:val="64"/>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119.90</w:t>
                  </w:r>
                </w:p>
              </w:tc>
              <w:tc>
                <w:tcPr>
                  <w:tcW w:w="450" w:type="pct"/>
                  <w:vMerge w:val="restart"/>
                  <w:vAlign w:val="center"/>
                </w:tcPr>
                <w:p>
                  <w:pPr>
                    <w:pStyle w:val="64"/>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31.58</w:t>
                  </w:r>
                </w:p>
              </w:tc>
              <w:tc>
                <w:tcPr>
                  <w:tcW w:w="409" w:type="pct"/>
                  <w:vMerge w:val="restart"/>
                  <w:vAlign w:val="center"/>
                </w:tcPr>
                <w:p>
                  <w:pPr>
                    <w:pStyle w:val="64"/>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15</w:t>
                  </w:r>
                </w:p>
              </w:tc>
              <w:tc>
                <w:tcPr>
                  <w:tcW w:w="356" w:type="pct"/>
                  <w:vMerge w:val="restart"/>
                  <w:vAlign w:val="center"/>
                </w:tcPr>
                <w:p>
                  <w:pPr>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0.8</w:t>
                  </w:r>
                </w:p>
              </w:tc>
              <w:tc>
                <w:tcPr>
                  <w:tcW w:w="387" w:type="pct"/>
                  <w:vMerge w:val="restart"/>
                  <w:vAlign w:val="center"/>
                </w:tcPr>
                <w:p>
                  <w:pPr>
                    <w:pStyle w:val="64"/>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100</w:t>
                  </w:r>
                </w:p>
              </w:tc>
              <w:tc>
                <w:tcPr>
                  <w:tcW w:w="353" w:type="pct"/>
                  <w:vAlign w:val="center"/>
                </w:tcPr>
                <w:p>
                  <w:pPr>
                    <w:pStyle w:val="51"/>
                    <w:adjustRightInd w:val="0"/>
                    <w:snapToGrid w:val="0"/>
                    <w:spacing w:line="240" w:lineRule="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非甲烷总烃</w:t>
                  </w:r>
                </w:p>
              </w:tc>
              <w:tc>
                <w:tcPr>
                  <w:tcW w:w="1119" w:type="pct"/>
                  <w:vAlign w:val="center"/>
                </w:tcPr>
                <w:p>
                  <w:pPr>
                    <w:pStyle w:val="51"/>
                    <w:adjustRightInd w:val="0"/>
                    <w:snapToGrid w:val="0"/>
                    <w:spacing w:line="240" w:lineRule="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《大气污染物综合排放标准》（DB32/4041-2021）</w:t>
                  </w:r>
                </w:p>
              </w:tc>
              <w:tc>
                <w:tcPr>
                  <w:tcW w:w="692" w:type="pct"/>
                  <w:vAlign w:val="center"/>
                </w:tcPr>
                <w:p>
                  <w:pPr>
                    <w:pStyle w:val="5"/>
                    <w:adjustRightInd w:val="0"/>
                    <w:snapToGrid w:val="0"/>
                    <w:ind w:firstLine="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60</w:t>
                  </w:r>
                </w:p>
              </w:tc>
              <w:tc>
                <w:tcPr>
                  <w:tcW w:w="358" w:type="pct"/>
                  <w:vAlign w:val="center"/>
                </w:tcPr>
                <w:p>
                  <w:pPr>
                    <w:pStyle w:val="5"/>
                    <w:adjustRightInd w:val="0"/>
                    <w:snapToGrid w:val="0"/>
                    <w:ind w:firstLine="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4" w:type="pct"/>
                  <w:vMerge w:val="continue"/>
                  <w:vAlign w:val="center"/>
                </w:tcPr>
                <w:p>
                  <w:pPr>
                    <w:snapToGrid w:val="0"/>
                    <w:jc w:val="center"/>
                    <w:rPr>
                      <w:rFonts w:hint="default" w:ascii="Times New Roman" w:hAnsi="Times New Roman" w:eastAsia="宋体" w:cs="Times New Roman"/>
                      <w:color w:val="auto"/>
                      <w:szCs w:val="21"/>
                    </w:rPr>
                  </w:pPr>
                </w:p>
              </w:tc>
              <w:tc>
                <w:tcPr>
                  <w:tcW w:w="175" w:type="pct"/>
                  <w:vMerge w:val="continue"/>
                  <w:vAlign w:val="center"/>
                </w:tcPr>
                <w:p>
                  <w:pPr>
                    <w:pStyle w:val="64"/>
                    <w:rPr>
                      <w:rFonts w:hint="default" w:ascii="Times New Roman" w:hAnsi="Times New Roman" w:eastAsia="宋体" w:cs="Times New Roman"/>
                      <w:color w:val="auto"/>
                      <w:sz w:val="21"/>
                      <w:szCs w:val="21"/>
                    </w:rPr>
                  </w:pPr>
                </w:p>
              </w:tc>
              <w:tc>
                <w:tcPr>
                  <w:tcW w:w="433" w:type="pct"/>
                  <w:vMerge w:val="continue"/>
                  <w:vAlign w:val="center"/>
                </w:tcPr>
                <w:p>
                  <w:pPr>
                    <w:pStyle w:val="64"/>
                    <w:rPr>
                      <w:rFonts w:hint="default" w:ascii="Times New Roman" w:hAnsi="Times New Roman" w:eastAsia="宋体" w:cs="Times New Roman"/>
                      <w:color w:val="auto"/>
                      <w:sz w:val="21"/>
                      <w:szCs w:val="21"/>
                    </w:rPr>
                  </w:pPr>
                </w:p>
              </w:tc>
              <w:tc>
                <w:tcPr>
                  <w:tcW w:w="450" w:type="pct"/>
                  <w:vMerge w:val="continue"/>
                  <w:vAlign w:val="center"/>
                </w:tcPr>
                <w:p>
                  <w:pPr>
                    <w:pStyle w:val="64"/>
                    <w:rPr>
                      <w:rFonts w:hint="default" w:ascii="Times New Roman" w:hAnsi="Times New Roman" w:eastAsia="宋体" w:cs="Times New Roman"/>
                      <w:color w:val="auto"/>
                      <w:sz w:val="21"/>
                      <w:szCs w:val="21"/>
                    </w:rPr>
                  </w:pPr>
                </w:p>
              </w:tc>
              <w:tc>
                <w:tcPr>
                  <w:tcW w:w="409" w:type="pct"/>
                  <w:vMerge w:val="continue"/>
                  <w:vAlign w:val="center"/>
                </w:tcPr>
                <w:p>
                  <w:pPr>
                    <w:pStyle w:val="64"/>
                    <w:rPr>
                      <w:rFonts w:hint="default" w:ascii="Times New Roman" w:hAnsi="Times New Roman" w:eastAsia="宋体" w:cs="Times New Roman"/>
                      <w:color w:val="auto"/>
                      <w:sz w:val="21"/>
                      <w:szCs w:val="21"/>
                    </w:rPr>
                  </w:pPr>
                </w:p>
              </w:tc>
              <w:tc>
                <w:tcPr>
                  <w:tcW w:w="356" w:type="pct"/>
                  <w:vMerge w:val="continue"/>
                  <w:vAlign w:val="center"/>
                </w:tcPr>
                <w:p>
                  <w:pPr>
                    <w:snapToGrid w:val="0"/>
                    <w:jc w:val="center"/>
                    <w:rPr>
                      <w:rFonts w:hint="default" w:ascii="Times New Roman" w:hAnsi="Times New Roman" w:eastAsia="宋体" w:cs="Times New Roman"/>
                      <w:color w:val="auto"/>
                      <w:szCs w:val="21"/>
                    </w:rPr>
                  </w:pPr>
                </w:p>
              </w:tc>
              <w:tc>
                <w:tcPr>
                  <w:tcW w:w="387" w:type="pct"/>
                  <w:vMerge w:val="continue"/>
                  <w:vAlign w:val="center"/>
                </w:tcPr>
                <w:p>
                  <w:pPr>
                    <w:pStyle w:val="64"/>
                    <w:rPr>
                      <w:rFonts w:hint="default" w:ascii="Times New Roman" w:hAnsi="Times New Roman" w:eastAsia="宋体" w:cs="Times New Roman"/>
                      <w:color w:val="auto"/>
                      <w:sz w:val="21"/>
                      <w:szCs w:val="21"/>
                    </w:rPr>
                  </w:pPr>
                </w:p>
              </w:tc>
              <w:tc>
                <w:tcPr>
                  <w:tcW w:w="353" w:type="pct"/>
                  <w:vAlign w:val="center"/>
                </w:tcPr>
                <w:p>
                  <w:pPr>
                    <w:pStyle w:val="51"/>
                    <w:adjustRightInd w:val="0"/>
                    <w:snapToGrid w:val="0"/>
                    <w:spacing w:line="240" w:lineRule="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二氧化硫</w:t>
                  </w:r>
                </w:p>
              </w:tc>
              <w:tc>
                <w:tcPr>
                  <w:tcW w:w="1119" w:type="pct"/>
                  <w:vMerge w:val="restart"/>
                  <w:vAlign w:val="center"/>
                </w:tcPr>
                <w:p>
                  <w:pPr>
                    <w:pStyle w:val="51"/>
                    <w:adjustRightInd w:val="0"/>
                    <w:snapToGrid w:val="0"/>
                    <w:spacing w:line="240" w:lineRule="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《锅炉大气污染物排放标准》</w:t>
                  </w:r>
                </w:p>
                <w:p>
                  <w:pPr>
                    <w:pStyle w:val="51"/>
                    <w:adjustRightInd w:val="0"/>
                    <w:snapToGrid w:val="0"/>
                    <w:spacing w:line="240" w:lineRule="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（GB13271-2014）中表3</w:t>
                  </w:r>
                </w:p>
              </w:tc>
              <w:tc>
                <w:tcPr>
                  <w:tcW w:w="692" w:type="pct"/>
                  <w:vAlign w:val="center"/>
                </w:tcPr>
                <w:p>
                  <w:pPr>
                    <w:pStyle w:val="5"/>
                    <w:adjustRightInd w:val="0"/>
                    <w:snapToGrid w:val="0"/>
                    <w:ind w:firstLine="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50</w:t>
                  </w:r>
                </w:p>
              </w:tc>
              <w:tc>
                <w:tcPr>
                  <w:tcW w:w="358" w:type="pct"/>
                  <w:vAlign w:val="center"/>
                </w:tcPr>
                <w:p>
                  <w:pPr>
                    <w:pStyle w:val="5"/>
                    <w:adjustRightInd w:val="0"/>
                    <w:snapToGrid w:val="0"/>
                    <w:ind w:firstLine="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4" w:type="pct"/>
                  <w:vMerge w:val="continue"/>
                  <w:vAlign w:val="center"/>
                </w:tcPr>
                <w:p>
                  <w:pPr>
                    <w:snapToGrid w:val="0"/>
                    <w:jc w:val="center"/>
                    <w:rPr>
                      <w:rFonts w:hint="default" w:ascii="Times New Roman" w:hAnsi="Times New Roman" w:eastAsia="宋体" w:cs="Times New Roman"/>
                      <w:color w:val="auto"/>
                      <w:szCs w:val="21"/>
                    </w:rPr>
                  </w:pPr>
                </w:p>
              </w:tc>
              <w:tc>
                <w:tcPr>
                  <w:tcW w:w="175" w:type="pct"/>
                  <w:vMerge w:val="continue"/>
                  <w:vAlign w:val="center"/>
                </w:tcPr>
                <w:p>
                  <w:pPr>
                    <w:pStyle w:val="64"/>
                    <w:rPr>
                      <w:rFonts w:hint="default" w:ascii="Times New Roman" w:hAnsi="Times New Roman" w:eastAsia="宋体" w:cs="Times New Roman"/>
                      <w:color w:val="auto"/>
                      <w:sz w:val="21"/>
                      <w:szCs w:val="21"/>
                    </w:rPr>
                  </w:pPr>
                </w:p>
              </w:tc>
              <w:tc>
                <w:tcPr>
                  <w:tcW w:w="433" w:type="pct"/>
                  <w:vMerge w:val="continue"/>
                  <w:vAlign w:val="center"/>
                </w:tcPr>
                <w:p>
                  <w:pPr>
                    <w:pStyle w:val="64"/>
                    <w:rPr>
                      <w:rFonts w:hint="default" w:ascii="Times New Roman" w:hAnsi="Times New Roman" w:eastAsia="宋体" w:cs="Times New Roman"/>
                      <w:color w:val="auto"/>
                      <w:sz w:val="21"/>
                      <w:szCs w:val="21"/>
                    </w:rPr>
                  </w:pPr>
                </w:p>
              </w:tc>
              <w:tc>
                <w:tcPr>
                  <w:tcW w:w="450" w:type="pct"/>
                  <w:vMerge w:val="continue"/>
                  <w:vAlign w:val="center"/>
                </w:tcPr>
                <w:p>
                  <w:pPr>
                    <w:pStyle w:val="64"/>
                    <w:rPr>
                      <w:rFonts w:hint="default" w:ascii="Times New Roman" w:hAnsi="Times New Roman" w:eastAsia="宋体" w:cs="Times New Roman"/>
                      <w:color w:val="auto"/>
                      <w:sz w:val="21"/>
                      <w:szCs w:val="21"/>
                    </w:rPr>
                  </w:pPr>
                </w:p>
              </w:tc>
              <w:tc>
                <w:tcPr>
                  <w:tcW w:w="409" w:type="pct"/>
                  <w:vMerge w:val="continue"/>
                  <w:vAlign w:val="center"/>
                </w:tcPr>
                <w:p>
                  <w:pPr>
                    <w:pStyle w:val="64"/>
                    <w:rPr>
                      <w:rFonts w:hint="default" w:ascii="Times New Roman" w:hAnsi="Times New Roman" w:eastAsia="宋体" w:cs="Times New Roman"/>
                      <w:color w:val="auto"/>
                      <w:sz w:val="21"/>
                      <w:szCs w:val="21"/>
                    </w:rPr>
                  </w:pPr>
                </w:p>
              </w:tc>
              <w:tc>
                <w:tcPr>
                  <w:tcW w:w="356" w:type="pct"/>
                  <w:vMerge w:val="continue"/>
                  <w:vAlign w:val="center"/>
                </w:tcPr>
                <w:p>
                  <w:pPr>
                    <w:snapToGrid w:val="0"/>
                    <w:jc w:val="center"/>
                    <w:rPr>
                      <w:rFonts w:hint="default" w:ascii="Times New Roman" w:hAnsi="Times New Roman" w:eastAsia="宋体" w:cs="Times New Roman"/>
                      <w:color w:val="auto"/>
                      <w:szCs w:val="21"/>
                    </w:rPr>
                  </w:pPr>
                </w:p>
              </w:tc>
              <w:tc>
                <w:tcPr>
                  <w:tcW w:w="387" w:type="pct"/>
                  <w:vMerge w:val="continue"/>
                  <w:vAlign w:val="center"/>
                </w:tcPr>
                <w:p>
                  <w:pPr>
                    <w:pStyle w:val="64"/>
                    <w:rPr>
                      <w:rFonts w:hint="default" w:ascii="Times New Roman" w:hAnsi="Times New Roman" w:eastAsia="宋体" w:cs="Times New Roman"/>
                      <w:color w:val="auto"/>
                      <w:sz w:val="21"/>
                      <w:szCs w:val="21"/>
                    </w:rPr>
                  </w:pPr>
                </w:p>
              </w:tc>
              <w:tc>
                <w:tcPr>
                  <w:tcW w:w="353" w:type="pct"/>
                  <w:vAlign w:val="center"/>
                </w:tcPr>
                <w:p>
                  <w:pPr>
                    <w:pStyle w:val="51"/>
                    <w:adjustRightInd w:val="0"/>
                    <w:snapToGrid w:val="0"/>
                    <w:spacing w:line="240" w:lineRule="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颗粒物</w:t>
                  </w:r>
                </w:p>
              </w:tc>
              <w:tc>
                <w:tcPr>
                  <w:tcW w:w="1119" w:type="pct"/>
                  <w:vMerge w:val="continue"/>
                  <w:vAlign w:val="center"/>
                </w:tcPr>
                <w:p>
                  <w:pPr>
                    <w:pStyle w:val="51"/>
                    <w:adjustRightInd w:val="0"/>
                    <w:snapToGrid w:val="0"/>
                    <w:spacing w:line="240" w:lineRule="auto"/>
                    <w:rPr>
                      <w:rFonts w:hint="default" w:ascii="Times New Roman" w:hAnsi="Times New Roman" w:eastAsia="宋体" w:cs="Times New Roman"/>
                      <w:color w:val="auto"/>
                      <w:szCs w:val="21"/>
                    </w:rPr>
                  </w:pPr>
                </w:p>
              </w:tc>
              <w:tc>
                <w:tcPr>
                  <w:tcW w:w="692" w:type="pct"/>
                  <w:vAlign w:val="center"/>
                </w:tcPr>
                <w:p>
                  <w:pPr>
                    <w:pStyle w:val="5"/>
                    <w:adjustRightInd w:val="0"/>
                    <w:snapToGrid w:val="0"/>
                    <w:ind w:firstLine="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20</w:t>
                  </w:r>
                </w:p>
              </w:tc>
              <w:tc>
                <w:tcPr>
                  <w:tcW w:w="358" w:type="pct"/>
                  <w:vAlign w:val="center"/>
                </w:tcPr>
                <w:p>
                  <w:pPr>
                    <w:pStyle w:val="5"/>
                    <w:adjustRightInd w:val="0"/>
                    <w:snapToGrid w:val="0"/>
                    <w:ind w:firstLine="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4" w:type="pct"/>
                  <w:vMerge w:val="continue"/>
                  <w:vAlign w:val="center"/>
                </w:tcPr>
                <w:p>
                  <w:pPr>
                    <w:snapToGrid w:val="0"/>
                    <w:jc w:val="center"/>
                    <w:rPr>
                      <w:rFonts w:hint="default" w:ascii="Times New Roman" w:hAnsi="Times New Roman" w:eastAsia="宋体" w:cs="Times New Roman"/>
                      <w:color w:val="auto"/>
                      <w:szCs w:val="21"/>
                    </w:rPr>
                  </w:pPr>
                </w:p>
              </w:tc>
              <w:tc>
                <w:tcPr>
                  <w:tcW w:w="175" w:type="pct"/>
                  <w:vMerge w:val="continue"/>
                  <w:vAlign w:val="center"/>
                </w:tcPr>
                <w:p>
                  <w:pPr>
                    <w:pStyle w:val="64"/>
                    <w:rPr>
                      <w:rFonts w:hint="default" w:ascii="Times New Roman" w:hAnsi="Times New Roman" w:eastAsia="宋体" w:cs="Times New Roman"/>
                      <w:color w:val="auto"/>
                      <w:sz w:val="21"/>
                      <w:szCs w:val="21"/>
                    </w:rPr>
                  </w:pPr>
                </w:p>
              </w:tc>
              <w:tc>
                <w:tcPr>
                  <w:tcW w:w="433" w:type="pct"/>
                  <w:vMerge w:val="continue"/>
                  <w:vAlign w:val="center"/>
                </w:tcPr>
                <w:p>
                  <w:pPr>
                    <w:pStyle w:val="64"/>
                    <w:rPr>
                      <w:rFonts w:hint="default" w:ascii="Times New Roman" w:hAnsi="Times New Roman" w:eastAsia="宋体" w:cs="Times New Roman"/>
                      <w:color w:val="auto"/>
                      <w:sz w:val="21"/>
                      <w:szCs w:val="21"/>
                    </w:rPr>
                  </w:pPr>
                </w:p>
              </w:tc>
              <w:tc>
                <w:tcPr>
                  <w:tcW w:w="450" w:type="pct"/>
                  <w:vMerge w:val="continue"/>
                  <w:vAlign w:val="center"/>
                </w:tcPr>
                <w:p>
                  <w:pPr>
                    <w:pStyle w:val="64"/>
                    <w:rPr>
                      <w:rFonts w:hint="default" w:ascii="Times New Roman" w:hAnsi="Times New Roman" w:eastAsia="宋体" w:cs="Times New Roman"/>
                      <w:color w:val="auto"/>
                      <w:sz w:val="21"/>
                      <w:szCs w:val="21"/>
                    </w:rPr>
                  </w:pPr>
                </w:p>
              </w:tc>
              <w:tc>
                <w:tcPr>
                  <w:tcW w:w="409" w:type="pct"/>
                  <w:vMerge w:val="continue"/>
                  <w:vAlign w:val="center"/>
                </w:tcPr>
                <w:p>
                  <w:pPr>
                    <w:pStyle w:val="64"/>
                    <w:rPr>
                      <w:rFonts w:hint="default" w:ascii="Times New Roman" w:hAnsi="Times New Roman" w:eastAsia="宋体" w:cs="Times New Roman"/>
                      <w:color w:val="auto"/>
                      <w:sz w:val="21"/>
                      <w:szCs w:val="21"/>
                    </w:rPr>
                  </w:pPr>
                </w:p>
              </w:tc>
              <w:tc>
                <w:tcPr>
                  <w:tcW w:w="356" w:type="pct"/>
                  <w:vMerge w:val="continue"/>
                  <w:vAlign w:val="center"/>
                </w:tcPr>
                <w:p>
                  <w:pPr>
                    <w:snapToGrid w:val="0"/>
                    <w:jc w:val="center"/>
                    <w:rPr>
                      <w:rFonts w:hint="default" w:ascii="Times New Roman" w:hAnsi="Times New Roman" w:eastAsia="宋体" w:cs="Times New Roman"/>
                      <w:color w:val="auto"/>
                      <w:szCs w:val="21"/>
                    </w:rPr>
                  </w:pPr>
                </w:p>
              </w:tc>
              <w:tc>
                <w:tcPr>
                  <w:tcW w:w="387" w:type="pct"/>
                  <w:vMerge w:val="continue"/>
                  <w:vAlign w:val="center"/>
                </w:tcPr>
                <w:p>
                  <w:pPr>
                    <w:pStyle w:val="64"/>
                    <w:rPr>
                      <w:rFonts w:hint="default" w:ascii="Times New Roman" w:hAnsi="Times New Roman" w:eastAsia="宋体" w:cs="Times New Roman"/>
                      <w:color w:val="auto"/>
                      <w:sz w:val="21"/>
                      <w:szCs w:val="21"/>
                    </w:rPr>
                  </w:pPr>
                </w:p>
              </w:tc>
              <w:tc>
                <w:tcPr>
                  <w:tcW w:w="353" w:type="pct"/>
                  <w:vAlign w:val="center"/>
                </w:tcPr>
                <w:p>
                  <w:pPr>
                    <w:pStyle w:val="51"/>
                    <w:adjustRightInd w:val="0"/>
                    <w:snapToGrid w:val="0"/>
                    <w:spacing w:line="240" w:lineRule="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val="en-US" w:eastAsia="zh-CN"/>
                    </w:rPr>
                    <w:t>氮氧化物</w:t>
                  </w:r>
                </w:p>
              </w:tc>
              <w:tc>
                <w:tcPr>
                  <w:tcW w:w="1119" w:type="pct"/>
                  <w:vAlign w:val="center"/>
                </w:tcPr>
                <w:p>
                  <w:pPr>
                    <w:pStyle w:val="51"/>
                    <w:adjustRightInd w:val="0"/>
                    <w:snapToGrid w:val="0"/>
                    <w:spacing w:line="240" w:lineRule="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常州市政府印发的《2020年常州市打好污染防治攻坚战工作方案》（常政发（2020）29号）</w:t>
                  </w:r>
                </w:p>
              </w:tc>
              <w:tc>
                <w:tcPr>
                  <w:tcW w:w="692" w:type="pct"/>
                  <w:vAlign w:val="center"/>
                </w:tcPr>
                <w:p>
                  <w:pPr>
                    <w:pStyle w:val="5"/>
                    <w:adjustRightInd w:val="0"/>
                    <w:snapToGrid w:val="0"/>
                    <w:ind w:firstLine="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50</w:t>
                  </w:r>
                </w:p>
              </w:tc>
              <w:tc>
                <w:tcPr>
                  <w:tcW w:w="358" w:type="pct"/>
                  <w:vAlign w:val="center"/>
                </w:tcPr>
                <w:p>
                  <w:pPr>
                    <w:pStyle w:val="5"/>
                    <w:adjustRightInd w:val="0"/>
                    <w:snapToGrid w:val="0"/>
                    <w:ind w:firstLine="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w:t>
                  </w:r>
                </w:p>
              </w:tc>
            </w:tr>
          </w:tbl>
          <w:p>
            <w:pPr>
              <w:spacing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（3）大气环境影响分析</w:t>
            </w:r>
          </w:p>
          <w:p>
            <w:pPr>
              <w:adjustRightInd w:val="0"/>
              <w:snapToGrid w:val="0"/>
              <w:spacing w:line="360" w:lineRule="auto"/>
              <w:ind w:firstLine="482" w:firstLineChars="200"/>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1）大气环境防护距离</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bCs/>
                <w:color w:val="auto"/>
                <w:sz w:val="24"/>
              </w:rPr>
              <w:t>大气环境防护距离是指为</w:t>
            </w:r>
            <w:r>
              <w:rPr>
                <w:rFonts w:hint="default" w:ascii="Times New Roman" w:hAnsi="Times New Roman" w:eastAsia="宋体" w:cs="Times New Roman"/>
                <w:color w:val="auto"/>
                <w:sz w:val="24"/>
              </w:rPr>
              <w:t>保护人群健康，减少正常排放条件下大气污染物对居住区的环境影响，在项目厂界以外设置的环境防护距离。计算的距离是以污染源中心点为起点的控制距离，并结合厂区平面布置图，确定控制距离范围，超出厂界以外的范围即为项目大气环境防护距离。</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根据分析，本项目未捕集</w:t>
            </w:r>
            <w:r>
              <w:rPr>
                <w:rFonts w:hint="default" w:ascii="Times New Roman" w:hAnsi="Times New Roman" w:eastAsia="宋体" w:cs="Times New Roman"/>
                <w:color w:val="auto"/>
                <w:sz w:val="24"/>
                <w:lang w:val="en-US" w:eastAsia="zh-CN"/>
              </w:rPr>
              <w:t>非甲烷总烃</w:t>
            </w:r>
            <w:r>
              <w:rPr>
                <w:rFonts w:hint="default" w:ascii="Times New Roman" w:hAnsi="Times New Roman" w:eastAsia="宋体" w:cs="Times New Roman"/>
                <w:color w:val="auto"/>
                <w:sz w:val="24"/>
              </w:rPr>
              <w:t>无组织排放，大气环境防护距离计算模式采用环境保护部环境工程评估中心环境质量模拟重点实验室软件，经计算，本项目无组织排放废气计算结果无超标点。本项目不需设定大气环境防护距离。</w:t>
            </w:r>
          </w:p>
          <w:p>
            <w:pPr>
              <w:adjustRightInd w:val="0"/>
              <w:snapToGrid w:val="0"/>
              <w:spacing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2）卫生防护距离计算</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①计算公式</w:t>
            </w:r>
          </w:p>
          <w:p>
            <w:pPr>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根据《大气有害物质无组织排放卫生防护距离推导技术导则》(GB/T39499-2020)，各类工业企业卫生防护距离按下式计算：</w:t>
            </w:r>
          </w:p>
          <w:p>
            <w:pPr>
              <w:adjustRightInd w:val="0"/>
              <w:snapToGrid w:val="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position w:val="-30"/>
                <w:sz w:val="24"/>
              </w:rPr>
              <w:object>
                <v:shape id="_x0000_i1031" o:spt="75" type="#_x0000_t75" style="height:36.6pt;width:147.55pt;" o:ole="t" filled="f" o:preferrelative="t" stroked="f" coordsize="21600,21600">
                  <v:path/>
                  <v:fill on="f" focussize="0,0"/>
                  <v:stroke on="f"/>
                  <v:imagedata r:id="rId27" o:title=""/>
                  <o:lock v:ext="edit" aspectratio="t"/>
                  <w10:wrap type="none"/>
                  <w10:anchorlock/>
                </v:shape>
                <o:OLEObject Type="Embed" ProgID="Equation.3" ShapeID="_x0000_i1031" DrawAspect="Content" ObjectID="_1468075731" r:id="rId26">
                  <o:LockedField>false</o:LockedField>
                </o:OLEObject>
              </w:object>
            </w:r>
          </w:p>
          <w:p>
            <w:pPr>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式中：</w:t>
            </w:r>
          </w:p>
          <w:p>
            <w:pPr>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C</w:t>
            </w:r>
            <w:r>
              <w:rPr>
                <w:rFonts w:hint="default" w:ascii="Times New Roman" w:hAnsi="Times New Roman" w:eastAsia="宋体" w:cs="Times New Roman"/>
                <w:color w:val="auto"/>
                <w:sz w:val="24"/>
                <w:vertAlign w:val="subscript"/>
              </w:rPr>
              <w:t>m</w:t>
            </w:r>
            <w:r>
              <w:rPr>
                <w:rFonts w:hint="default" w:ascii="Times New Roman" w:hAnsi="Times New Roman" w:eastAsia="宋体" w:cs="Times New Roman"/>
                <w:color w:val="auto"/>
                <w:sz w:val="24"/>
              </w:rPr>
              <w:t>—大气有害物质环境空气质量的标准限值，单位为毫克每立方米(mg/m</w:t>
            </w:r>
            <w:r>
              <w:rPr>
                <w:rFonts w:hint="default" w:ascii="Times New Roman" w:hAnsi="Times New Roman" w:eastAsia="宋体" w:cs="Times New Roman"/>
                <w:color w:val="auto"/>
                <w:sz w:val="24"/>
                <w:vertAlign w:val="superscript"/>
              </w:rPr>
              <w:t>3</w:t>
            </w:r>
            <w:r>
              <w:rPr>
                <w:rFonts w:hint="default" w:ascii="Times New Roman" w:hAnsi="Times New Roman" w:eastAsia="宋体" w:cs="Times New Roman"/>
                <w:color w:val="auto"/>
                <w:sz w:val="24"/>
              </w:rPr>
              <w:t>)；</w:t>
            </w:r>
          </w:p>
          <w:p>
            <w:pPr>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L—大气有害物质卫生防护距离初值，单位为米(m)；</w:t>
            </w:r>
          </w:p>
          <w:p>
            <w:pPr>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r—大气有害物质无组织排放源所在生产单元的等效半径，单位为米(m)；</w:t>
            </w:r>
          </w:p>
          <w:p>
            <w:pPr>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A、B、C、D—卫生防护距离初值计算系数，无因次，根据工业企业所在地区近5年平均风速及大气污染源构成类别从《大气有害物质无组织排放卫生防护距离推导技术导则》(GB/T39499-2020)表1中查取；</w:t>
            </w:r>
          </w:p>
          <w:p>
            <w:pPr>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Qe—大气有害物质的无组织排放量，单位为千克每小时(kg/h)；</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②参数选取</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该地区的平均</w:t>
            </w:r>
            <w:r>
              <w:rPr>
                <w:rFonts w:hint="default" w:ascii="Times New Roman" w:hAnsi="Times New Roman" w:eastAsia="宋体" w:cs="Times New Roman"/>
                <w:color w:val="auto"/>
                <w:sz w:val="24"/>
                <w:szCs w:val="22"/>
              </w:rPr>
              <w:t>风速</w:t>
            </w:r>
            <w:r>
              <w:rPr>
                <w:rFonts w:hint="default" w:ascii="Times New Roman" w:hAnsi="Times New Roman" w:eastAsia="宋体" w:cs="Times New Roman"/>
                <w:color w:val="auto"/>
                <w:sz w:val="24"/>
              </w:rPr>
              <w:t>为2.9m/s，A、B、C、D值的选取见下表。</w:t>
            </w:r>
          </w:p>
          <w:p>
            <w:pPr>
              <w:adjustRightInd w:val="0"/>
              <w:snapToGrid w:val="0"/>
              <w:jc w:val="center"/>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表4-</w:t>
            </w:r>
            <w:r>
              <w:rPr>
                <w:rFonts w:hint="eastAsia" w:cs="Times New Roman"/>
                <w:b/>
                <w:color w:val="auto"/>
                <w:sz w:val="24"/>
                <w:lang w:val="en-US" w:eastAsia="zh-CN"/>
              </w:rPr>
              <w:t>8</w:t>
            </w:r>
            <w:r>
              <w:rPr>
                <w:rFonts w:hint="default" w:ascii="Times New Roman" w:hAnsi="Times New Roman" w:eastAsia="宋体" w:cs="Times New Roman"/>
                <w:b/>
                <w:color w:val="auto"/>
                <w:sz w:val="24"/>
              </w:rPr>
              <w:t xml:space="preserve"> 卫生防护距离计算系数</w:t>
            </w:r>
          </w:p>
          <w:tbl>
            <w:tblPr>
              <w:tblStyle w:val="23"/>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50"/>
              <w:gridCol w:w="750"/>
              <w:gridCol w:w="750"/>
              <w:gridCol w:w="750"/>
              <w:gridCol w:w="750"/>
              <w:gridCol w:w="750"/>
              <w:gridCol w:w="751"/>
              <w:gridCol w:w="751"/>
              <w:gridCol w:w="751"/>
              <w:gridCol w:w="751"/>
              <w:gridCol w:w="74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5" w:type="pct"/>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计</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算</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系</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数</w:t>
                  </w:r>
                </w:p>
              </w:tc>
              <w:tc>
                <w:tcPr>
                  <w:tcW w:w="455" w:type="pct"/>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5年平均风速</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m/s</w:t>
                  </w:r>
                </w:p>
              </w:tc>
              <w:tc>
                <w:tcPr>
                  <w:tcW w:w="4091" w:type="pct"/>
                  <w:gridSpan w:val="9"/>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卫生防护距离L，m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5" w:type="pct"/>
                  <w:vMerge w:val="continue"/>
                  <w:vAlign w:val="center"/>
                </w:tcPr>
                <w:p>
                  <w:pPr>
                    <w:jc w:val="center"/>
                    <w:rPr>
                      <w:rFonts w:hint="default" w:ascii="Times New Roman" w:hAnsi="Times New Roman" w:eastAsia="宋体" w:cs="Times New Roman"/>
                      <w:color w:val="auto"/>
                      <w:sz w:val="24"/>
                    </w:rPr>
                  </w:pPr>
                </w:p>
              </w:tc>
              <w:tc>
                <w:tcPr>
                  <w:tcW w:w="455" w:type="pct"/>
                  <w:vMerge w:val="continue"/>
                  <w:vAlign w:val="center"/>
                </w:tcPr>
                <w:p>
                  <w:pPr>
                    <w:jc w:val="center"/>
                    <w:rPr>
                      <w:rFonts w:hint="default" w:ascii="Times New Roman" w:hAnsi="Times New Roman" w:eastAsia="宋体" w:cs="Times New Roman"/>
                      <w:color w:val="auto"/>
                      <w:sz w:val="24"/>
                    </w:rPr>
                  </w:pPr>
                </w:p>
              </w:tc>
              <w:tc>
                <w:tcPr>
                  <w:tcW w:w="1364" w:type="pct"/>
                  <w:gridSpan w:val="3"/>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L≤1000</w:t>
                  </w:r>
                </w:p>
              </w:tc>
              <w:tc>
                <w:tcPr>
                  <w:tcW w:w="1364" w:type="pct"/>
                  <w:gridSpan w:val="3"/>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L≤1000</w:t>
                  </w:r>
                </w:p>
              </w:tc>
              <w:tc>
                <w:tcPr>
                  <w:tcW w:w="1364" w:type="pct"/>
                  <w:gridSpan w:val="3"/>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L≤1000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5" w:type="pct"/>
                  <w:vMerge w:val="continue"/>
                  <w:vAlign w:val="center"/>
                </w:tcPr>
                <w:p>
                  <w:pPr>
                    <w:jc w:val="center"/>
                    <w:rPr>
                      <w:rFonts w:hint="default" w:ascii="Times New Roman" w:hAnsi="Times New Roman" w:eastAsia="宋体" w:cs="Times New Roman"/>
                      <w:color w:val="auto"/>
                      <w:sz w:val="24"/>
                    </w:rPr>
                  </w:pPr>
                </w:p>
              </w:tc>
              <w:tc>
                <w:tcPr>
                  <w:tcW w:w="455" w:type="pct"/>
                  <w:vMerge w:val="continue"/>
                  <w:vAlign w:val="center"/>
                </w:tcPr>
                <w:p>
                  <w:pPr>
                    <w:jc w:val="center"/>
                    <w:rPr>
                      <w:rFonts w:hint="default" w:ascii="Times New Roman" w:hAnsi="Times New Roman" w:eastAsia="宋体" w:cs="Times New Roman"/>
                      <w:color w:val="auto"/>
                      <w:sz w:val="24"/>
                    </w:rPr>
                  </w:pPr>
                </w:p>
              </w:tc>
              <w:tc>
                <w:tcPr>
                  <w:tcW w:w="4091" w:type="pct"/>
                  <w:gridSpan w:val="9"/>
                  <w:vAlign w:val="center"/>
                </w:tcPr>
                <w:p>
                  <w:pPr>
                    <w:pStyle w:val="67"/>
                    <w:spacing w:line="240" w:lineRule="auto"/>
                    <w:ind w:firstLine="422"/>
                    <w:jc w:val="center"/>
                    <w:rPr>
                      <w:rFonts w:hint="default" w:ascii="Times New Roman" w:hAnsi="Times New Roman" w:eastAsia="宋体" w:cs="Times New Roman"/>
                      <w:b w:val="0"/>
                      <w:color w:val="auto"/>
                      <w:sz w:val="21"/>
                      <w:szCs w:val="21"/>
                    </w:rPr>
                  </w:pPr>
                  <w:r>
                    <w:rPr>
                      <w:rFonts w:hint="default" w:ascii="Times New Roman" w:hAnsi="Times New Roman" w:eastAsia="宋体" w:cs="Times New Roman"/>
                      <w:b w:val="0"/>
                      <w:color w:val="auto"/>
                      <w:sz w:val="21"/>
                      <w:szCs w:val="21"/>
                    </w:rPr>
                    <w:t>工业大气污染源构成类别</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5" w:type="pct"/>
                  <w:vMerge w:val="continue"/>
                  <w:vAlign w:val="center"/>
                </w:tcPr>
                <w:p>
                  <w:pPr>
                    <w:jc w:val="center"/>
                    <w:rPr>
                      <w:rFonts w:hint="default" w:ascii="Times New Roman" w:hAnsi="Times New Roman" w:eastAsia="宋体" w:cs="Times New Roman"/>
                      <w:color w:val="auto"/>
                      <w:sz w:val="24"/>
                    </w:rPr>
                  </w:pPr>
                </w:p>
              </w:tc>
              <w:tc>
                <w:tcPr>
                  <w:tcW w:w="455" w:type="pct"/>
                  <w:vMerge w:val="continue"/>
                  <w:vAlign w:val="center"/>
                </w:tcPr>
                <w:p>
                  <w:pPr>
                    <w:jc w:val="center"/>
                    <w:rPr>
                      <w:rFonts w:hint="default" w:ascii="Times New Roman" w:hAnsi="Times New Roman" w:eastAsia="宋体" w:cs="Times New Roman"/>
                      <w:color w:val="auto"/>
                      <w:sz w:val="24"/>
                    </w:rPr>
                  </w:pPr>
                </w:p>
              </w:tc>
              <w:tc>
                <w:tcPr>
                  <w:tcW w:w="45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Ⅰ</w:t>
                  </w:r>
                </w:p>
              </w:tc>
              <w:tc>
                <w:tcPr>
                  <w:tcW w:w="45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Ⅱ</w:t>
                  </w:r>
                </w:p>
              </w:tc>
              <w:tc>
                <w:tcPr>
                  <w:tcW w:w="45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Ⅲ</w:t>
                  </w:r>
                </w:p>
              </w:tc>
              <w:tc>
                <w:tcPr>
                  <w:tcW w:w="45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Ⅰ</w:t>
                  </w:r>
                </w:p>
              </w:tc>
              <w:tc>
                <w:tcPr>
                  <w:tcW w:w="45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Ⅱ</w:t>
                  </w:r>
                </w:p>
              </w:tc>
              <w:tc>
                <w:tcPr>
                  <w:tcW w:w="45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Ⅲ</w:t>
                  </w:r>
                </w:p>
              </w:tc>
              <w:tc>
                <w:tcPr>
                  <w:tcW w:w="45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Ⅰ</w:t>
                  </w:r>
                </w:p>
              </w:tc>
              <w:tc>
                <w:tcPr>
                  <w:tcW w:w="45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Ⅱ</w:t>
                  </w:r>
                </w:p>
              </w:tc>
              <w:tc>
                <w:tcPr>
                  <w:tcW w:w="45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Ⅲ</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5" w:type="pct"/>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A</w:t>
                  </w:r>
                </w:p>
              </w:tc>
              <w:tc>
                <w:tcPr>
                  <w:tcW w:w="45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45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400</w:t>
                  </w:r>
                </w:p>
              </w:tc>
              <w:tc>
                <w:tcPr>
                  <w:tcW w:w="45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400</w:t>
                  </w:r>
                </w:p>
              </w:tc>
              <w:tc>
                <w:tcPr>
                  <w:tcW w:w="45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400</w:t>
                  </w:r>
                </w:p>
              </w:tc>
              <w:tc>
                <w:tcPr>
                  <w:tcW w:w="45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400</w:t>
                  </w:r>
                </w:p>
              </w:tc>
              <w:tc>
                <w:tcPr>
                  <w:tcW w:w="45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400</w:t>
                  </w:r>
                </w:p>
              </w:tc>
              <w:tc>
                <w:tcPr>
                  <w:tcW w:w="45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400</w:t>
                  </w:r>
                </w:p>
              </w:tc>
              <w:tc>
                <w:tcPr>
                  <w:tcW w:w="45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80</w:t>
                  </w:r>
                </w:p>
              </w:tc>
              <w:tc>
                <w:tcPr>
                  <w:tcW w:w="45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80</w:t>
                  </w:r>
                </w:p>
              </w:tc>
              <w:tc>
                <w:tcPr>
                  <w:tcW w:w="45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5" w:type="pct"/>
                  <w:vMerge w:val="continue"/>
                  <w:vAlign w:val="center"/>
                </w:tcPr>
                <w:p>
                  <w:pPr>
                    <w:jc w:val="center"/>
                    <w:rPr>
                      <w:rFonts w:hint="default" w:ascii="Times New Roman" w:hAnsi="Times New Roman" w:eastAsia="宋体" w:cs="Times New Roman"/>
                      <w:color w:val="auto"/>
                      <w:sz w:val="24"/>
                    </w:rPr>
                  </w:pPr>
                </w:p>
              </w:tc>
              <w:tc>
                <w:tcPr>
                  <w:tcW w:w="455" w:type="pct"/>
                  <w:vAlign w:val="center"/>
                </w:tcPr>
                <w:p>
                  <w:pPr>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Cs w:val="21"/>
                    </w:rPr>
                    <w:t>2～4</w:t>
                  </w:r>
                </w:p>
              </w:tc>
              <w:tc>
                <w:tcPr>
                  <w:tcW w:w="45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700</w:t>
                  </w:r>
                </w:p>
              </w:tc>
              <w:tc>
                <w:tcPr>
                  <w:tcW w:w="45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470</w:t>
                  </w:r>
                </w:p>
              </w:tc>
              <w:tc>
                <w:tcPr>
                  <w:tcW w:w="45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350</w:t>
                  </w:r>
                </w:p>
              </w:tc>
              <w:tc>
                <w:tcPr>
                  <w:tcW w:w="45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700</w:t>
                  </w:r>
                </w:p>
              </w:tc>
              <w:tc>
                <w:tcPr>
                  <w:tcW w:w="45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470</w:t>
                  </w:r>
                </w:p>
              </w:tc>
              <w:tc>
                <w:tcPr>
                  <w:tcW w:w="45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350</w:t>
                  </w:r>
                </w:p>
              </w:tc>
              <w:tc>
                <w:tcPr>
                  <w:tcW w:w="45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380</w:t>
                  </w:r>
                </w:p>
              </w:tc>
              <w:tc>
                <w:tcPr>
                  <w:tcW w:w="45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250</w:t>
                  </w:r>
                </w:p>
              </w:tc>
              <w:tc>
                <w:tcPr>
                  <w:tcW w:w="45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190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5" w:type="pct"/>
                  <w:vMerge w:val="continue"/>
                  <w:vAlign w:val="center"/>
                </w:tcPr>
                <w:p>
                  <w:pPr>
                    <w:jc w:val="center"/>
                    <w:rPr>
                      <w:rFonts w:hint="default" w:ascii="Times New Roman" w:hAnsi="Times New Roman" w:eastAsia="宋体" w:cs="Times New Roman"/>
                      <w:color w:val="auto"/>
                      <w:sz w:val="24"/>
                    </w:rPr>
                  </w:pPr>
                </w:p>
              </w:tc>
              <w:tc>
                <w:tcPr>
                  <w:tcW w:w="455" w:type="pct"/>
                  <w:vAlign w:val="center"/>
                </w:tcPr>
                <w:p>
                  <w:pPr>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Cs w:val="21"/>
                    </w:rPr>
                    <w:t>＞4</w:t>
                  </w:r>
                </w:p>
              </w:tc>
              <w:tc>
                <w:tcPr>
                  <w:tcW w:w="45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530</w:t>
                  </w:r>
                </w:p>
              </w:tc>
              <w:tc>
                <w:tcPr>
                  <w:tcW w:w="45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350</w:t>
                  </w:r>
                </w:p>
              </w:tc>
              <w:tc>
                <w:tcPr>
                  <w:tcW w:w="45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260</w:t>
                  </w:r>
                </w:p>
              </w:tc>
              <w:tc>
                <w:tcPr>
                  <w:tcW w:w="45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530</w:t>
                  </w:r>
                </w:p>
              </w:tc>
              <w:tc>
                <w:tcPr>
                  <w:tcW w:w="45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350</w:t>
                  </w:r>
                </w:p>
              </w:tc>
              <w:tc>
                <w:tcPr>
                  <w:tcW w:w="45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260</w:t>
                  </w:r>
                </w:p>
              </w:tc>
              <w:tc>
                <w:tcPr>
                  <w:tcW w:w="45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290</w:t>
                  </w:r>
                </w:p>
              </w:tc>
              <w:tc>
                <w:tcPr>
                  <w:tcW w:w="45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190</w:t>
                  </w:r>
                </w:p>
              </w:tc>
              <w:tc>
                <w:tcPr>
                  <w:tcW w:w="45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5" w:type="pct"/>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B</w:t>
                  </w:r>
                </w:p>
              </w:tc>
              <w:tc>
                <w:tcPr>
                  <w:tcW w:w="45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1364" w:type="pct"/>
                  <w:gridSpan w:val="3"/>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0.01</w:t>
                  </w:r>
                </w:p>
              </w:tc>
              <w:tc>
                <w:tcPr>
                  <w:tcW w:w="1364" w:type="pct"/>
                  <w:gridSpan w:val="3"/>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0.015</w:t>
                  </w:r>
                </w:p>
              </w:tc>
              <w:tc>
                <w:tcPr>
                  <w:tcW w:w="1364" w:type="pct"/>
                  <w:gridSpan w:val="3"/>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5" w:type="pct"/>
                  <w:vMerge w:val="continue"/>
                  <w:vAlign w:val="center"/>
                </w:tcPr>
                <w:p>
                  <w:pPr>
                    <w:jc w:val="center"/>
                    <w:rPr>
                      <w:rFonts w:hint="default" w:ascii="Times New Roman" w:hAnsi="Times New Roman" w:eastAsia="宋体" w:cs="Times New Roman"/>
                      <w:color w:val="auto"/>
                      <w:sz w:val="24"/>
                    </w:rPr>
                  </w:pPr>
                </w:p>
              </w:tc>
              <w:tc>
                <w:tcPr>
                  <w:tcW w:w="455" w:type="pct"/>
                  <w:vAlign w:val="center"/>
                </w:tcPr>
                <w:p>
                  <w:pPr>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Cs w:val="21"/>
                    </w:rPr>
                    <w:t>＞2</w:t>
                  </w:r>
                </w:p>
              </w:tc>
              <w:tc>
                <w:tcPr>
                  <w:tcW w:w="1364" w:type="pct"/>
                  <w:gridSpan w:val="3"/>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0.021</w:t>
                  </w:r>
                </w:p>
              </w:tc>
              <w:tc>
                <w:tcPr>
                  <w:tcW w:w="1364" w:type="pct"/>
                  <w:gridSpan w:val="3"/>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0.036</w:t>
                  </w:r>
                </w:p>
              </w:tc>
              <w:tc>
                <w:tcPr>
                  <w:tcW w:w="1364" w:type="pct"/>
                  <w:gridSpan w:val="3"/>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0.036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5" w:type="pct"/>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C</w:t>
                  </w:r>
                </w:p>
              </w:tc>
              <w:tc>
                <w:tcPr>
                  <w:tcW w:w="45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1364" w:type="pct"/>
                  <w:gridSpan w:val="3"/>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1.85</w:t>
                  </w:r>
                </w:p>
              </w:tc>
              <w:tc>
                <w:tcPr>
                  <w:tcW w:w="1364" w:type="pct"/>
                  <w:gridSpan w:val="3"/>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1.79</w:t>
                  </w:r>
                </w:p>
              </w:tc>
              <w:tc>
                <w:tcPr>
                  <w:tcW w:w="1364" w:type="pct"/>
                  <w:gridSpan w:val="3"/>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1.79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5" w:type="pct"/>
                  <w:vMerge w:val="continue"/>
                  <w:vAlign w:val="center"/>
                </w:tcPr>
                <w:p>
                  <w:pPr>
                    <w:jc w:val="center"/>
                    <w:rPr>
                      <w:rFonts w:hint="default" w:ascii="Times New Roman" w:hAnsi="Times New Roman" w:eastAsia="宋体" w:cs="Times New Roman"/>
                      <w:color w:val="auto"/>
                      <w:sz w:val="24"/>
                    </w:rPr>
                  </w:pPr>
                </w:p>
              </w:tc>
              <w:tc>
                <w:tcPr>
                  <w:tcW w:w="455" w:type="pct"/>
                  <w:vAlign w:val="center"/>
                </w:tcPr>
                <w:p>
                  <w:pPr>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Cs w:val="21"/>
                    </w:rPr>
                    <w:t>＞2</w:t>
                  </w:r>
                </w:p>
              </w:tc>
              <w:tc>
                <w:tcPr>
                  <w:tcW w:w="1364" w:type="pct"/>
                  <w:gridSpan w:val="3"/>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1.85</w:t>
                  </w:r>
                </w:p>
              </w:tc>
              <w:tc>
                <w:tcPr>
                  <w:tcW w:w="1364" w:type="pct"/>
                  <w:gridSpan w:val="3"/>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1.77</w:t>
                  </w:r>
                </w:p>
              </w:tc>
              <w:tc>
                <w:tcPr>
                  <w:tcW w:w="1364" w:type="pct"/>
                  <w:gridSpan w:val="3"/>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1.77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5" w:type="pct"/>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D</w:t>
                  </w:r>
                </w:p>
              </w:tc>
              <w:tc>
                <w:tcPr>
                  <w:tcW w:w="45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1364" w:type="pct"/>
                  <w:gridSpan w:val="3"/>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0.78</w:t>
                  </w:r>
                </w:p>
              </w:tc>
              <w:tc>
                <w:tcPr>
                  <w:tcW w:w="1364" w:type="pct"/>
                  <w:gridSpan w:val="3"/>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0.78</w:t>
                  </w:r>
                </w:p>
              </w:tc>
              <w:tc>
                <w:tcPr>
                  <w:tcW w:w="1364" w:type="pct"/>
                  <w:gridSpan w:val="3"/>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0.57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5" w:type="pct"/>
                  <w:vMerge w:val="continue"/>
                  <w:vAlign w:val="center"/>
                </w:tcPr>
                <w:p>
                  <w:pPr>
                    <w:jc w:val="center"/>
                    <w:rPr>
                      <w:rFonts w:hint="default" w:ascii="Times New Roman" w:hAnsi="Times New Roman" w:eastAsia="宋体" w:cs="Times New Roman"/>
                      <w:color w:val="auto"/>
                      <w:sz w:val="24"/>
                    </w:rPr>
                  </w:pPr>
                </w:p>
              </w:tc>
              <w:tc>
                <w:tcPr>
                  <w:tcW w:w="455" w:type="pct"/>
                  <w:vAlign w:val="center"/>
                </w:tcPr>
                <w:p>
                  <w:pPr>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Cs w:val="21"/>
                    </w:rPr>
                    <w:t>＞2</w:t>
                  </w:r>
                </w:p>
              </w:tc>
              <w:tc>
                <w:tcPr>
                  <w:tcW w:w="1364" w:type="pct"/>
                  <w:gridSpan w:val="3"/>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0.84</w:t>
                  </w:r>
                </w:p>
              </w:tc>
              <w:tc>
                <w:tcPr>
                  <w:tcW w:w="1364" w:type="pct"/>
                  <w:gridSpan w:val="3"/>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0.84</w:t>
                  </w:r>
                </w:p>
              </w:tc>
              <w:tc>
                <w:tcPr>
                  <w:tcW w:w="1364" w:type="pct"/>
                  <w:gridSpan w:val="3"/>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0.76</w:t>
                  </w:r>
                </w:p>
              </w:tc>
            </w:tr>
          </w:tbl>
          <w:p>
            <w:pPr>
              <w:ind w:firstLine="422" w:firstLineChars="200"/>
              <w:jc w:val="left"/>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注：工业企业大气污染源构成分为三类：</w:t>
            </w:r>
          </w:p>
          <w:p>
            <w:pPr>
              <w:ind w:firstLine="422" w:firstLineChars="200"/>
              <w:jc w:val="left"/>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I类：与无组织排放源共存的排放同种有害气体的排气简的排放时，大于标准规定的允许排放量的三分之一者。</w:t>
            </w:r>
          </w:p>
          <w:p>
            <w:pPr>
              <w:ind w:firstLine="422" w:firstLineChars="200"/>
              <w:jc w:val="left"/>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II类：与无组织排放源共存的排放同种有害气体的排气简的排放量，小于标准规定的允许排放量的三分之一，或虽无排放同种大气污染物之排气简共存，但无组织排放的有害物质的容许浓度指标是按急性反应指标确定者。</w:t>
            </w:r>
          </w:p>
          <w:p>
            <w:pPr>
              <w:ind w:firstLine="422" w:firstLineChars="200"/>
              <w:jc w:val="left"/>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Ⅲ类：无排放同种有害物质的排气简与无组织排放源共存，且无组织排放的有害物质的容许浓度是按慢性反应指标确定者。</w:t>
            </w:r>
          </w:p>
          <w:p>
            <w:pPr>
              <w:spacing w:line="360" w:lineRule="auto"/>
              <w:ind w:firstLine="480" w:firstLineChars="200"/>
              <w:jc w:val="left"/>
              <w:rPr>
                <w:rFonts w:hint="default" w:ascii="Times New Roman" w:hAnsi="Times New Roman" w:eastAsia="宋体" w:cs="Times New Roman"/>
                <w:color w:val="auto"/>
                <w:sz w:val="24"/>
              </w:rPr>
            </w:pPr>
          </w:p>
          <w:p>
            <w:pPr>
              <w:spacing w:line="360" w:lineRule="auto"/>
              <w:ind w:firstLine="480" w:firstLineChars="200"/>
              <w:jc w:val="left"/>
              <w:rPr>
                <w:rFonts w:hint="default" w:ascii="Times New Roman" w:hAnsi="Times New Roman" w:eastAsia="宋体" w:cs="Times New Roman"/>
                <w:color w:val="auto"/>
                <w:sz w:val="24"/>
              </w:rPr>
            </w:pPr>
          </w:p>
          <w:p>
            <w:pPr>
              <w:spacing w:line="360" w:lineRule="auto"/>
              <w:ind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本项目卫生防护距离计算结果见下表。</w:t>
            </w:r>
          </w:p>
          <w:p>
            <w:pPr>
              <w:adjustRightInd w:val="0"/>
              <w:snapToGrid w:val="0"/>
              <w:jc w:val="center"/>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表4-</w:t>
            </w:r>
            <w:r>
              <w:rPr>
                <w:rFonts w:hint="eastAsia" w:cs="Times New Roman"/>
                <w:b/>
                <w:color w:val="auto"/>
                <w:sz w:val="24"/>
                <w:lang w:val="en-US" w:eastAsia="zh-CN"/>
              </w:rPr>
              <w:t>9</w:t>
            </w:r>
            <w:r>
              <w:rPr>
                <w:rFonts w:hint="default" w:ascii="Times New Roman" w:hAnsi="Times New Roman" w:eastAsia="宋体" w:cs="Times New Roman"/>
                <w:b/>
                <w:color w:val="auto"/>
                <w:sz w:val="24"/>
              </w:rPr>
              <w:t xml:space="preserve"> 污染物卫生防护距离计算表</w:t>
            </w:r>
          </w:p>
          <w:tbl>
            <w:tblPr>
              <w:tblStyle w:val="23"/>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41"/>
              <w:gridCol w:w="862"/>
              <w:gridCol w:w="941"/>
              <w:gridCol w:w="679"/>
              <w:gridCol w:w="535"/>
              <w:gridCol w:w="731"/>
              <w:gridCol w:w="601"/>
              <w:gridCol w:w="587"/>
              <w:gridCol w:w="1111"/>
              <w:gridCol w:w="835"/>
              <w:gridCol w:w="72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93" w:hRule="atLeast"/>
              </w:trPr>
              <w:tc>
                <w:tcPr>
                  <w:tcW w:w="388" w:type="pc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工作车间</w:t>
                  </w:r>
                </w:p>
              </w:tc>
              <w:tc>
                <w:tcPr>
                  <w:tcW w:w="522" w:type="pct"/>
                  <w:vAlign w:val="center"/>
                </w:tcPr>
                <w:p>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影响因子</w:t>
                  </w:r>
                </w:p>
              </w:tc>
              <w:tc>
                <w:tcPr>
                  <w:tcW w:w="570" w:type="pct"/>
                  <w:vAlign w:val="center"/>
                </w:tcPr>
                <w:p>
                  <w:pPr>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Qc</w:t>
                  </w:r>
                </w:p>
                <w:p>
                  <w:pPr>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（kg/h）</w:t>
                  </w:r>
                </w:p>
              </w:tc>
              <w:tc>
                <w:tcPr>
                  <w:tcW w:w="411" w:type="pct"/>
                  <w:vAlign w:val="center"/>
                </w:tcPr>
                <w:p>
                  <w:pPr>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r</w:t>
                  </w:r>
                </w:p>
                <w:p>
                  <w:pPr>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（m）</w:t>
                  </w:r>
                </w:p>
              </w:tc>
              <w:tc>
                <w:tcPr>
                  <w:tcW w:w="324" w:type="pct"/>
                  <w:vAlign w:val="center"/>
                </w:tcPr>
                <w:p>
                  <w:pPr>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A</w:t>
                  </w:r>
                </w:p>
              </w:tc>
              <w:tc>
                <w:tcPr>
                  <w:tcW w:w="443" w:type="pct"/>
                  <w:vAlign w:val="center"/>
                </w:tcPr>
                <w:p>
                  <w:pPr>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B</w:t>
                  </w:r>
                </w:p>
              </w:tc>
              <w:tc>
                <w:tcPr>
                  <w:tcW w:w="364" w:type="pct"/>
                  <w:vAlign w:val="center"/>
                </w:tcPr>
                <w:p>
                  <w:pPr>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C</w:t>
                  </w:r>
                </w:p>
              </w:tc>
              <w:tc>
                <w:tcPr>
                  <w:tcW w:w="356" w:type="pct"/>
                  <w:vAlign w:val="center"/>
                </w:tcPr>
                <w:p>
                  <w:pPr>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D</w:t>
                  </w:r>
                </w:p>
              </w:tc>
              <w:tc>
                <w:tcPr>
                  <w:tcW w:w="673" w:type="pct"/>
                  <w:vAlign w:val="center"/>
                </w:tcPr>
                <w:p>
                  <w:pPr>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Cm</w:t>
                  </w:r>
                </w:p>
                <w:p>
                  <w:pPr>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（mg/m</w:t>
                  </w:r>
                  <w:r>
                    <w:rPr>
                      <w:rFonts w:hint="default" w:ascii="Times New Roman" w:hAnsi="Times New Roman" w:eastAsia="宋体" w:cs="Times New Roman"/>
                      <w:b/>
                      <w:color w:val="auto"/>
                      <w:vertAlign w:val="superscript"/>
                    </w:rPr>
                    <w:t>3</w:t>
                  </w:r>
                  <w:r>
                    <w:rPr>
                      <w:rFonts w:hint="default" w:ascii="Times New Roman" w:hAnsi="Times New Roman" w:eastAsia="宋体" w:cs="Times New Roman"/>
                      <w:b/>
                      <w:color w:val="auto"/>
                    </w:rPr>
                    <w:t>）</w:t>
                  </w:r>
                </w:p>
              </w:tc>
              <w:tc>
                <w:tcPr>
                  <w:tcW w:w="506" w:type="pct"/>
                  <w:vAlign w:val="center"/>
                </w:tcPr>
                <w:p>
                  <w:pPr>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L计算</w:t>
                  </w:r>
                </w:p>
                <w:p>
                  <w:pPr>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（m）</w:t>
                  </w:r>
                </w:p>
              </w:tc>
              <w:tc>
                <w:tcPr>
                  <w:tcW w:w="437" w:type="pct"/>
                  <w:vAlign w:val="center"/>
                </w:tcPr>
                <w:p>
                  <w:pPr>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L</w:t>
                  </w:r>
                </w:p>
                <w:p>
                  <w:pPr>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44" w:hRule="atLeast"/>
              </w:trPr>
              <w:tc>
                <w:tcPr>
                  <w:tcW w:w="388" w:type="pct"/>
                  <w:vAlign w:val="center"/>
                </w:tcPr>
                <w:p>
                  <w:pPr>
                    <w:pStyle w:val="5"/>
                    <w:adjustRightInd w:val="0"/>
                    <w:snapToGrid w:val="0"/>
                    <w:ind w:firstLine="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生产车间</w:t>
                  </w:r>
                </w:p>
              </w:tc>
              <w:tc>
                <w:tcPr>
                  <w:tcW w:w="522" w:type="pct"/>
                  <w:vAlign w:val="center"/>
                </w:tcPr>
                <w:p>
                  <w:pPr>
                    <w:pStyle w:val="5"/>
                    <w:adjustRightInd w:val="0"/>
                    <w:snapToGrid w:val="0"/>
                    <w:ind w:firstLine="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非甲烷总烃</w:t>
                  </w:r>
                </w:p>
              </w:tc>
              <w:tc>
                <w:tcPr>
                  <w:tcW w:w="570" w:type="pct"/>
                  <w:vAlign w:val="center"/>
                </w:tcPr>
                <w:p>
                  <w:pPr>
                    <w:pStyle w:val="5"/>
                    <w:adjustRightInd w:val="0"/>
                    <w:snapToGrid w:val="0"/>
                    <w:ind w:firstLine="0"/>
                    <w:jc w:val="center"/>
                    <w:rPr>
                      <w:rFonts w:hint="default" w:ascii="Times New Roman" w:hAnsi="Times New Roman" w:eastAsia="宋体" w:cs="Times New Roman"/>
                      <w:bCs/>
                      <w:color w:val="auto"/>
                      <w:szCs w:val="21"/>
                      <w:lang w:val="en-US" w:eastAsia="zh-CN"/>
                    </w:rPr>
                  </w:pPr>
                  <w:r>
                    <w:rPr>
                      <w:rFonts w:hint="eastAsia" w:ascii="Times New Roman" w:hAnsi="Times New Roman" w:cs="Times New Roman"/>
                      <w:bCs/>
                      <w:color w:val="auto"/>
                      <w:szCs w:val="21"/>
                      <w:lang w:val="en-US" w:eastAsia="zh-CN"/>
                    </w:rPr>
                    <w:t>0.1</w:t>
                  </w:r>
                </w:p>
              </w:tc>
              <w:tc>
                <w:tcPr>
                  <w:tcW w:w="411" w:type="pct"/>
                  <w:vAlign w:val="center"/>
                </w:tcPr>
                <w:p>
                  <w:pPr>
                    <w:pStyle w:val="5"/>
                    <w:adjustRightInd w:val="0"/>
                    <w:snapToGrid w:val="0"/>
                    <w:ind w:firstLine="0"/>
                    <w:jc w:val="center"/>
                    <w:rPr>
                      <w:rFonts w:hint="default" w:ascii="Times New Roman" w:hAnsi="Times New Roman" w:eastAsia="宋体" w:cs="Times New Roman"/>
                      <w:bCs/>
                      <w:color w:val="auto"/>
                      <w:szCs w:val="21"/>
                      <w:lang w:val="en-US" w:eastAsia="zh-CN"/>
                    </w:rPr>
                  </w:pPr>
                  <w:r>
                    <w:rPr>
                      <w:rFonts w:hint="eastAsia" w:ascii="Times New Roman" w:hAnsi="Times New Roman" w:cs="Times New Roman"/>
                      <w:bCs/>
                      <w:color w:val="auto"/>
                      <w:szCs w:val="21"/>
                      <w:lang w:val="en-US" w:eastAsia="zh-CN"/>
                    </w:rPr>
                    <w:t>17.9</w:t>
                  </w:r>
                </w:p>
              </w:tc>
              <w:tc>
                <w:tcPr>
                  <w:tcW w:w="324" w:type="pct"/>
                  <w:vAlign w:val="center"/>
                </w:tcPr>
                <w:p>
                  <w:pPr>
                    <w:pStyle w:val="5"/>
                    <w:adjustRightInd w:val="0"/>
                    <w:snapToGrid w:val="0"/>
                    <w:ind w:firstLine="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470</w:t>
                  </w:r>
                </w:p>
              </w:tc>
              <w:tc>
                <w:tcPr>
                  <w:tcW w:w="443" w:type="pct"/>
                  <w:vAlign w:val="center"/>
                </w:tcPr>
                <w:p>
                  <w:pPr>
                    <w:pStyle w:val="5"/>
                    <w:adjustRightInd w:val="0"/>
                    <w:snapToGrid w:val="0"/>
                    <w:ind w:firstLine="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0.021</w:t>
                  </w:r>
                </w:p>
              </w:tc>
              <w:tc>
                <w:tcPr>
                  <w:tcW w:w="364" w:type="pct"/>
                  <w:vAlign w:val="center"/>
                </w:tcPr>
                <w:p>
                  <w:pPr>
                    <w:pStyle w:val="5"/>
                    <w:adjustRightInd w:val="0"/>
                    <w:snapToGrid w:val="0"/>
                    <w:ind w:firstLine="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1.85</w:t>
                  </w:r>
                </w:p>
              </w:tc>
              <w:tc>
                <w:tcPr>
                  <w:tcW w:w="356" w:type="pct"/>
                  <w:vAlign w:val="center"/>
                </w:tcPr>
                <w:p>
                  <w:pPr>
                    <w:pStyle w:val="5"/>
                    <w:adjustRightInd w:val="0"/>
                    <w:snapToGrid w:val="0"/>
                    <w:ind w:firstLine="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0.84</w:t>
                  </w:r>
                </w:p>
              </w:tc>
              <w:tc>
                <w:tcPr>
                  <w:tcW w:w="673" w:type="pct"/>
                  <w:vAlign w:val="center"/>
                </w:tcPr>
                <w:p>
                  <w:pPr>
                    <w:pStyle w:val="5"/>
                    <w:adjustRightInd w:val="0"/>
                    <w:snapToGrid w:val="0"/>
                    <w:ind w:firstLine="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2.0</w:t>
                  </w:r>
                </w:p>
              </w:tc>
              <w:tc>
                <w:tcPr>
                  <w:tcW w:w="506" w:type="pct"/>
                  <w:vAlign w:val="center"/>
                </w:tcPr>
                <w:p>
                  <w:pPr>
                    <w:pStyle w:val="5"/>
                    <w:adjustRightInd w:val="0"/>
                    <w:snapToGrid w:val="0"/>
                    <w:ind w:firstLine="0"/>
                    <w:jc w:val="center"/>
                    <w:rPr>
                      <w:rFonts w:hint="default" w:ascii="Times New Roman" w:hAnsi="Times New Roman" w:eastAsia="宋体" w:cs="Times New Roman"/>
                      <w:bCs/>
                      <w:color w:val="auto"/>
                      <w:szCs w:val="21"/>
                      <w:lang w:val="en-US" w:eastAsia="zh-CN"/>
                    </w:rPr>
                  </w:pPr>
                  <w:r>
                    <w:rPr>
                      <w:rFonts w:hint="eastAsia" w:ascii="Times New Roman" w:hAnsi="Times New Roman" w:cs="Times New Roman"/>
                      <w:bCs/>
                      <w:color w:val="auto"/>
                      <w:szCs w:val="21"/>
                      <w:lang w:val="en-US" w:eastAsia="zh-CN"/>
                    </w:rPr>
                    <w:t>5.051</w:t>
                  </w:r>
                </w:p>
              </w:tc>
              <w:tc>
                <w:tcPr>
                  <w:tcW w:w="437" w:type="pct"/>
                  <w:vAlign w:val="center"/>
                </w:tcPr>
                <w:p>
                  <w:pPr>
                    <w:pStyle w:val="5"/>
                    <w:adjustRightInd w:val="0"/>
                    <w:snapToGrid w:val="0"/>
                    <w:ind w:firstLine="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50</w:t>
                  </w:r>
                </w:p>
              </w:tc>
            </w:tr>
          </w:tbl>
          <w:p>
            <w:pPr>
              <w:snapToGrid w:val="0"/>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color w:val="auto"/>
                <w:sz w:val="24"/>
              </w:rPr>
              <w:t>《大气有害物质无组织排放卫生防护距离推导技术导则》(GB/T39499-2020)6.1规定：卫生防护距离初值小于50m时，级差为50m。6.2规定：当企业某生产单元的无组织排放存在多种特征大气有害物质时，如果分别推导出的卫生防护距离初值在同一级别时，则该企业的卫生防护距离终值应提高一级；卫生防护距离初值不在同一级别的，以卫生防护距离终值较大者为准。</w:t>
            </w:r>
            <w:r>
              <w:rPr>
                <w:rFonts w:hint="default" w:ascii="Times New Roman" w:hAnsi="Times New Roman" w:eastAsia="宋体" w:cs="Times New Roman"/>
                <w:bCs/>
                <w:color w:val="auto"/>
                <w:sz w:val="24"/>
              </w:rPr>
              <w:t>故本项目以</w:t>
            </w:r>
            <w:r>
              <w:rPr>
                <w:rFonts w:hint="default" w:ascii="Times New Roman" w:hAnsi="Times New Roman" w:eastAsia="宋体" w:cs="Times New Roman"/>
                <w:color w:val="auto"/>
                <w:sz w:val="24"/>
                <w:lang w:val="en-US" w:eastAsia="zh-CN"/>
              </w:rPr>
              <w:t>生产车间</w:t>
            </w:r>
            <w:r>
              <w:rPr>
                <w:rFonts w:hint="default" w:ascii="Times New Roman" w:hAnsi="Times New Roman" w:eastAsia="宋体" w:cs="Times New Roman"/>
                <w:bCs/>
                <w:color w:val="auto"/>
                <w:sz w:val="24"/>
              </w:rPr>
              <w:t>为边界设置</w:t>
            </w:r>
            <w:r>
              <w:rPr>
                <w:rFonts w:hint="default" w:ascii="Times New Roman" w:hAnsi="Times New Roman" w:eastAsia="宋体" w:cs="Times New Roman"/>
                <w:bCs/>
                <w:color w:val="auto"/>
                <w:sz w:val="24"/>
                <w:lang w:val="en-US" w:eastAsia="zh-CN"/>
              </w:rPr>
              <w:t>50</w:t>
            </w:r>
            <w:r>
              <w:rPr>
                <w:rFonts w:hint="default" w:ascii="Times New Roman" w:hAnsi="Times New Roman" w:eastAsia="宋体" w:cs="Times New Roman"/>
                <w:bCs/>
                <w:color w:val="auto"/>
                <w:sz w:val="24"/>
              </w:rPr>
              <w:t>米的卫生防护距离。</w:t>
            </w:r>
          </w:p>
          <w:p>
            <w:pPr>
              <w:tabs>
                <w:tab w:val="left" w:pos="1155"/>
              </w:tabs>
              <w:adjustRightInd w:val="0"/>
              <w:snapToGrid w:val="0"/>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本项目最近的敏感点（</w:t>
            </w:r>
            <w:r>
              <w:rPr>
                <w:rFonts w:hint="default" w:ascii="Times New Roman" w:hAnsi="Times New Roman" w:eastAsia="宋体" w:cs="Times New Roman"/>
                <w:bCs/>
                <w:color w:val="auto"/>
                <w:sz w:val="24"/>
                <w:lang w:val="en-US" w:eastAsia="zh-CN"/>
              </w:rPr>
              <w:t>小沟村</w:t>
            </w:r>
            <w:r>
              <w:rPr>
                <w:rFonts w:hint="default" w:ascii="Times New Roman" w:hAnsi="Times New Roman" w:eastAsia="宋体" w:cs="Times New Roman"/>
                <w:bCs/>
                <w:color w:val="auto"/>
                <w:sz w:val="24"/>
              </w:rPr>
              <w:t>）距离</w:t>
            </w:r>
            <w:r>
              <w:rPr>
                <w:rFonts w:hint="default" w:ascii="Times New Roman" w:hAnsi="Times New Roman" w:eastAsia="宋体" w:cs="Times New Roman"/>
                <w:bCs/>
                <w:color w:val="auto"/>
                <w:sz w:val="24"/>
                <w:lang w:val="en-US" w:eastAsia="zh-CN"/>
              </w:rPr>
              <w:t>厂界</w:t>
            </w:r>
            <w:r>
              <w:rPr>
                <w:rFonts w:hint="default" w:ascii="Times New Roman" w:hAnsi="Times New Roman" w:eastAsia="宋体" w:cs="Times New Roman"/>
                <w:bCs/>
                <w:color w:val="auto"/>
                <w:sz w:val="24"/>
              </w:rPr>
              <w:t>1</w:t>
            </w:r>
            <w:r>
              <w:rPr>
                <w:rFonts w:hint="default" w:ascii="Times New Roman" w:hAnsi="Times New Roman" w:eastAsia="宋体" w:cs="Times New Roman"/>
                <w:bCs/>
                <w:color w:val="auto"/>
                <w:sz w:val="24"/>
                <w:lang w:val="en-US" w:eastAsia="zh-CN"/>
              </w:rPr>
              <w:t>08</w:t>
            </w:r>
            <w:r>
              <w:rPr>
                <w:rFonts w:hint="default" w:ascii="Times New Roman" w:hAnsi="Times New Roman" w:eastAsia="宋体" w:cs="Times New Roman"/>
                <w:bCs/>
                <w:color w:val="auto"/>
                <w:sz w:val="24"/>
              </w:rPr>
              <w:t>m，满足卫生防护距离设计的要求</w:t>
            </w:r>
            <w:r>
              <w:rPr>
                <w:rFonts w:hint="default" w:ascii="Times New Roman" w:hAnsi="Times New Roman" w:eastAsia="宋体" w:cs="Times New Roman"/>
                <w:bCs/>
                <w:color w:val="auto"/>
                <w:sz w:val="24"/>
                <w:lang w:eastAsia="zh-CN"/>
              </w:rPr>
              <w:t>，</w:t>
            </w:r>
            <w:r>
              <w:rPr>
                <w:rFonts w:hint="default" w:ascii="Times New Roman" w:hAnsi="Times New Roman" w:eastAsia="宋体" w:cs="Times New Roman"/>
                <w:bCs/>
                <w:color w:val="auto"/>
                <w:sz w:val="24"/>
              </w:rPr>
              <w:t>全厂卫生防护距离包络线内无环境敏感点</w:t>
            </w:r>
            <w:r>
              <w:rPr>
                <w:rFonts w:hint="default" w:ascii="Times New Roman" w:hAnsi="Times New Roman" w:eastAsia="宋体" w:cs="Times New Roman"/>
                <w:bCs/>
                <w:color w:val="auto"/>
                <w:sz w:val="24"/>
                <w:lang w:eastAsia="zh-CN"/>
              </w:rPr>
              <w:t>。</w:t>
            </w:r>
            <w:r>
              <w:rPr>
                <w:rFonts w:hint="default" w:ascii="Times New Roman" w:hAnsi="Times New Roman" w:eastAsia="宋体" w:cs="Times New Roman"/>
                <w:bCs/>
                <w:color w:val="auto"/>
                <w:sz w:val="24"/>
              </w:rPr>
              <w:t>今后，在此卫生防护距离内不再建设居民等敏感点。</w:t>
            </w:r>
          </w:p>
          <w:p>
            <w:pPr>
              <w:adjustRightInd w:val="0"/>
              <w:snapToGrid w:val="0"/>
              <w:spacing w:line="360" w:lineRule="auto"/>
              <w:ind w:firstLine="482" w:firstLineChars="200"/>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（4）非正常工况废气污染物源强分析</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在分析本项目生产工艺的基础上可知，本项目非正常工况主要有以下2类：</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①污染防治措施及装置出现故障</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考虑最大风险情况下，选择废气治理设备出现故障情况下排气筒（FQ-7）来进行分析。非正常工况下，如废气防治措施未起到应有的效果，导致有组织废气未经有效处理直接排放。则本项目非正常工况时废气源强表4-1</w:t>
            </w:r>
            <w:r>
              <w:rPr>
                <w:rFonts w:hint="eastAsia" w:cs="Times New Roman"/>
                <w:color w:val="auto"/>
                <w:sz w:val="24"/>
                <w:lang w:val="en-US" w:eastAsia="zh-CN"/>
              </w:rPr>
              <w:t>0</w:t>
            </w:r>
            <w:r>
              <w:rPr>
                <w:rFonts w:hint="default" w:ascii="Times New Roman" w:hAnsi="Times New Roman" w:eastAsia="宋体" w:cs="Times New Roman"/>
                <w:color w:val="auto"/>
                <w:sz w:val="24"/>
              </w:rPr>
              <w:t>所示。</w:t>
            </w:r>
          </w:p>
          <w:p>
            <w:pPr>
              <w:pStyle w:val="5"/>
              <w:adjustRightInd w:val="0"/>
              <w:snapToGrid w:val="0"/>
              <w:ind w:firstLine="482" w:firstLineChars="200"/>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表4-1</w:t>
            </w:r>
            <w:r>
              <w:rPr>
                <w:rFonts w:hint="eastAsia" w:ascii="Times New Roman" w:hAnsi="Times New Roman" w:cs="Times New Roman"/>
                <w:b/>
                <w:bCs/>
                <w:color w:val="auto"/>
                <w:sz w:val="24"/>
                <w:szCs w:val="24"/>
                <w:lang w:val="en-US" w:eastAsia="zh-CN"/>
              </w:rPr>
              <w:t>0</w:t>
            </w:r>
            <w:r>
              <w:rPr>
                <w:rFonts w:hint="default" w:ascii="Times New Roman" w:hAnsi="Times New Roman" w:eastAsia="宋体" w:cs="Times New Roman"/>
                <w:b/>
                <w:bCs/>
                <w:color w:val="auto"/>
                <w:sz w:val="24"/>
                <w:szCs w:val="24"/>
              </w:rPr>
              <w:t xml:space="preserve"> 项目非正常工况污染物源强分析</w:t>
            </w:r>
          </w:p>
          <w:tbl>
            <w:tblPr>
              <w:tblStyle w:val="23"/>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80"/>
              <w:gridCol w:w="980"/>
              <w:gridCol w:w="1151"/>
              <w:gridCol w:w="980"/>
              <w:gridCol w:w="1124"/>
              <w:gridCol w:w="1120"/>
              <w:gridCol w:w="877"/>
              <w:gridCol w:w="103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94" w:type="pct"/>
                  <w:vMerge w:val="restart"/>
                  <w:vAlign w:val="center"/>
                </w:tcPr>
                <w:p>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排气筒编号</w:t>
                  </w:r>
                </w:p>
              </w:tc>
              <w:tc>
                <w:tcPr>
                  <w:tcW w:w="594" w:type="pct"/>
                  <w:vMerge w:val="restart"/>
                  <w:vAlign w:val="center"/>
                </w:tcPr>
                <w:p>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排放工序</w:t>
                  </w:r>
                </w:p>
              </w:tc>
              <w:tc>
                <w:tcPr>
                  <w:tcW w:w="698" w:type="pct"/>
                  <w:vMerge w:val="restart"/>
                  <w:vAlign w:val="center"/>
                </w:tcPr>
                <w:p>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排气量（m</w:t>
                  </w:r>
                  <w:r>
                    <w:rPr>
                      <w:rFonts w:hint="default" w:ascii="Times New Roman" w:hAnsi="Times New Roman" w:eastAsia="宋体" w:cs="Times New Roman"/>
                      <w:b/>
                      <w:color w:val="auto"/>
                      <w:szCs w:val="21"/>
                      <w:vertAlign w:val="superscript"/>
                    </w:rPr>
                    <w:t>3</w:t>
                  </w:r>
                  <w:r>
                    <w:rPr>
                      <w:rFonts w:hint="default" w:ascii="Times New Roman" w:hAnsi="Times New Roman" w:eastAsia="宋体" w:cs="Times New Roman"/>
                      <w:b/>
                      <w:color w:val="auto"/>
                      <w:szCs w:val="21"/>
                    </w:rPr>
                    <w:t>/h）</w:t>
                  </w:r>
                </w:p>
              </w:tc>
              <w:tc>
                <w:tcPr>
                  <w:tcW w:w="594" w:type="pct"/>
                  <w:vMerge w:val="restart"/>
                  <w:vAlign w:val="center"/>
                </w:tcPr>
                <w:p>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产污及污染物名称</w:t>
                  </w:r>
                </w:p>
              </w:tc>
              <w:tc>
                <w:tcPr>
                  <w:tcW w:w="681" w:type="pct"/>
                  <w:vMerge w:val="restart"/>
                  <w:vAlign w:val="center"/>
                </w:tcPr>
                <w:p>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排放速率（kg/h）</w:t>
                  </w:r>
                </w:p>
              </w:tc>
              <w:tc>
                <w:tcPr>
                  <w:tcW w:w="1836" w:type="pct"/>
                  <w:gridSpan w:val="3"/>
                  <w:vAlign w:val="center"/>
                </w:tcPr>
                <w:p>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排放源参数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94" w:type="pct"/>
                  <w:vMerge w:val="continue"/>
                  <w:vAlign w:val="center"/>
                </w:tcPr>
                <w:p>
                  <w:pPr>
                    <w:adjustRightInd w:val="0"/>
                    <w:snapToGrid w:val="0"/>
                    <w:jc w:val="center"/>
                    <w:rPr>
                      <w:rFonts w:hint="default" w:ascii="Times New Roman" w:hAnsi="Times New Roman" w:eastAsia="宋体" w:cs="Times New Roman"/>
                      <w:b/>
                      <w:color w:val="auto"/>
                      <w:szCs w:val="21"/>
                    </w:rPr>
                  </w:pPr>
                </w:p>
              </w:tc>
              <w:tc>
                <w:tcPr>
                  <w:tcW w:w="594" w:type="pct"/>
                  <w:vMerge w:val="continue"/>
                  <w:vAlign w:val="center"/>
                </w:tcPr>
                <w:p>
                  <w:pPr>
                    <w:adjustRightInd w:val="0"/>
                    <w:snapToGrid w:val="0"/>
                    <w:jc w:val="center"/>
                    <w:rPr>
                      <w:rFonts w:hint="default" w:ascii="Times New Roman" w:hAnsi="Times New Roman" w:eastAsia="宋体" w:cs="Times New Roman"/>
                      <w:b/>
                      <w:color w:val="auto"/>
                      <w:szCs w:val="21"/>
                    </w:rPr>
                  </w:pPr>
                </w:p>
              </w:tc>
              <w:tc>
                <w:tcPr>
                  <w:tcW w:w="698" w:type="pct"/>
                  <w:vMerge w:val="continue"/>
                  <w:vAlign w:val="center"/>
                </w:tcPr>
                <w:p>
                  <w:pPr>
                    <w:adjustRightInd w:val="0"/>
                    <w:snapToGrid w:val="0"/>
                    <w:jc w:val="center"/>
                    <w:rPr>
                      <w:rFonts w:hint="default" w:ascii="Times New Roman" w:hAnsi="Times New Roman" w:eastAsia="宋体" w:cs="Times New Roman"/>
                      <w:b/>
                      <w:color w:val="auto"/>
                      <w:szCs w:val="21"/>
                    </w:rPr>
                  </w:pPr>
                </w:p>
              </w:tc>
              <w:tc>
                <w:tcPr>
                  <w:tcW w:w="594" w:type="pct"/>
                  <w:vMerge w:val="continue"/>
                  <w:vAlign w:val="center"/>
                </w:tcPr>
                <w:p>
                  <w:pPr>
                    <w:adjustRightInd w:val="0"/>
                    <w:snapToGrid w:val="0"/>
                    <w:jc w:val="center"/>
                    <w:rPr>
                      <w:rFonts w:hint="default" w:ascii="Times New Roman" w:hAnsi="Times New Roman" w:eastAsia="宋体" w:cs="Times New Roman"/>
                      <w:b/>
                      <w:color w:val="auto"/>
                      <w:szCs w:val="21"/>
                    </w:rPr>
                  </w:pPr>
                </w:p>
              </w:tc>
              <w:tc>
                <w:tcPr>
                  <w:tcW w:w="681" w:type="pct"/>
                  <w:vMerge w:val="continue"/>
                  <w:vAlign w:val="center"/>
                </w:tcPr>
                <w:p>
                  <w:pPr>
                    <w:adjustRightInd w:val="0"/>
                    <w:snapToGrid w:val="0"/>
                    <w:jc w:val="center"/>
                    <w:rPr>
                      <w:rFonts w:hint="default" w:ascii="Times New Roman" w:hAnsi="Times New Roman" w:eastAsia="宋体" w:cs="Times New Roman"/>
                      <w:b/>
                      <w:color w:val="auto"/>
                      <w:szCs w:val="21"/>
                    </w:rPr>
                  </w:pPr>
                </w:p>
              </w:tc>
              <w:tc>
                <w:tcPr>
                  <w:tcW w:w="617" w:type="pct"/>
                  <w:vAlign w:val="center"/>
                </w:tcPr>
                <w:p>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排放高度（m）</w:t>
                  </w:r>
                </w:p>
              </w:tc>
              <w:tc>
                <w:tcPr>
                  <w:tcW w:w="523" w:type="pct"/>
                  <w:vAlign w:val="center"/>
                </w:tcPr>
                <w:p>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直径（m）</w:t>
                  </w:r>
                </w:p>
              </w:tc>
              <w:tc>
                <w:tcPr>
                  <w:tcW w:w="694" w:type="pct"/>
                  <w:vAlign w:val="center"/>
                </w:tcPr>
                <w:p>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出口处烟气温度(K)</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594" w:type="pct"/>
                  <w:vAlign w:val="center"/>
                </w:tcPr>
                <w:p>
                  <w:pPr>
                    <w:adjustRightInd w:val="0"/>
                    <w:snapToGrid w:val="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rPr>
                    <w:t>FQ-</w:t>
                  </w:r>
                  <w:r>
                    <w:rPr>
                      <w:rFonts w:hint="default" w:ascii="Times New Roman" w:hAnsi="Times New Roman" w:eastAsia="宋体" w:cs="Times New Roman"/>
                      <w:color w:val="auto"/>
                      <w:szCs w:val="21"/>
                      <w:lang w:val="en-US" w:eastAsia="zh-CN"/>
                    </w:rPr>
                    <w:t>1</w:t>
                  </w:r>
                </w:p>
              </w:tc>
              <w:tc>
                <w:tcPr>
                  <w:tcW w:w="594"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电泳、烘干工段</w:t>
                  </w:r>
                </w:p>
              </w:tc>
              <w:tc>
                <w:tcPr>
                  <w:tcW w:w="698"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w:t>
                  </w:r>
                  <w:r>
                    <w:rPr>
                      <w:rFonts w:hint="eastAsia" w:cs="Times New Roman"/>
                      <w:color w:val="auto"/>
                      <w:szCs w:val="21"/>
                      <w:lang w:val="en-US" w:eastAsia="zh-CN"/>
                    </w:rPr>
                    <w:t>8</w:t>
                  </w:r>
                  <w:r>
                    <w:rPr>
                      <w:rFonts w:hint="default" w:ascii="Times New Roman" w:hAnsi="Times New Roman" w:eastAsia="宋体" w:cs="Times New Roman"/>
                      <w:color w:val="auto"/>
                      <w:szCs w:val="21"/>
                      <w:lang w:val="en-US" w:eastAsia="zh-CN"/>
                    </w:rPr>
                    <w:t>000</w:t>
                  </w:r>
                </w:p>
              </w:tc>
              <w:tc>
                <w:tcPr>
                  <w:tcW w:w="594"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非甲烷总烃</w:t>
                  </w:r>
                </w:p>
              </w:tc>
              <w:tc>
                <w:tcPr>
                  <w:tcW w:w="681"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0.907</w:t>
                  </w:r>
                </w:p>
              </w:tc>
              <w:tc>
                <w:tcPr>
                  <w:tcW w:w="617"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15</w:t>
                  </w:r>
                </w:p>
              </w:tc>
              <w:tc>
                <w:tcPr>
                  <w:tcW w:w="523"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0.8</w:t>
                  </w:r>
                </w:p>
              </w:tc>
              <w:tc>
                <w:tcPr>
                  <w:tcW w:w="694"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373.15</w:t>
                  </w:r>
                </w:p>
              </w:tc>
            </w:tr>
          </w:tbl>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为预防此类工况发生，除确保生产设备和施工安装质量先进可靠外，还需加强管理，做好设备的日常维护、保养工作，定期检查环保设施的运行情况，同时严格按照操作规程生产，可减少此类非正常工况的发生。</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②突发事故</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突发性事故可因管理不善、设备检修等内部因素引起，具体表现为意外负荷跳闸，仪表失灵导致操作失控、误操作等，也可因突然断电等引起，最严重的后果是生产无法正常进行等。</w:t>
            </w:r>
          </w:p>
          <w:p>
            <w:pPr>
              <w:adjustRightInd w:val="0"/>
              <w:snapToGrid w:val="0"/>
              <w:spacing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（5）大气监测计划</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监测点位：排气筒（FQ-</w:t>
            </w:r>
            <w:r>
              <w:rPr>
                <w:rFonts w:hint="default" w:ascii="Times New Roman" w:hAnsi="Times New Roman" w:eastAsia="宋体" w:cs="Times New Roman"/>
                <w:color w:val="auto"/>
                <w:sz w:val="24"/>
                <w:lang w:val="en-US" w:eastAsia="zh-CN"/>
              </w:rPr>
              <w:t>1</w:t>
            </w:r>
            <w:r>
              <w:rPr>
                <w:rFonts w:hint="default" w:ascii="Times New Roman" w:hAnsi="Times New Roman" w:eastAsia="宋体" w:cs="Times New Roman"/>
                <w:color w:val="auto"/>
                <w:sz w:val="24"/>
              </w:rPr>
              <w:t>）排口设置采样平台；厂界下风向设置2个无组织排放监控点，上风向设置1个参照点</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厂区内设置1个无组织排放监控点；</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监测频次：按照《排污单位自行监测技术指南总则》（HJ819-2017）</w:t>
            </w:r>
            <w:r>
              <w:rPr>
                <w:rFonts w:hint="default" w:ascii="Times New Roman" w:hAnsi="Times New Roman" w:eastAsia="宋体" w:cs="Times New Roman"/>
                <w:color w:val="auto"/>
                <w:sz w:val="24"/>
                <w:lang w:val="en-US" w:eastAsia="zh-CN"/>
              </w:rPr>
              <w:t>和</w:t>
            </w:r>
            <w:r>
              <w:rPr>
                <w:rFonts w:hint="default" w:ascii="Times New Roman" w:hAnsi="Times New Roman" w:eastAsia="宋体" w:cs="Times New Roman"/>
                <w:color w:val="auto"/>
                <w:sz w:val="24"/>
              </w:rPr>
              <w:t>《排污单位自行监测技术指南 火力发电及锅炉》(HJ820-2017）中相关要求；</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监测因子：非甲烷总烃、</w:t>
            </w:r>
            <w:r>
              <w:rPr>
                <w:rFonts w:hint="default" w:ascii="Times New Roman" w:hAnsi="Times New Roman" w:eastAsia="宋体" w:cs="Times New Roman"/>
                <w:color w:val="auto"/>
                <w:sz w:val="24"/>
                <w:lang w:val="en-US" w:eastAsia="zh-CN"/>
              </w:rPr>
              <w:t>氮氧化物、</w:t>
            </w:r>
            <w:r>
              <w:rPr>
                <w:rFonts w:hint="default" w:ascii="Times New Roman" w:hAnsi="Times New Roman" w:eastAsia="宋体" w:cs="Times New Roman"/>
                <w:color w:val="auto"/>
                <w:sz w:val="24"/>
              </w:rPr>
              <w:t>颗粒物</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val="en-US" w:eastAsia="zh-CN"/>
              </w:rPr>
              <w:t>二氧化硫</w:t>
            </w:r>
            <w:r>
              <w:rPr>
                <w:rFonts w:hint="default" w:ascii="Times New Roman" w:hAnsi="Times New Roman" w:eastAsia="宋体" w:cs="Times New Roman"/>
                <w:color w:val="auto"/>
                <w:sz w:val="24"/>
              </w:rPr>
              <w:t>。</w:t>
            </w:r>
          </w:p>
          <w:p>
            <w:pPr>
              <w:adjustRightInd w:val="0"/>
              <w:snapToGrid w:val="0"/>
              <w:spacing w:line="360" w:lineRule="auto"/>
              <w:ind w:firstLine="480" w:firstLineChars="200"/>
              <w:rPr>
                <w:rFonts w:hint="default" w:ascii="Times New Roman" w:hAnsi="Times New Roman" w:eastAsia="宋体" w:cs="Times New Roman"/>
                <w:color w:val="auto"/>
                <w:sz w:val="24"/>
                <w:lang w:val="en-US"/>
              </w:rPr>
            </w:pPr>
            <w:r>
              <w:rPr>
                <w:rFonts w:hint="default" w:ascii="Times New Roman" w:hAnsi="Times New Roman" w:eastAsia="宋体" w:cs="Times New Roman"/>
                <w:color w:val="auto"/>
                <w:sz w:val="24"/>
              </w:rPr>
              <w:t>废气监测位置、监测因子、频率等详见表4-1</w:t>
            </w:r>
            <w:r>
              <w:rPr>
                <w:rFonts w:hint="eastAsia" w:cs="Times New Roman"/>
                <w:color w:val="auto"/>
                <w:sz w:val="24"/>
                <w:lang w:val="en-US" w:eastAsia="zh-CN"/>
              </w:rPr>
              <w:t>1。</w:t>
            </w:r>
          </w:p>
          <w:p>
            <w:pPr>
              <w:pStyle w:val="79"/>
              <w:spacing w:beforeLines="0" w:line="240" w:lineRule="auto"/>
              <w:ind w:firstLine="0" w:firstLineChars="0"/>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表4-1</w:t>
            </w:r>
            <w:r>
              <w:rPr>
                <w:rFonts w:hint="eastAsia" w:cs="Times New Roman"/>
                <w:b/>
                <w:color w:val="auto"/>
                <w:lang w:val="en-US" w:eastAsia="zh-CN"/>
              </w:rPr>
              <w:t>1</w:t>
            </w:r>
            <w:r>
              <w:rPr>
                <w:rFonts w:hint="default" w:ascii="Times New Roman" w:hAnsi="Times New Roman" w:eastAsia="宋体" w:cs="Times New Roman"/>
                <w:b/>
                <w:color w:val="auto"/>
              </w:rPr>
              <w:t xml:space="preserve"> 废气监测因子及频次表</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02"/>
              <w:gridCol w:w="2075"/>
              <w:gridCol w:w="2475"/>
              <w:gridCol w:w="249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9" w:type="pct"/>
                  <w:vAlign w:val="center"/>
                </w:tcPr>
                <w:p>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污染种类</w:t>
                  </w:r>
                </w:p>
              </w:tc>
              <w:tc>
                <w:tcPr>
                  <w:tcW w:w="1258" w:type="pct"/>
                  <w:vAlign w:val="center"/>
                </w:tcPr>
                <w:p>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监测点位</w:t>
                  </w:r>
                </w:p>
              </w:tc>
              <w:tc>
                <w:tcPr>
                  <w:tcW w:w="1500" w:type="pct"/>
                  <w:vAlign w:val="center"/>
                </w:tcPr>
                <w:p>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监测项目</w:t>
                  </w:r>
                </w:p>
              </w:tc>
              <w:tc>
                <w:tcPr>
                  <w:tcW w:w="1511" w:type="pct"/>
                  <w:vAlign w:val="center"/>
                </w:tcPr>
                <w:p>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监测频率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9" w:type="pct"/>
                  <w:vMerge w:val="restar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废气</w:t>
                  </w:r>
                </w:p>
              </w:tc>
              <w:tc>
                <w:tcPr>
                  <w:tcW w:w="1258" w:type="pct"/>
                  <w:vMerge w:val="restar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排气筒（FQ-</w:t>
                  </w:r>
                  <w:r>
                    <w:rPr>
                      <w:rFonts w:hint="default" w:ascii="Times New Roman" w:hAnsi="Times New Roman" w:eastAsia="宋体" w:cs="Times New Roman"/>
                      <w:color w:val="auto"/>
                      <w:szCs w:val="21"/>
                      <w:lang w:val="en-US" w:eastAsia="zh-CN"/>
                    </w:rPr>
                    <w:t>1</w:t>
                  </w:r>
                  <w:r>
                    <w:rPr>
                      <w:rFonts w:hint="default" w:ascii="Times New Roman" w:hAnsi="Times New Roman" w:eastAsia="宋体" w:cs="Times New Roman"/>
                      <w:color w:val="auto"/>
                      <w:szCs w:val="21"/>
                    </w:rPr>
                    <w:t>）</w:t>
                  </w:r>
                </w:p>
              </w:tc>
              <w:tc>
                <w:tcPr>
                  <w:tcW w:w="1500" w:type="pct"/>
                  <w:vAlign w:val="center"/>
                </w:tcPr>
                <w:p>
                  <w:pPr>
                    <w:adjustRightInd w:val="0"/>
                    <w:snapToGrid w:val="0"/>
                    <w:jc w:val="center"/>
                    <w:rPr>
                      <w:rFonts w:hint="default" w:ascii="Times New Roman" w:hAnsi="Times New Roman" w:eastAsia="宋体" w:cs="Times New Roman"/>
                      <w:color w:val="auto"/>
                      <w:szCs w:val="21"/>
                      <w:vertAlign w:val="subscript"/>
                    </w:rPr>
                  </w:pPr>
                  <w:r>
                    <w:rPr>
                      <w:rFonts w:hint="default" w:ascii="Times New Roman" w:hAnsi="Times New Roman" w:eastAsia="宋体" w:cs="Times New Roman"/>
                      <w:color w:val="auto"/>
                      <w:szCs w:val="21"/>
                    </w:rPr>
                    <w:t>非甲烷总烃</w:t>
                  </w:r>
                </w:p>
              </w:tc>
              <w:tc>
                <w:tcPr>
                  <w:tcW w:w="1511"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1年1次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9"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1258"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1500"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氮氧化物</w:t>
                  </w:r>
                </w:p>
              </w:tc>
              <w:tc>
                <w:tcPr>
                  <w:tcW w:w="1511"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1月1次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9"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1258"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1500"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颗粒物</w:t>
                  </w:r>
                </w:p>
              </w:tc>
              <w:tc>
                <w:tcPr>
                  <w:tcW w:w="1511"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1年1次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9"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1258"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1500"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二氧化硫</w:t>
                  </w:r>
                </w:p>
              </w:tc>
              <w:tc>
                <w:tcPr>
                  <w:tcW w:w="1511"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1年1次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9"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1258"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厂界</w:t>
                  </w:r>
                </w:p>
              </w:tc>
              <w:tc>
                <w:tcPr>
                  <w:tcW w:w="1500"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非甲烷总烃</w:t>
                  </w:r>
                </w:p>
              </w:tc>
              <w:tc>
                <w:tcPr>
                  <w:tcW w:w="1511"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1年1次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729"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1258"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厂区内</w:t>
                  </w:r>
                </w:p>
              </w:tc>
              <w:tc>
                <w:tcPr>
                  <w:tcW w:w="1500"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非甲烷总烃</w:t>
                  </w:r>
                </w:p>
              </w:tc>
              <w:tc>
                <w:tcPr>
                  <w:tcW w:w="1511"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各地根据当地环境保护需要自行确定</w:t>
                  </w:r>
                </w:p>
              </w:tc>
            </w:tr>
          </w:tbl>
          <w:p>
            <w:pPr>
              <w:spacing w:line="360" w:lineRule="auto"/>
              <w:ind w:firstLine="482" w:firstLineChars="200"/>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（6）小结</w:t>
            </w:r>
          </w:p>
          <w:p>
            <w:pPr>
              <w:snapToGrid w:val="0"/>
              <w:spacing w:line="360" w:lineRule="auto"/>
              <w:ind w:firstLine="480" w:firstLineChars="200"/>
              <w:rPr>
                <w:rFonts w:hint="default" w:ascii="Times New Roman" w:hAnsi="Times New Roman" w:eastAsia="宋体" w:cs="Times New Roman"/>
                <w:bCs/>
                <w:color w:val="auto"/>
                <w:sz w:val="24"/>
                <w:szCs w:val="22"/>
              </w:rPr>
            </w:pPr>
            <w:r>
              <w:rPr>
                <w:rFonts w:hint="default" w:ascii="Times New Roman" w:hAnsi="Times New Roman" w:eastAsia="宋体" w:cs="Times New Roman"/>
                <w:bCs/>
                <w:color w:val="auto"/>
                <w:sz w:val="24"/>
                <w:szCs w:val="22"/>
              </w:rPr>
              <w:t>综上，本项目废气产生量较小，经废气处理装置处理后达标排放。因此，本项目废气对周围环境影响较小。</w:t>
            </w:r>
          </w:p>
          <w:p>
            <w:pPr>
              <w:spacing w:line="360" w:lineRule="auto"/>
              <w:rPr>
                <w:rFonts w:hint="default" w:ascii="Times New Roman" w:hAnsi="Times New Roman" w:eastAsia="宋体" w:cs="Times New Roman"/>
                <w:b/>
                <w:bCs/>
                <w:color w:val="auto"/>
                <w:sz w:val="24"/>
              </w:rPr>
            </w:pPr>
            <w:bookmarkStart w:id="2" w:name="_Toc320441110"/>
            <w:bookmarkStart w:id="3" w:name="_Toc320441364"/>
            <w:bookmarkStart w:id="4" w:name="_Toc320440933"/>
            <w:r>
              <w:rPr>
                <w:rFonts w:hint="default" w:ascii="Times New Roman" w:hAnsi="Times New Roman" w:eastAsia="宋体" w:cs="Times New Roman"/>
                <w:b/>
                <w:bCs/>
                <w:color w:val="auto"/>
                <w:sz w:val="24"/>
              </w:rPr>
              <w:t>2、废水</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（1）产污情况分析</w:t>
            </w:r>
          </w:p>
          <w:p>
            <w:pPr>
              <w:adjustRightInd w:val="0"/>
              <w:snapToGrid w:val="0"/>
              <w:spacing w:line="360" w:lineRule="auto"/>
              <w:ind w:firstLine="480" w:firstLineChars="200"/>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1）</w:t>
            </w:r>
            <w:r>
              <w:rPr>
                <w:rFonts w:hint="default" w:ascii="Times New Roman" w:hAnsi="Times New Roman" w:eastAsia="宋体" w:cs="Times New Roman"/>
                <w:color w:val="auto"/>
                <w:sz w:val="24"/>
                <w:lang w:val="en-US" w:eastAsia="zh-CN"/>
              </w:rPr>
              <w:t>生产废水</w:t>
            </w:r>
          </w:p>
          <w:p>
            <w:pPr>
              <w:adjustRightInd w:val="0"/>
              <w:snapToGrid w:val="0"/>
              <w:spacing w:line="360" w:lineRule="auto"/>
              <w:ind w:firstLine="480" w:firstLineChars="200"/>
              <w:rPr>
                <w:rFonts w:hint="eastAsia" w:cs="Times New Roman"/>
                <w:color w:val="auto"/>
                <w:sz w:val="24"/>
                <w:lang w:val="en-US" w:eastAsia="zh-CN"/>
              </w:rPr>
            </w:pPr>
            <w:r>
              <w:rPr>
                <w:rFonts w:hint="eastAsia" w:cs="Times New Roman"/>
                <w:color w:val="auto"/>
                <w:sz w:val="24"/>
                <w:lang w:val="en-US" w:eastAsia="zh-CN"/>
              </w:rPr>
              <w:t>①清洗废水（W1、W3、W4、W5）</w:t>
            </w:r>
          </w:p>
          <w:p>
            <w:pPr>
              <w:adjustRightInd w:val="0"/>
              <w:snapToGrid w:val="0"/>
              <w:spacing w:line="360" w:lineRule="auto"/>
              <w:ind w:firstLine="480" w:firstLineChars="200"/>
              <w:rPr>
                <w:rFonts w:hint="eastAsia" w:cs="Times New Roman"/>
                <w:color w:val="auto"/>
                <w:sz w:val="24"/>
                <w:lang w:val="en-US" w:eastAsia="zh-CN"/>
              </w:rPr>
            </w:pPr>
            <w:r>
              <w:rPr>
                <w:rFonts w:hint="eastAsia" w:cs="Times New Roman"/>
                <w:color w:val="auto"/>
                <w:sz w:val="24"/>
                <w:lang w:val="en-US" w:eastAsia="zh-CN"/>
              </w:rPr>
              <w:t>本项目清洗废水产污环节及排放量详见下表。</w:t>
            </w:r>
          </w:p>
          <w:p>
            <w:pPr>
              <w:pStyle w:val="79"/>
              <w:spacing w:beforeLines="0" w:line="240" w:lineRule="auto"/>
              <w:ind w:firstLine="0" w:firstLineChars="0"/>
              <w:jc w:val="center"/>
              <w:rPr>
                <w:rFonts w:hint="default" w:ascii="Times New Roman" w:hAnsi="Times New Roman" w:eastAsia="宋体" w:cs="Times New Roman"/>
                <w:b/>
                <w:color w:val="auto"/>
                <w:lang w:val="en-US" w:eastAsia="zh-CN"/>
              </w:rPr>
            </w:pPr>
            <w:r>
              <w:rPr>
                <w:rFonts w:hint="default" w:ascii="Times New Roman" w:hAnsi="Times New Roman" w:eastAsia="宋体" w:cs="Times New Roman"/>
                <w:b/>
                <w:color w:val="auto"/>
              </w:rPr>
              <w:t>表4-1</w:t>
            </w:r>
            <w:r>
              <w:rPr>
                <w:rFonts w:hint="eastAsia" w:cs="Times New Roman"/>
                <w:b/>
                <w:color w:val="auto"/>
                <w:lang w:val="en-US" w:eastAsia="zh-CN"/>
              </w:rPr>
              <w:t>2</w:t>
            </w:r>
            <w:r>
              <w:rPr>
                <w:rFonts w:hint="default" w:ascii="Times New Roman" w:hAnsi="Times New Roman" w:eastAsia="宋体" w:cs="Times New Roman"/>
                <w:b/>
                <w:color w:val="auto"/>
              </w:rPr>
              <w:t xml:space="preserve"> </w:t>
            </w:r>
            <w:r>
              <w:rPr>
                <w:rFonts w:hint="eastAsia" w:ascii="Times New Roman" w:hAnsi="Times New Roman" w:eastAsia="宋体" w:cs="Times New Roman"/>
                <w:b/>
                <w:color w:val="auto"/>
                <w:lang w:val="en-US" w:eastAsia="zh-CN"/>
              </w:rPr>
              <w:t>清洗废水产生</w:t>
            </w:r>
            <w:r>
              <w:rPr>
                <w:rFonts w:hint="default" w:ascii="Times New Roman" w:hAnsi="Times New Roman" w:eastAsia="宋体" w:cs="Times New Roman"/>
                <w:b/>
                <w:color w:val="auto"/>
                <w:lang w:val="en-US" w:eastAsia="zh-CN"/>
              </w:rPr>
              <w:t>情况</w:t>
            </w:r>
            <w:r>
              <w:rPr>
                <w:rFonts w:hint="eastAsia" w:ascii="Times New Roman" w:hAnsi="Times New Roman" w:eastAsia="宋体" w:cs="Times New Roman"/>
                <w:b/>
                <w:color w:val="auto"/>
                <w:lang w:val="en-US" w:eastAsia="zh-CN"/>
              </w:rPr>
              <w:t>一览表</w:t>
            </w:r>
          </w:p>
          <w:tbl>
            <w:tblPr>
              <w:tblStyle w:val="22"/>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44"/>
              <w:gridCol w:w="581"/>
              <w:gridCol w:w="1027"/>
              <w:gridCol w:w="1441"/>
              <w:gridCol w:w="1027"/>
              <w:gridCol w:w="2026"/>
              <w:gridCol w:w="129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3" w:type="pct"/>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产生环节</w:t>
                  </w:r>
                </w:p>
              </w:tc>
              <w:tc>
                <w:tcPr>
                  <w:tcW w:w="352" w:type="pct"/>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编号</w:t>
                  </w:r>
                </w:p>
              </w:tc>
              <w:tc>
                <w:tcPr>
                  <w:tcW w:w="623" w:type="pct"/>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污染因子</w:t>
                  </w:r>
                </w:p>
              </w:tc>
              <w:tc>
                <w:tcPr>
                  <w:tcW w:w="874" w:type="pct"/>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使用水槽</w:t>
                  </w:r>
                </w:p>
              </w:tc>
              <w:tc>
                <w:tcPr>
                  <w:tcW w:w="623" w:type="pct"/>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槽体容积（m</w:t>
                  </w:r>
                  <w:r>
                    <w:rPr>
                      <w:rFonts w:hint="eastAsia" w:ascii="Times New Roman" w:hAnsi="Times New Roman" w:eastAsia="宋体" w:cs="Times New Roman"/>
                      <w:b/>
                      <w:bCs/>
                      <w:color w:val="auto"/>
                      <w:szCs w:val="21"/>
                      <w:vertAlign w:val="superscript"/>
                      <w:lang w:val="en-US" w:eastAsia="zh-CN"/>
                    </w:rPr>
                    <w:t>3</w:t>
                  </w:r>
                  <w:r>
                    <w:rPr>
                      <w:rFonts w:hint="eastAsia" w:ascii="Times New Roman" w:hAnsi="Times New Roman" w:eastAsia="宋体" w:cs="Times New Roman"/>
                      <w:b/>
                      <w:bCs/>
                      <w:color w:val="auto"/>
                      <w:szCs w:val="21"/>
                      <w:lang w:val="en-US" w:eastAsia="zh-CN"/>
                    </w:rPr>
                    <w:t>）</w:t>
                  </w:r>
                </w:p>
              </w:tc>
              <w:tc>
                <w:tcPr>
                  <w:tcW w:w="1227" w:type="pct"/>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槽液更换周期</w:t>
                  </w:r>
                </w:p>
              </w:tc>
              <w:tc>
                <w:tcPr>
                  <w:tcW w:w="785" w:type="pct"/>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生产废水产生量（t/a）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13"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预清洗</w:t>
                  </w:r>
                </w:p>
              </w:tc>
              <w:tc>
                <w:tcPr>
                  <w:tcW w:w="352"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W1</w:t>
                  </w:r>
                </w:p>
              </w:tc>
              <w:tc>
                <w:tcPr>
                  <w:tcW w:w="623"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COD、SS</w:t>
                  </w:r>
                </w:p>
              </w:tc>
              <w:tc>
                <w:tcPr>
                  <w:tcW w:w="874"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预清</w:t>
                  </w:r>
                  <w:r>
                    <w:rPr>
                      <w:rFonts w:hint="default" w:ascii="Times New Roman" w:hAnsi="Times New Roman" w:eastAsia="宋体" w:cs="Times New Roman"/>
                      <w:color w:val="auto"/>
                      <w:szCs w:val="21"/>
                    </w:rPr>
                    <w:t>洗</w:t>
                  </w:r>
                  <w:r>
                    <w:rPr>
                      <w:rFonts w:hint="default" w:ascii="Times New Roman" w:hAnsi="Times New Roman" w:eastAsia="宋体" w:cs="Times New Roman"/>
                      <w:color w:val="auto"/>
                      <w:szCs w:val="21"/>
                      <w:lang w:val="en-US" w:eastAsia="zh-CN"/>
                    </w:rPr>
                    <w:t>槽</w:t>
                  </w:r>
                </w:p>
              </w:tc>
              <w:tc>
                <w:tcPr>
                  <w:tcW w:w="623"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1.92</w:t>
                  </w:r>
                </w:p>
              </w:tc>
              <w:tc>
                <w:tcPr>
                  <w:tcW w:w="1227"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每三天更换一次</w:t>
                  </w:r>
                </w:p>
              </w:tc>
              <w:tc>
                <w:tcPr>
                  <w:tcW w:w="785"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192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13" w:type="pct"/>
                  <w:vMerge w:val="restart"/>
                  <w:vAlign w:val="center"/>
                </w:tcPr>
                <w:p>
                  <w:pPr>
                    <w:adjustRightInd w:val="0"/>
                    <w:snapToGrid w:val="0"/>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水洗</w:t>
                  </w:r>
                </w:p>
              </w:tc>
              <w:tc>
                <w:tcPr>
                  <w:tcW w:w="352" w:type="pct"/>
                  <w:vMerge w:val="restar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W3</w:t>
                  </w:r>
                </w:p>
              </w:tc>
              <w:tc>
                <w:tcPr>
                  <w:tcW w:w="623" w:type="pct"/>
                  <w:vMerge w:val="restar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COD、SS</w:t>
                  </w:r>
                </w:p>
              </w:tc>
              <w:tc>
                <w:tcPr>
                  <w:tcW w:w="874"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水洗</w:t>
                  </w:r>
                  <w:r>
                    <w:rPr>
                      <w:rFonts w:hint="default" w:ascii="Times New Roman" w:hAnsi="Times New Roman" w:eastAsia="宋体" w:cs="Times New Roman"/>
                      <w:color w:val="auto"/>
                      <w:szCs w:val="21"/>
                    </w:rPr>
                    <w:t>1</w:t>
                  </w:r>
                  <w:r>
                    <w:rPr>
                      <w:rFonts w:hint="default" w:ascii="Times New Roman" w:hAnsi="Times New Roman" w:eastAsia="宋体" w:cs="Times New Roman"/>
                      <w:color w:val="auto"/>
                      <w:szCs w:val="21"/>
                      <w:lang w:val="en-US" w:eastAsia="zh-CN"/>
                    </w:rPr>
                    <w:t>槽</w:t>
                  </w:r>
                </w:p>
              </w:tc>
              <w:tc>
                <w:tcPr>
                  <w:tcW w:w="623"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1.92</w:t>
                  </w:r>
                </w:p>
              </w:tc>
              <w:tc>
                <w:tcPr>
                  <w:tcW w:w="1227"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每三天更换一次</w:t>
                  </w:r>
                </w:p>
              </w:tc>
              <w:tc>
                <w:tcPr>
                  <w:tcW w:w="785"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192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13" w:type="pct"/>
                  <w:vMerge w:val="continue"/>
                  <w:vAlign w:val="center"/>
                </w:tcPr>
                <w:p>
                  <w:pPr>
                    <w:adjustRightInd w:val="0"/>
                    <w:snapToGrid w:val="0"/>
                    <w:jc w:val="center"/>
                    <w:rPr>
                      <w:rFonts w:hint="eastAsia" w:ascii="Times New Roman" w:hAnsi="Times New Roman" w:eastAsia="宋体" w:cs="Times New Roman"/>
                      <w:color w:val="auto"/>
                      <w:szCs w:val="21"/>
                      <w:lang w:val="en-US" w:eastAsia="zh-CN"/>
                    </w:rPr>
                  </w:pPr>
                </w:p>
              </w:tc>
              <w:tc>
                <w:tcPr>
                  <w:tcW w:w="352" w:type="pct"/>
                  <w:vMerge w:val="continue"/>
                  <w:vAlign w:val="center"/>
                </w:tcPr>
                <w:p>
                  <w:pPr>
                    <w:adjustRightInd w:val="0"/>
                    <w:snapToGrid w:val="0"/>
                    <w:jc w:val="center"/>
                    <w:rPr>
                      <w:rFonts w:hint="eastAsia" w:ascii="Times New Roman" w:hAnsi="Times New Roman" w:eastAsia="宋体" w:cs="Times New Roman"/>
                      <w:color w:val="auto"/>
                      <w:szCs w:val="21"/>
                      <w:lang w:val="en-US" w:eastAsia="zh-CN"/>
                    </w:rPr>
                  </w:pPr>
                </w:p>
              </w:tc>
              <w:tc>
                <w:tcPr>
                  <w:tcW w:w="623" w:type="pct"/>
                  <w:vMerge w:val="continue"/>
                  <w:vAlign w:val="center"/>
                </w:tcPr>
                <w:p>
                  <w:pPr>
                    <w:adjustRightInd w:val="0"/>
                    <w:snapToGrid w:val="0"/>
                    <w:jc w:val="center"/>
                    <w:rPr>
                      <w:rFonts w:hint="eastAsia" w:ascii="Times New Roman" w:hAnsi="Times New Roman" w:eastAsia="宋体" w:cs="Times New Roman"/>
                      <w:color w:val="auto"/>
                      <w:szCs w:val="21"/>
                      <w:lang w:val="en-US" w:eastAsia="zh-CN"/>
                    </w:rPr>
                  </w:pPr>
                </w:p>
              </w:tc>
              <w:tc>
                <w:tcPr>
                  <w:tcW w:w="874"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水洗2槽</w:t>
                  </w:r>
                </w:p>
              </w:tc>
              <w:tc>
                <w:tcPr>
                  <w:tcW w:w="623"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10.45</w:t>
                  </w:r>
                </w:p>
              </w:tc>
              <w:tc>
                <w:tcPr>
                  <w:tcW w:w="1227"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每半个月更换一次</w:t>
                  </w:r>
                </w:p>
              </w:tc>
              <w:tc>
                <w:tcPr>
                  <w:tcW w:w="785"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209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13" w:type="pct"/>
                  <w:vMerge w:val="restar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水洗</w:t>
                  </w:r>
                </w:p>
              </w:tc>
              <w:tc>
                <w:tcPr>
                  <w:tcW w:w="352" w:type="pct"/>
                  <w:vMerge w:val="restar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W4</w:t>
                  </w:r>
                </w:p>
              </w:tc>
              <w:tc>
                <w:tcPr>
                  <w:tcW w:w="623" w:type="pct"/>
                  <w:vMerge w:val="restar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COD、SS</w:t>
                  </w:r>
                </w:p>
              </w:tc>
              <w:tc>
                <w:tcPr>
                  <w:tcW w:w="874"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水洗</w:t>
                  </w:r>
                  <w:r>
                    <w:rPr>
                      <w:rFonts w:hint="eastAsia" w:ascii="Times New Roman" w:hAnsi="Times New Roman" w:eastAsia="宋体" w:cs="Times New Roman"/>
                      <w:color w:val="auto"/>
                      <w:szCs w:val="21"/>
                      <w:lang w:val="en-US" w:eastAsia="zh-CN"/>
                    </w:rPr>
                    <w:t>3</w:t>
                  </w:r>
                  <w:r>
                    <w:rPr>
                      <w:rFonts w:hint="default" w:ascii="Times New Roman" w:hAnsi="Times New Roman" w:eastAsia="宋体" w:cs="Times New Roman"/>
                      <w:color w:val="auto"/>
                      <w:szCs w:val="21"/>
                      <w:lang w:val="en-US" w:eastAsia="zh-CN"/>
                    </w:rPr>
                    <w:t>槽</w:t>
                  </w:r>
                </w:p>
              </w:tc>
              <w:tc>
                <w:tcPr>
                  <w:tcW w:w="623"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1.92</w:t>
                  </w:r>
                </w:p>
              </w:tc>
              <w:tc>
                <w:tcPr>
                  <w:tcW w:w="1227"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每三天更换一次</w:t>
                  </w:r>
                </w:p>
              </w:tc>
              <w:tc>
                <w:tcPr>
                  <w:tcW w:w="785"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192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13" w:type="pct"/>
                  <w:vMerge w:val="continue"/>
                  <w:vAlign w:val="center"/>
                </w:tcPr>
                <w:p>
                  <w:pPr>
                    <w:adjustRightInd w:val="0"/>
                    <w:snapToGrid w:val="0"/>
                    <w:jc w:val="center"/>
                    <w:rPr>
                      <w:rFonts w:hint="eastAsia" w:ascii="Times New Roman" w:hAnsi="Times New Roman" w:eastAsia="宋体" w:cs="Times New Roman"/>
                      <w:color w:val="auto"/>
                      <w:szCs w:val="21"/>
                      <w:lang w:val="en-US" w:eastAsia="zh-CN"/>
                    </w:rPr>
                  </w:pPr>
                </w:p>
              </w:tc>
              <w:tc>
                <w:tcPr>
                  <w:tcW w:w="352" w:type="pct"/>
                  <w:vMerge w:val="continue"/>
                  <w:vAlign w:val="center"/>
                </w:tcPr>
                <w:p>
                  <w:pPr>
                    <w:adjustRightInd w:val="0"/>
                    <w:snapToGrid w:val="0"/>
                    <w:jc w:val="center"/>
                    <w:rPr>
                      <w:rFonts w:hint="eastAsia" w:ascii="Times New Roman" w:hAnsi="Times New Roman" w:eastAsia="宋体" w:cs="Times New Roman"/>
                      <w:color w:val="auto"/>
                      <w:szCs w:val="21"/>
                      <w:lang w:val="en-US" w:eastAsia="zh-CN"/>
                    </w:rPr>
                  </w:pPr>
                </w:p>
              </w:tc>
              <w:tc>
                <w:tcPr>
                  <w:tcW w:w="623" w:type="pct"/>
                  <w:vMerge w:val="continue"/>
                  <w:vAlign w:val="center"/>
                </w:tcPr>
                <w:p>
                  <w:pPr>
                    <w:adjustRightInd w:val="0"/>
                    <w:snapToGrid w:val="0"/>
                    <w:jc w:val="center"/>
                    <w:rPr>
                      <w:rFonts w:hint="eastAsia" w:ascii="Times New Roman" w:hAnsi="Times New Roman" w:eastAsia="宋体" w:cs="Times New Roman"/>
                      <w:color w:val="auto"/>
                      <w:szCs w:val="21"/>
                      <w:lang w:val="en-US" w:eastAsia="zh-CN"/>
                    </w:rPr>
                  </w:pPr>
                </w:p>
              </w:tc>
              <w:tc>
                <w:tcPr>
                  <w:tcW w:w="874"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水洗</w:t>
                  </w:r>
                  <w:r>
                    <w:rPr>
                      <w:rFonts w:hint="eastAsia" w:ascii="Times New Roman" w:hAnsi="Times New Roman" w:eastAsia="宋体" w:cs="Times New Roman"/>
                      <w:color w:val="auto"/>
                      <w:szCs w:val="21"/>
                      <w:lang w:val="en-US" w:eastAsia="zh-CN"/>
                    </w:rPr>
                    <w:t>4</w:t>
                  </w:r>
                  <w:r>
                    <w:rPr>
                      <w:rFonts w:hint="default" w:ascii="Times New Roman" w:hAnsi="Times New Roman" w:eastAsia="宋体" w:cs="Times New Roman"/>
                      <w:color w:val="auto"/>
                      <w:szCs w:val="21"/>
                      <w:lang w:val="en-US" w:eastAsia="zh-CN"/>
                    </w:rPr>
                    <w:t>槽</w:t>
                  </w:r>
                </w:p>
              </w:tc>
              <w:tc>
                <w:tcPr>
                  <w:tcW w:w="623"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10.45</w:t>
                  </w:r>
                </w:p>
              </w:tc>
              <w:tc>
                <w:tcPr>
                  <w:tcW w:w="1227"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每半个月更换一次</w:t>
                  </w:r>
                </w:p>
              </w:tc>
              <w:tc>
                <w:tcPr>
                  <w:tcW w:w="785"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209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13"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纯水洗</w:t>
                  </w:r>
                </w:p>
              </w:tc>
              <w:tc>
                <w:tcPr>
                  <w:tcW w:w="352"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W5</w:t>
                  </w:r>
                </w:p>
              </w:tc>
              <w:tc>
                <w:tcPr>
                  <w:tcW w:w="623"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COD、SS</w:t>
                  </w:r>
                </w:p>
              </w:tc>
              <w:tc>
                <w:tcPr>
                  <w:tcW w:w="874"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纯水洗1槽</w:t>
                  </w:r>
                </w:p>
              </w:tc>
              <w:tc>
                <w:tcPr>
                  <w:tcW w:w="623"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1.92</w:t>
                  </w:r>
                </w:p>
              </w:tc>
              <w:tc>
                <w:tcPr>
                  <w:tcW w:w="1227"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每三天更换一次</w:t>
                  </w:r>
                </w:p>
              </w:tc>
              <w:tc>
                <w:tcPr>
                  <w:tcW w:w="785"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192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214" w:type="pct"/>
                  <w:gridSpan w:val="6"/>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合计</w:t>
                  </w:r>
                </w:p>
              </w:tc>
              <w:tc>
                <w:tcPr>
                  <w:tcW w:w="785"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1186</w:t>
                  </w:r>
                </w:p>
              </w:tc>
            </w:tr>
          </w:tbl>
          <w:p>
            <w:pPr>
              <w:adjustRightInd w:val="0"/>
              <w:snapToGrid w:val="0"/>
              <w:spacing w:line="360" w:lineRule="auto"/>
              <w:ind w:firstLine="480" w:firstLineChars="200"/>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综上表，本项目清洗废水产生量为1186t/a，类比同类企业，清洗废水水质为pH9~10、COD 800mg/L、SS 300mg/L。</w:t>
            </w:r>
          </w:p>
          <w:p>
            <w:pPr>
              <w:adjustRightInd w:val="0"/>
              <w:snapToGrid w:val="0"/>
              <w:spacing w:line="360" w:lineRule="auto"/>
              <w:ind w:firstLine="480" w:firstLineChars="200"/>
              <w:rPr>
                <w:rFonts w:hint="eastAsia" w:cs="Times New Roman"/>
                <w:color w:val="auto"/>
                <w:sz w:val="24"/>
                <w:lang w:val="en-US" w:eastAsia="zh-CN"/>
              </w:rPr>
            </w:pPr>
            <w:r>
              <w:rPr>
                <w:rFonts w:hint="eastAsia" w:cs="Times New Roman"/>
                <w:color w:val="auto"/>
                <w:sz w:val="24"/>
                <w:lang w:val="en-US" w:eastAsia="zh-CN"/>
              </w:rPr>
              <w:t>②清洗废水（W2）</w:t>
            </w:r>
          </w:p>
          <w:p>
            <w:pPr>
              <w:adjustRightInd w:val="0"/>
              <w:snapToGrid w:val="0"/>
              <w:spacing w:line="360" w:lineRule="auto"/>
              <w:ind w:firstLine="480" w:firstLineChars="200"/>
              <w:rPr>
                <w:rFonts w:hint="eastAsia" w:cs="Times New Roman"/>
                <w:color w:val="auto"/>
                <w:sz w:val="24"/>
                <w:lang w:val="en-US" w:eastAsia="zh-CN"/>
              </w:rPr>
            </w:pPr>
            <w:r>
              <w:rPr>
                <w:rFonts w:hint="eastAsia" w:cs="Times New Roman"/>
                <w:color w:val="auto"/>
                <w:sz w:val="24"/>
                <w:lang w:val="en-US" w:eastAsia="zh-CN"/>
              </w:rPr>
              <w:t>本项目脱脂废水产污环节及排放量详见下表。</w:t>
            </w:r>
          </w:p>
          <w:p>
            <w:pPr>
              <w:pStyle w:val="79"/>
              <w:spacing w:beforeLines="0" w:line="240" w:lineRule="auto"/>
              <w:ind w:firstLine="0" w:firstLineChars="0"/>
              <w:jc w:val="center"/>
              <w:rPr>
                <w:rFonts w:hint="default" w:ascii="Times New Roman" w:hAnsi="Times New Roman" w:eastAsia="宋体" w:cs="Times New Roman"/>
                <w:b/>
                <w:color w:val="auto"/>
                <w:lang w:val="en-US" w:eastAsia="zh-CN"/>
              </w:rPr>
            </w:pPr>
            <w:r>
              <w:rPr>
                <w:rFonts w:hint="default" w:ascii="Times New Roman" w:hAnsi="Times New Roman" w:eastAsia="宋体" w:cs="Times New Roman"/>
                <w:b/>
                <w:color w:val="auto"/>
              </w:rPr>
              <w:t>表4-1</w:t>
            </w:r>
            <w:r>
              <w:rPr>
                <w:rFonts w:hint="eastAsia" w:cs="Times New Roman"/>
                <w:b/>
                <w:color w:val="auto"/>
                <w:lang w:val="en-US" w:eastAsia="zh-CN"/>
              </w:rPr>
              <w:t>3</w:t>
            </w:r>
            <w:r>
              <w:rPr>
                <w:rFonts w:hint="default" w:ascii="Times New Roman" w:hAnsi="Times New Roman" w:eastAsia="宋体" w:cs="Times New Roman"/>
                <w:b/>
                <w:color w:val="auto"/>
              </w:rPr>
              <w:t xml:space="preserve"> </w:t>
            </w:r>
            <w:r>
              <w:rPr>
                <w:rFonts w:hint="eastAsia" w:ascii="Times New Roman" w:hAnsi="Times New Roman" w:eastAsia="宋体" w:cs="Times New Roman"/>
                <w:b/>
                <w:color w:val="auto"/>
                <w:lang w:val="en-US" w:eastAsia="zh-CN"/>
              </w:rPr>
              <w:t>清洗废水产生</w:t>
            </w:r>
            <w:r>
              <w:rPr>
                <w:rFonts w:hint="default" w:ascii="Times New Roman" w:hAnsi="Times New Roman" w:eastAsia="宋体" w:cs="Times New Roman"/>
                <w:b/>
                <w:color w:val="auto"/>
                <w:lang w:val="en-US" w:eastAsia="zh-CN"/>
              </w:rPr>
              <w:t>情况</w:t>
            </w:r>
            <w:r>
              <w:rPr>
                <w:rFonts w:hint="eastAsia" w:ascii="Times New Roman" w:hAnsi="Times New Roman" w:eastAsia="宋体" w:cs="Times New Roman"/>
                <w:b/>
                <w:color w:val="auto"/>
                <w:lang w:val="en-US" w:eastAsia="zh-CN"/>
              </w:rPr>
              <w:t>一览表</w:t>
            </w:r>
          </w:p>
          <w:tbl>
            <w:tblPr>
              <w:tblStyle w:val="22"/>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99"/>
              <w:gridCol w:w="622"/>
              <w:gridCol w:w="1027"/>
              <w:gridCol w:w="1441"/>
              <w:gridCol w:w="1027"/>
              <w:gridCol w:w="1890"/>
              <w:gridCol w:w="143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5" w:type="pct"/>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产生环节</w:t>
                  </w:r>
                </w:p>
              </w:tc>
              <w:tc>
                <w:tcPr>
                  <w:tcW w:w="377" w:type="pct"/>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编号</w:t>
                  </w:r>
                </w:p>
              </w:tc>
              <w:tc>
                <w:tcPr>
                  <w:tcW w:w="623" w:type="pct"/>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污染因子</w:t>
                  </w:r>
                </w:p>
              </w:tc>
              <w:tc>
                <w:tcPr>
                  <w:tcW w:w="874" w:type="pct"/>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使用水槽</w:t>
                  </w:r>
                </w:p>
              </w:tc>
              <w:tc>
                <w:tcPr>
                  <w:tcW w:w="623" w:type="pct"/>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槽体容积（m</w:t>
                  </w:r>
                  <w:r>
                    <w:rPr>
                      <w:rFonts w:hint="eastAsia" w:ascii="Times New Roman" w:hAnsi="Times New Roman" w:eastAsia="宋体" w:cs="Times New Roman"/>
                      <w:b/>
                      <w:bCs/>
                      <w:color w:val="auto"/>
                      <w:szCs w:val="21"/>
                      <w:vertAlign w:val="superscript"/>
                      <w:lang w:val="en-US" w:eastAsia="zh-CN"/>
                    </w:rPr>
                    <w:t>3</w:t>
                  </w:r>
                  <w:r>
                    <w:rPr>
                      <w:rFonts w:hint="eastAsia" w:ascii="Times New Roman" w:hAnsi="Times New Roman" w:eastAsia="宋体" w:cs="Times New Roman"/>
                      <w:b/>
                      <w:bCs/>
                      <w:color w:val="auto"/>
                      <w:szCs w:val="21"/>
                      <w:lang w:val="en-US" w:eastAsia="zh-CN"/>
                    </w:rPr>
                    <w:t>）</w:t>
                  </w:r>
                </w:p>
              </w:tc>
              <w:tc>
                <w:tcPr>
                  <w:tcW w:w="1145" w:type="pct"/>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槽液更换周期</w:t>
                  </w:r>
                </w:p>
              </w:tc>
              <w:tc>
                <w:tcPr>
                  <w:tcW w:w="870" w:type="pct"/>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生产废水产生量（t/a）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85" w:type="pct"/>
                  <w:vMerge w:val="restart"/>
                  <w:vAlign w:val="center"/>
                </w:tcPr>
                <w:p>
                  <w:pPr>
                    <w:adjustRightInd w:val="0"/>
                    <w:snapToGrid w:val="0"/>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脱脂</w:t>
                  </w:r>
                </w:p>
              </w:tc>
              <w:tc>
                <w:tcPr>
                  <w:tcW w:w="377" w:type="pct"/>
                  <w:vMerge w:val="restar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W2</w:t>
                  </w:r>
                </w:p>
              </w:tc>
              <w:tc>
                <w:tcPr>
                  <w:tcW w:w="623" w:type="pct"/>
                  <w:vMerge w:val="restar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COD、SS、石油类</w:t>
                  </w:r>
                </w:p>
              </w:tc>
              <w:tc>
                <w:tcPr>
                  <w:tcW w:w="874"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预脱脂</w:t>
                  </w:r>
                  <w:r>
                    <w:rPr>
                      <w:rFonts w:hint="default" w:ascii="Times New Roman" w:hAnsi="Times New Roman" w:eastAsia="宋体" w:cs="Times New Roman"/>
                      <w:color w:val="auto"/>
                      <w:szCs w:val="21"/>
                      <w:lang w:val="en-US" w:eastAsia="zh-CN"/>
                    </w:rPr>
                    <w:t>槽</w:t>
                  </w:r>
                </w:p>
              </w:tc>
              <w:tc>
                <w:tcPr>
                  <w:tcW w:w="623"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1.92</w:t>
                  </w:r>
                </w:p>
              </w:tc>
              <w:tc>
                <w:tcPr>
                  <w:tcW w:w="1145"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每十天彻底更换一次</w:t>
                  </w:r>
                </w:p>
              </w:tc>
              <w:tc>
                <w:tcPr>
                  <w:tcW w:w="870"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57.6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85" w:type="pct"/>
                  <w:vMerge w:val="continue"/>
                  <w:vAlign w:val="center"/>
                </w:tcPr>
                <w:p>
                  <w:pPr>
                    <w:adjustRightInd w:val="0"/>
                    <w:snapToGrid w:val="0"/>
                    <w:jc w:val="center"/>
                    <w:rPr>
                      <w:rFonts w:hint="eastAsia" w:ascii="Times New Roman" w:hAnsi="Times New Roman" w:eastAsia="宋体" w:cs="Times New Roman"/>
                      <w:color w:val="auto"/>
                      <w:szCs w:val="21"/>
                      <w:lang w:val="en-US" w:eastAsia="zh-CN"/>
                    </w:rPr>
                  </w:pPr>
                </w:p>
              </w:tc>
              <w:tc>
                <w:tcPr>
                  <w:tcW w:w="377" w:type="pct"/>
                  <w:vMerge w:val="continue"/>
                  <w:vAlign w:val="center"/>
                </w:tcPr>
                <w:p>
                  <w:pPr>
                    <w:adjustRightInd w:val="0"/>
                    <w:snapToGrid w:val="0"/>
                    <w:jc w:val="center"/>
                    <w:rPr>
                      <w:rFonts w:hint="eastAsia" w:ascii="Times New Roman" w:hAnsi="Times New Roman" w:eastAsia="宋体" w:cs="Times New Roman"/>
                      <w:color w:val="auto"/>
                      <w:szCs w:val="21"/>
                      <w:lang w:val="en-US" w:eastAsia="zh-CN"/>
                    </w:rPr>
                  </w:pPr>
                </w:p>
              </w:tc>
              <w:tc>
                <w:tcPr>
                  <w:tcW w:w="623" w:type="pct"/>
                  <w:vMerge w:val="continue"/>
                  <w:vAlign w:val="center"/>
                </w:tcPr>
                <w:p>
                  <w:pPr>
                    <w:adjustRightInd w:val="0"/>
                    <w:snapToGrid w:val="0"/>
                    <w:jc w:val="center"/>
                    <w:rPr>
                      <w:rFonts w:hint="eastAsia" w:ascii="Times New Roman" w:hAnsi="Times New Roman" w:eastAsia="宋体" w:cs="Times New Roman"/>
                      <w:color w:val="auto"/>
                      <w:szCs w:val="21"/>
                      <w:lang w:val="en-US" w:eastAsia="zh-CN"/>
                    </w:rPr>
                  </w:pPr>
                </w:p>
              </w:tc>
              <w:tc>
                <w:tcPr>
                  <w:tcW w:w="874"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主脱脂</w:t>
                  </w:r>
                  <w:r>
                    <w:rPr>
                      <w:rFonts w:hint="default" w:ascii="Times New Roman" w:hAnsi="Times New Roman" w:eastAsia="宋体" w:cs="Times New Roman"/>
                      <w:color w:val="auto"/>
                      <w:szCs w:val="21"/>
                      <w:lang w:val="en-US" w:eastAsia="zh-CN"/>
                    </w:rPr>
                    <w:t>槽</w:t>
                  </w:r>
                </w:p>
              </w:tc>
              <w:tc>
                <w:tcPr>
                  <w:tcW w:w="623"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18.3</w:t>
                  </w:r>
                </w:p>
              </w:tc>
              <w:tc>
                <w:tcPr>
                  <w:tcW w:w="1145"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每一年彻底更换一次</w:t>
                  </w:r>
                </w:p>
              </w:tc>
              <w:tc>
                <w:tcPr>
                  <w:tcW w:w="870"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18.3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29" w:type="pct"/>
                  <w:gridSpan w:val="6"/>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合计</w:t>
                  </w:r>
                </w:p>
              </w:tc>
              <w:tc>
                <w:tcPr>
                  <w:tcW w:w="870"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75.9</w:t>
                  </w:r>
                </w:p>
              </w:tc>
            </w:tr>
          </w:tbl>
          <w:p>
            <w:pPr>
              <w:adjustRightInd w:val="0"/>
              <w:snapToGrid w:val="0"/>
              <w:spacing w:line="360" w:lineRule="auto"/>
              <w:ind w:firstLine="480" w:firstLineChars="200"/>
              <w:rPr>
                <w:rFonts w:hint="eastAsia" w:cs="Times New Roman"/>
                <w:color w:val="auto"/>
                <w:sz w:val="24"/>
                <w:lang w:val="en-US" w:eastAsia="zh-CN"/>
              </w:rPr>
            </w:pPr>
            <w:r>
              <w:rPr>
                <w:rFonts w:hint="eastAsia" w:cs="Times New Roman"/>
                <w:color w:val="auto"/>
                <w:sz w:val="24"/>
                <w:lang w:val="en-US" w:eastAsia="zh-CN"/>
              </w:rPr>
              <w:t>综上表，本项目脱脂废水产生量为75.9t/a，类比同类企业，脱脂废水水质为pH9~12、COD 3000mg/L、SS 600mg/L。</w:t>
            </w:r>
          </w:p>
          <w:p>
            <w:pPr>
              <w:adjustRightInd w:val="0"/>
              <w:snapToGrid w:val="0"/>
              <w:spacing w:line="360" w:lineRule="auto"/>
              <w:ind w:firstLine="480" w:firstLineChars="200"/>
              <w:rPr>
                <w:rFonts w:hint="default" w:cs="Times New Roman"/>
                <w:color w:val="auto"/>
                <w:sz w:val="24"/>
                <w:lang w:val="en-US" w:eastAsia="zh-CN"/>
              </w:rPr>
            </w:pPr>
            <w:r>
              <w:rPr>
                <w:rFonts w:hint="eastAsia" w:cs="Times New Roman"/>
                <w:color w:val="auto"/>
                <w:sz w:val="24"/>
                <w:lang w:val="en-US" w:eastAsia="zh-CN"/>
              </w:rPr>
              <w:t>③制纯水浓水</w:t>
            </w:r>
          </w:p>
          <w:p>
            <w:pPr>
              <w:adjustRightInd w:val="0"/>
              <w:snapToGrid w:val="0"/>
              <w:spacing w:line="360" w:lineRule="auto"/>
              <w:ind w:firstLine="480" w:firstLineChars="200"/>
              <w:rPr>
                <w:rFonts w:hint="eastAsia"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本项目使用的</w:t>
            </w:r>
            <w:r>
              <w:rPr>
                <w:rFonts w:hint="default" w:ascii="Times New Roman" w:hAnsi="Times New Roman" w:eastAsia="宋体" w:cs="Times New Roman"/>
                <w:color w:val="auto"/>
                <w:sz w:val="24"/>
                <w:lang w:val="en-US" w:eastAsia="zh-CN"/>
              </w:rPr>
              <w:t>纯水由厂内纯水制备系统净化产生</w:t>
            </w:r>
            <w:r>
              <w:rPr>
                <w:rFonts w:hint="default" w:ascii="Times New Roman" w:hAnsi="Times New Roman" w:eastAsia="宋体" w:cs="Times New Roman"/>
                <w:color w:val="auto"/>
                <w:sz w:val="24"/>
              </w:rPr>
              <w:t>，制得纯水约</w:t>
            </w:r>
            <w:r>
              <w:rPr>
                <w:rFonts w:hint="default" w:ascii="Times New Roman" w:hAnsi="Times New Roman" w:eastAsia="宋体" w:cs="Times New Roman"/>
                <w:color w:val="auto"/>
                <w:sz w:val="24"/>
                <w:lang w:val="en-US" w:eastAsia="zh-CN"/>
              </w:rPr>
              <w:t>720</w:t>
            </w:r>
            <w:r>
              <w:rPr>
                <w:rFonts w:hint="default" w:ascii="Times New Roman" w:hAnsi="Times New Roman" w:eastAsia="宋体" w:cs="Times New Roman"/>
                <w:color w:val="auto"/>
                <w:sz w:val="24"/>
              </w:rPr>
              <w:t>t/a，</w:t>
            </w:r>
            <w:r>
              <w:rPr>
                <w:rFonts w:hint="default" w:ascii="Times New Roman" w:hAnsi="Times New Roman" w:eastAsia="宋体" w:cs="Times New Roman"/>
                <w:color w:val="auto"/>
                <w:sz w:val="24"/>
                <w:lang w:val="en-US" w:eastAsia="zh-CN"/>
              </w:rPr>
              <w:t>用于电泳及纯水洗工段</w:t>
            </w:r>
            <w:r>
              <w:rPr>
                <w:rFonts w:hint="default" w:ascii="Times New Roman" w:hAnsi="Times New Roman" w:eastAsia="宋体" w:cs="Times New Roman"/>
                <w:color w:val="auto"/>
                <w:sz w:val="24"/>
              </w:rPr>
              <w:t>。纯水在制备过程中产生制纯水浓水约</w:t>
            </w:r>
            <w:r>
              <w:rPr>
                <w:rFonts w:hint="default" w:ascii="Times New Roman" w:hAnsi="Times New Roman" w:eastAsia="宋体" w:cs="Times New Roman"/>
                <w:color w:val="auto"/>
                <w:sz w:val="24"/>
                <w:lang w:val="en-US" w:eastAsia="zh-CN"/>
              </w:rPr>
              <w:t>175</w:t>
            </w:r>
            <w:r>
              <w:rPr>
                <w:rFonts w:hint="default" w:ascii="Times New Roman" w:hAnsi="Times New Roman" w:eastAsia="宋体" w:cs="Times New Roman"/>
                <w:color w:val="auto"/>
                <w:sz w:val="24"/>
              </w:rPr>
              <w:t>t/a</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val="en-US" w:eastAsia="zh-CN"/>
              </w:rPr>
              <w:t>制纯水浓水回用于</w:t>
            </w:r>
            <w:r>
              <w:rPr>
                <w:rFonts w:hint="eastAsia" w:cs="Times New Roman"/>
                <w:color w:val="auto"/>
                <w:sz w:val="24"/>
                <w:lang w:val="en-US" w:eastAsia="zh-CN"/>
              </w:rPr>
              <w:t>电泳前</w:t>
            </w:r>
            <w:r>
              <w:rPr>
                <w:rFonts w:hint="default" w:ascii="Times New Roman" w:hAnsi="Times New Roman" w:eastAsia="宋体" w:cs="Times New Roman"/>
                <w:color w:val="auto"/>
                <w:sz w:val="24"/>
                <w:lang w:val="en-US" w:eastAsia="zh-CN"/>
              </w:rPr>
              <w:t>清洗工段</w:t>
            </w:r>
            <w:r>
              <w:rPr>
                <w:rFonts w:hint="eastAsia" w:ascii="Times New Roman" w:hAnsi="Times New Roman" w:eastAsia="宋体" w:cs="Times New Roman"/>
                <w:color w:val="auto"/>
                <w:sz w:val="24"/>
                <w:lang w:val="en-US" w:eastAsia="zh-CN"/>
              </w:rPr>
              <w:t>，不外排。</w:t>
            </w:r>
            <w:r>
              <w:rPr>
                <w:rFonts w:hint="eastAsia" w:cs="Times New Roman"/>
                <w:color w:val="auto"/>
                <w:sz w:val="24"/>
                <w:lang w:val="en-US" w:eastAsia="zh-CN"/>
              </w:rPr>
              <w:t>类比同类企业，制纯水浓水水质为COD 40</w:t>
            </w:r>
            <w:r>
              <w:rPr>
                <w:rFonts w:hint="eastAsia"/>
                <w:color w:val="auto"/>
              </w:rPr>
              <w:t>mg/L</w:t>
            </w:r>
            <w:r>
              <w:rPr>
                <w:rFonts w:hint="eastAsia"/>
                <w:color w:val="auto"/>
                <w:lang w:eastAsia="zh-CN"/>
              </w:rPr>
              <w:t>、</w:t>
            </w:r>
            <w:r>
              <w:rPr>
                <w:rFonts w:hint="eastAsia"/>
                <w:color w:val="auto"/>
                <w:lang w:val="en-US" w:eastAsia="zh-CN"/>
              </w:rPr>
              <w:t>SS 40</w:t>
            </w:r>
            <w:r>
              <w:rPr>
                <w:rFonts w:hint="eastAsia"/>
                <w:color w:val="auto"/>
              </w:rPr>
              <w:t>mg/L</w:t>
            </w:r>
            <w:r>
              <w:rPr>
                <w:rFonts w:hint="eastAsia"/>
                <w:color w:val="auto"/>
                <w:lang w:eastAsia="zh-CN"/>
              </w:rPr>
              <w:t>。</w:t>
            </w:r>
          </w:p>
          <w:p>
            <w:pPr>
              <w:adjustRightInd w:val="0"/>
              <w:snapToGrid w:val="0"/>
              <w:spacing w:line="360" w:lineRule="auto"/>
              <w:ind w:firstLine="480" w:firstLineChars="200"/>
              <w:rPr>
                <w:rFonts w:hint="eastAsia" w:cs="Times New Roman"/>
                <w:color w:val="auto"/>
                <w:sz w:val="24"/>
                <w:lang w:val="en-US" w:eastAsia="zh-CN"/>
              </w:rPr>
            </w:pPr>
            <w:r>
              <w:rPr>
                <w:rFonts w:hint="eastAsia" w:cs="Times New Roman"/>
                <w:color w:val="auto"/>
                <w:sz w:val="24"/>
                <w:lang w:val="en-US" w:eastAsia="zh-CN"/>
              </w:rPr>
              <w:t>④超滤水</w:t>
            </w:r>
          </w:p>
          <w:p>
            <w:pPr>
              <w:adjustRightInd w:val="0"/>
              <w:snapToGrid w:val="0"/>
              <w:spacing w:line="360" w:lineRule="auto"/>
              <w:ind w:firstLine="480" w:firstLineChars="200"/>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本项目电泳槽液、</w:t>
            </w:r>
            <w:r>
              <w:rPr>
                <w:rFonts w:hint="eastAsia" w:cs="Times New Roman"/>
                <w:color w:val="auto"/>
                <w:sz w:val="24"/>
                <w:szCs w:val="32"/>
                <w:lang w:val="en-US" w:eastAsia="zh-CN"/>
              </w:rPr>
              <w:t>纯水洗槽液</w:t>
            </w:r>
            <w:r>
              <w:rPr>
                <w:rFonts w:hint="eastAsia" w:cs="Times New Roman"/>
                <w:color w:val="auto"/>
                <w:sz w:val="24"/>
                <w:lang w:val="en-US" w:eastAsia="zh-CN"/>
              </w:rPr>
              <w:t>（W6）</w:t>
            </w:r>
            <w:r>
              <w:rPr>
                <w:rFonts w:hint="default" w:ascii="Times New Roman" w:hAnsi="Times New Roman" w:eastAsia="宋体" w:cs="Times New Roman"/>
                <w:color w:val="auto"/>
                <w:sz w:val="24"/>
                <w:szCs w:val="32"/>
                <w:lang w:val="en-US" w:eastAsia="zh-CN"/>
              </w:rPr>
              <w:t>通过超滤系统过滤</w:t>
            </w:r>
            <w:r>
              <w:rPr>
                <w:rFonts w:hint="default" w:ascii="Times New Roman" w:hAnsi="Times New Roman" w:eastAsia="宋体" w:cs="Times New Roman"/>
                <w:color w:val="auto"/>
                <w:sz w:val="24"/>
                <w:szCs w:val="32"/>
              </w:rPr>
              <w:t>分离</w:t>
            </w:r>
            <w:r>
              <w:rPr>
                <w:rFonts w:hint="default" w:ascii="Times New Roman" w:hAnsi="Times New Roman" w:eastAsia="宋体" w:cs="Times New Roman"/>
                <w:color w:val="auto"/>
                <w:sz w:val="24"/>
                <w:szCs w:val="32"/>
                <w:lang w:val="en-US" w:eastAsia="zh-CN"/>
              </w:rPr>
              <w:t>为</w:t>
            </w:r>
            <w:r>
              <w:rPr>
                <w:rFonts w:hint="default" w:ascii="Times New Roman" w:hAnsi="Times New Roman" w:eastAsia="宋体" w:cs="Times New Roman"/>
                <w:color w:val="auto"/>
                <w:sz w:val="24"/>
                <w:szCs w:val="32"/>
              </w:rPr>
              <w:t>电泳漆</w:t>
            </w:r>
            <w:r>
              <w:rPr>
                <w:rFonts w:hint="default" w:ascii="Times New Roman" w:hAnsi="Times New Roman" w:eastAsia="宋体" w:cs="Times New Roman"/>
                <w:color w:val="auto"/>
                <w:sz w:val="24"/>
                <w:szCs w:val="32"/>
                <w:lang w:val="en-US" w:eastAsia="zh-CN"/>
              </w:rPr>
              <w:t>浓液和超滤水</w:t>
            </w:r>
            <w:r>
              <w:rPr>
                <w:rFonts w:hint="default" w:ascii="Times New Roman" w:hAnsi="Times New Roman" w:eastAsia="宋体" w:cs="Times New Roman"/>
                <w:color w:val="auto"/>
                <w:sz w:val="24"/>
                <w:lang w:val="en-US" w:eastAsia="zh-CN"/>
              </w:rPr>
              <w:t>，</w:t>
            </w:r>
            <w:r>
              <w:rPr>
                <w:rFonts w:hint="eastAsia" w:ascii="Times New Roman" w:hAnsi="Times New Roman" w:eastAsia="宋体" w:cs="Times New Roman"/>
                <w:color w:val="auto"/>
                <w:sz w:val="24"/>
                <w:lang w:val="en-US" w:eastAsia="zh-CN"/>
              </w:rPr>
              <w:t>电泳漆浓液回用于电泳槽，超滤水产生量约</w:t>
            </w:r>
            <w:r>
              <w:rPr>
                <w:rFonts w:hint="eastAsia" w:cs="Times New Roman"/>
                <w:color w:val="auto"/>
                <w:sz w:val="24"/>
                <w:lang w:val="en-US" w:eastAsia="zh-CN"/>
              </w:rPr>
              <w:t>2</w:t>
            </w:r>
            <w:r>
              <w:rPr>
                <w:rFonts w:hint="eastAsia" w:ascii="Times New Roman" w:hAnsi="Times New Roman" w:eastAsia="宋体" w:cs="Times New Roman"/>
                <w:color w:val="auto"/>
                <w:sz w:val="24"/>
                <w:lang w:val="en-US" w:eastAsia="zh-CN"/>
              </w:rPr>
              <w:t>00t/a，不外排，超滤水全部回用于超滤清洗工段。类比同类企业，超滤水水质为COD 40mg/L、SS 40mg/L。</w:t>
            </w:r>
          </w:p>
          <w:p>
            <w:pPr>
              <w:adjustRightInd w:val="0"/>
              <w:snapToGrid w:val="0"/>
              <w:spacing w:line="360" w:lineRule="auto"/>
              <w:ind w:firstLine="480" w:firstLineChars="200"/>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⑤</w:t>
            </w:r>
            <w:r>
              <w:rPr>
                <w:rFonts w:hint="default" w:ascii="Times New Roman" w:hAnsi="Times New Roman" w:eastAsia="宋体" w:cs="Times New Roman"/>
                <w:color w:val="auto"/>
                <w:sz w:val="24"/>
                <w:lang w:val="en-US" w:eastAsia="zh-CN"/>
              </w:rPr>
              <w:t>生活污水</w:t>
            </w:r>
          </w:p>
          <w:p>
            <w:pPr>
              <w:pStyle w:val="2"/>
              <w:spacing w:after="0" w:line="360" w:lineRule="auto"/>
              <w:ind w:left="0" w:leftChars="0" w:right="0" w:rightChars="0"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w:t>
            </w:r>
            <w:r>
              <w:rPr>
                <w:rFonts w:hint="default" w:ascii="Times New Roman" w:hAnsi="Times New Roman" w:eastAsia="宋体" w:cs="Times New Roman"/>
                <w:color w:val="auto"/>
                <w:sz w:val="24"/>
                <w:szCs w:val="24"/>
                <w:lang w:val="en-US" w:eastAsia="zh-CN"/>
              </w:rPr>
              <w:t>新增</w:t>
            </w:r>
            <w:r>
              <w:rPr>
                <w:rFonts w:hint="default" w:ascii="Times New Roman" w:hAnsi="Times New Roman" w:eastAsia="宋体" w:cs="Times New Roman"/>
                <w:color w:val="auto"/>
                <w:sz w:val="24"/>
                <w:szCs w:val="24"/>
              </w:rPr>
              <w:t>员工</w:t>
            </w:r>
            <w:r>
              <w:rPr>
                <w:rFonts w:hint="default" w:ascii="Times New Roman" w:hAnsi="Times New Roman" w:eastAsia="宋体" w:cs="Times New Roman"/>
                <w:color w:val="auto"/>
                <w:sz w:val="24"/>
                <w:szCs w:val="24"/>
                <w:lang w:val="en-US" w:eastAsia="zh-CN"/>
              </w:rPr>
              <w:t>人数3</w:t>
            </w:r>
            <w:r>
              <w:rPr>
                <w:rFonts w:hint="default" w:ascii="Times New Roman" w:hAnsi="Times New Roman" w:eastAsia="宋体" w:cs="Times New Roman"/>
                <w:color w:val="auto"/>
                <w:sz w:val="24"/>
                <w:szCs w:val="24"/>
              </w:rPr>
              <w:t>0人，年工作300天，</w:t>
            </w:r>
            <w:r>
              <w:rPr>
                <w:rFonts w:hint="default" w:ascii="Times New Roman" w:hAnsi="Times New Roman" w:eastAsia="宋体" w:cs="Times New Roman"/>
                <w:color w:val="auto"/>
                <w:sz w:val="24"/>
                <w:szCs w:val="24"/>
                <w:lang w:val="en-US" w:eastAsia="zh-CN"/>
              </w:rPr>
              <w:t>两</w:t>
            </w:r>
            <w:r>
              <w:rPr>
                <w:rFonts w:hint="default" w:ascii="Times New Roman" w:hAnsi="Times New Roman" w:eastAsia="宋体" w:cs="Times New Roman"/>
                <w:color w:val="auto"/>
                <w:sz w:val="24"/>
                <w:szCs w:val="24"/>
              </w:rPr>
              <w:t>班制生产，厂内不设食堂、浴室、员工宿舍，参照《常州市工业和城市生活用水定额》，厂区职工生活用水量以100L/d·人计，则生活用水消耗量为</w:t>
            </w:r>
            <w:r>
              <w:rPr>
                <w:rFonts w:hint="default" w:ascii="Times New Roman" w:hAnsi="Times New Roman" w:eastAsia="宋体" w:cs="Times New Roman"/>
                <w:color w:val="auto"/>
                <w:sz w:val="24"/>
                <w:szCs w:val="24"/>
                <w:lang w:val="en-US" w:eastAsia="zh-CN"/>
              </w:rPr>
              <w:t>9</w:t>
            </w:r>
            <w:r>
              <w:rPr>
                <w:rFonts w:hint="default" w:ascii="Times New Roman" w:hAnsi="Times New Roman" w:eastAsia="宋体" w:cs="Times New Roman"/>
                <w:color w:val="auto"/>
                <w:sz w:val="24"/>
                <w:szCs w:val="24"/>
              </w:rPr>
              <w:t>00t/a，生活污水的排放系数取80％，则项目生活污水的排放量为</w:t>
            </w:r>
            <w:r>
              <w:rPr>
                <w:rFonts w:hint="eastAsia" w:ascii="Times New Roman" w:hAnsi="Times New Roman" w:cs="Times New Roman"/>
                <w:color w:val="auto"/>
                <w:sz w:val="24"/>
                <w:szCs w:val="24"/>
                <w:lang w:val="en-US" w:eastAsia="zh-CN"/>
              </w:rPr>
              <w:t>720</w:t>
            </w:r>
            <w:r>
              <w:rPr>
                <w:rFonts w:hint="default" w:ascii="Times New Roman" w:hAnsi="Times New Roman" w:eastAsia="宋体" w:cs="Times New Roman"/>
                <w:color w:val="auto"/>
                <w:sz w:val="24"/>
                <w:szCs w:val="24"/>
              </w:rPr>
              <w:t>t/a，</w:t>
            </w:r>
            <w:r>
              <w:rPr>
                <w:rFonts w:hint="default" w:ascii="Times New Roman" w:hAnsi="Times New Roman" w:eastAsia="宋体" w:cs="Times New Roman"/>
                <w:color w:val="auto"/>
                <w:sz w:val="24"/>
              </w:rPr>
              <w:t>污染物浓度为：COD400mg/</w:t>
            </w:r>
            <w:r>
              <w:rPr>
                <w:rFonts w:hint="default" w:ascii="Times New Roman" w:hAnsi="Times New Roman" w:eastAsia="宋体" w:cs="Times New Roman"/>
                <w:color w:val="auto"/>
                <w:sz w:val="24"/>
                <w:lang w:val="en-US" w:eastAsia="zh-CN"/>
              </w:rPr>
              <w:t>L</w:t>
            </w:r>
            <w:r>
              <w:rPr>
                <w:rFonts w:hint="default" w:ascii="Times New Roman" w:hAnsi="Times New Roman" w:eastAsia="宋体" w:cs="Times New Roman"/>
                <w:color w:val="auto"/>
                <w:sz w:val="24"/>
              </w:rPr>
              <w:t>、SS300mg/</w:t>
            </w:r>
            <w:r>
              <w:rPr>
                <w:rFonts w:hint="default" w:ascii="Times New Roman" w:hAnsi="Times New Roman" w:eastAsia="宋体" w:cs="Times New Roman"/>
                <w:color w:val="auto"/>
                <w:sz w:val="24"/>
                <w:lang w:val="en-US" w:eastAsia="zh-CN"/>
              </w:rPr>
              <w:t>L</w:t>
            </w:r>
            <w:r>
              <w:rPr>
                <w:rFonts w:hint="default" w:ascii="Times New Roman" w:hAnsi="Times New Roman" w:eastAsia="宋体" w:cs="Times New Roman"/>
                <w:color w:val="auto"/>
                <w:sz w:val="24"/>
              </w:rPr>
              <w:t>、NH</w:t>
            </w:r>
            <w:r>
              <w:rPr>
                <w:rFonts w:hint="default" w:ascii="Times New Roman" w:hAnsi="Times New Roman" w:eastAsia="宋体" w:cs="Times New Roman"/>
                <w:color w:val="auto"/>
                <w:sz w:val="24"/>
                <w:vertAlign w:val="subscript"/>
              </w:rPr>
              <w:t>3</w:t>
            </w:r>
            <w:r>
              <w:rPr>
                <w:rFonts w:hint="default" w:ascii="Times New Roman" w:hAnsi="Times New Roman" w:eastAsia="宋体" w:cs="Times New Roman"/>
                <w:color w:val="auto"/>
                <w:sz w:val="24"/>
              </w:rPr>
              <w:t>-N 25mg/</w:t>
            </w:r>
            <w:r>
              <w:rPr>
                <w:rFonts w:hint="default" w:ascii="Times New Roman" w:hAnsi="Times New Roman" w:eastAsia="宋体" w:cs="Times New Roman"/>
                <w:color w:val="auto"/>
                <w:sz w:val="24"/>
                <w:lang w:val="en-US" w:eastAsia="zh-CN"/>
              </w:rPr>
              <w:t>L</w:t>
            </w:r>
            <w:r>
              <w:rPr>
                <w:rFonts w:hint="default" w:ascii="Times New Roman" w:hAnsi="Times New Roman" w:eastAsia="宋体" w:cs="Times New Roman"/>
                <w:color w:val="auto"/>
                <w:sz w:val="24"/>
              </w:rPr>
              <w:t>、TP5mg/</w:t>
            </w:r>
            <w:r>
              <w:rPr>
                <w:rFonts w:hint="default" w:ascii="Times New Roman" w:hAnsi="Times New Roman" w:eastAsia="宋体" w:cs="Times New Roman"/>
                <w:color w:val="auto"/>
                <w:sz w:val="24"/>
                <w:lang w:val="en-US" w:eastAsia="zh-CN"/>
              </w:rPr>
              <w:t>L</w:t>
            </w:r>
            <w:r>
              <w:rPr>
                <w:rFonts w:hint="default" w:ascii="Times New Roman" w:hAnsi="Times New Roman" w:eastAsia="宋体" w:cs="Times New Roman"/>
                <w:color w:val="auto"/>
                <w:sz w:val="24"/>
              </w:rPr>
              <w:t>、TN50mg/L</w:t>
            </w:r>
            <w:r>
              <w:rPr>
                <w:rFonts w:hint="default" w:ascii="Times New Roman" w:hAnsi="Times New Roman" w:eastAsia="宋体" w:cs="Times New Roman"/>
                <w:color w:val="auto"/>
                <w:sz w:val="24"/>
                <w:szCs w:val="24"/>
              </w:rPr>
              <w:t>。</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本项目废水产生及排放情况见下表。</w:t>
            </w:r>
          </w:p>
          <w:p>
            <w:pPr>
              <w:jc w:val="center"/>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表4-1</w:t>
            </w:r>
            <w:r>
              <w:rPr>
                <w:rFonts w:hint="eastAsia" w:cs="Times New Roman"/>
                <w:b/>
                <w:bCs/>
                <w:color w:val="auto"/>
                <w:sz w:val="24"/>
                <w:lang w:val="en-US" w:eastAsia="zh-CN"/>
              </w:rPr>
              <w:t>4</w:t>
            </w:r>
            <w:r>
              <w:rPr>
                <w:rFonts w:hint="default" w:ascii="Times New Roman" w:hAnsi="Times New Roman" w:eastAsia="宋体" w:cs="Times New Roman"/>
                <w:b/>
                <w:bCs/>
                <w:color w:val="auto"/>
                <w:sz w:val="24"/>
              </w:rPr>
              <w:t xml:space="preserve"> 本项目废水产生及排放情况</w:t>
            </w:r>
          </w:p>
          <w:tbl>
            <w:tblPr>
              <w:tblStyle w:val="22"/>
              <w:tblW w:w="4996"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665"/>
              <w:gridCol w:w="818"/>
              <w:gridCol w:w="658"/>
              <w:gridCol w:w="707"/>
              <w:gridCol w:w="925"/>
              <w:gridCol w:w="659"/>
              <w:gridCol w:w="891"/>
              <w:gridCol w:w="690"/>
              <w:gridCol w:w="905"/>
              <w:gridCol w:w="684"/>
              <w:gridCol w:w="638"/>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trPr>
              <w:tc>
                <w:tcPr>
                  <w:tcW w:w="403" w:type="pct"/>
                  <w:vMerge w:val="restart"/>
                  <w:tcBorders>
                    <w:top w:val="single" w:color="000000" w:sz="12" w:space="0"/>
                    <w:left w:val="nil"/>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rPr>
                    <w:t>废水来源</w:t>
                  </w:r>
                </w:p>
              </w:tc>
              <w:tc>
                <w:tcPr>
                  <w:tcW w:w="496" w:type="pct"/>
                  <w:vMerge w:val="restart"/>
                  <w:tcBorders>
                    <w:top w:val="single" w:color="000000" w:sz="12"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eastAsia" w:cs="Times New Roman"/>
                      <w:b/>
                      <w:bCs/>
                      <w:color w:val="auto"/>
                      <w:szCs w:val="21"/>
                      <w:lang w:val="en-US" w:eastAsia="zh-CN"/>
                    </w:rPr>
                    <w:t>污染物名称</w:t>
                  </w:r>
                </w:p>
              </w:tc>
              <w:tc>
                <w:tcPr>
                  <w:tcW w:w="1389" w:type="pct"/>
                  <w:gridSpan w:val="3"/>
                  <w:tcBorders>
                    <w:top w:val="single" w:color="000000" w:sz="12"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rPr>
                    <w:t>污染物产生情况</w:t>
                  </w:r>
                </w:p>
              </w:tc>
              <w:tc>
                <w:tcPr>
                  <w:tcW w:w="399" w:type="pct"/>
                  <w:vMerge w:val="restart"/>
                  <w:tcBorders>
                    <w:top w:val="single" w:color="000000" w:sz="12"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rPr>
                    <w:t>处理方法</w:t>
                  </w:r>
                </w:p>
              </w:tc>
              <w:tc>
                <w:tcPr>
                  <w:tcW w:w="1508" w:type="pct"/>
                  <w:gridSpan w:val="3"/>
                  <w:tcBorders>
                    <w:top w:val="single" w:color="000000" w:sz="12"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rPr>
                    <w:t>排放情况</w:t>
                  </w:r>
                </w:p>
              </w:tc>
              <w:tc>
                <w:tcPr>
                  <w:tcW w:w="415" w:type="pct"/>
                  <w:vMerge w:val="restart"/>
                  <w:tcBorders>
                    <w:top w:val="single" w:color="000000" w:sz="12"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rPr>
                    <w:t>污水厂接纳标准</w:t>
                  </w:r>
                </w:p>
              </w:tc>
              <w:tc>
                <w:tcPr>
                  <w:tcW w:w="387" w:type="pct"/>
                  <w:vMerge w:val="restart"/>
                  <w:tcBorders>
                    <w:top w:val="single" w:color="000000" w:sz="12" w:space="0"/>
                    <w:left w:val="single" w:color="000000" w:sz="4" w:space="0"/>
                    <w:right w:val="nil"/>
                  </w:tcBorders>
                  <w:vAlign w:val="center"/>
                </w:tcPr>
                <w:p>
                  <w:pPr>
                    <w:widowControl/>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rPr>
                    <w:t>排放方式与去向</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trPr>
              <w:tc>
                <w:tcPr>
                  <w:tcW w:w="403" w:type="pct"/>
                  <w:vMerge w:val="continue"/>
                  <w:tcBorders>
                    <w:top w:val="single" w:color="000000" w:sz="12" w:space="0"/>
                    <w:left w:val="nil"/>
                    <w:bottom w:val="single" w:color="auto" w:sz="4" w:space="0"/>
                    <w:right w:val="single" w:color="000000" w:sz="4" w:space="0"/>
                  </w:tcBorders>
                  <w:vAlign w:val="center"/>
                </w:tcPr>
                <w:p>
                  <w:pPr>
                    <w:widowControl/>
                    <w:jc w:val="left"/>
                    <w:rPr>
                      <w:rFonts w:hint="default" w:ascii="Times New Roman" w:hAnsi="Times New Roman" w:eastAsia="宋体" w:cs="Times New Roman"/>
                      <w:b/>
                      <w:bCs/>
                      <w:color w:val="auto"/>
                      <w:szCs w:val="21"/>
                    </w:rPr>
                  </w:pPr>
                </w:p>
              </w:tc>
              <w:tc>
                <w:tcPr>
                  <w:tcW w:w="496" w:type="pct"/>
                  <w:vMerge w:val="continue"/>
                  <w:tcBorders>
                    <w:top w:val="single" w:color="000000" w:sz="12" w:space="0"/>
                    <w:left w:val="single" w:color="000000" w:sz="4" w:space="0"/>
                    <w:bottom w:val="single" w:color="auto" w:sz="4" w:space="0"/>
                    <w:right w:val="single" w:color="000000" w:sz="4" w:space="0"/>
                  </w:tcBorders>
                  <w:vAlign w:val="center"/>
                </w:tcPr>
                <w:p>
                  <w:pPr>
                    <w:widowControl/>
                    <w:jc w:val="left"/>
                    <w:rPr>
                      <w:rFonts w:hint="default" w:ascii="Times New Roman" w:hAnsi="Times New Roman" w:eastAsia="宋体" w:cs="Times New Roman"/>
                      <w:b/>
                      <w:bCs/>
                      <w:color w:val="auto"/>
                      <w:szCs w:val="21"/>
                    </w:rPr>
                  </w:pPr>
                </w:p>
              </w:tc>
              <w:tc>
                <w:tcPr>
                  <w:tcW w:w="399"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rPr>
                    <w:t>废水</w:t>
                  </w:r>
                  <w:r>
                    <w:rPr>
                      <w:rFonts w:hint="eastAsia" w:cs="Times New Roman"/>
                      <w:b/>
                      <w:bCs/>
                      <w:color w:val="auto"/>
                      <w:lang w:val="en-US" w:eastAsia="zh-CN"/>
                    </w:rPr>
                    <w:t>产生量</w:t>
                  </w:r>
                  <w:r>
                    <w:rPr>
                      <w:rFonts w:hint="default" w:ascii="Times New Roman" w:hAnsi="Times New Roman" w:eastAsia="宋体" w:cs="Times New Roman"/>
                      <w:b/>
                      <w:bCs/>
                      <w:color w:val="auto"/>
                    </w:rPr>
                    <w:t>m</w:t>
                  </w:r>
                  <w:r>
                    <w:rPr>
                      <w:rFonts w:hint="default" w:ascii="Times New Roman" w:hAnsi="Times New Roman" w:eastAsia="宋体" w:cs="Times New Roman"/>
                      <w:b/>
                      <w:bCs/>
                      <w:color w:val="auto"/>
                      <w:vertAlign w:val="superscript"/>
                    </w:rPr>
                    <w:t>3</w:t>
                  </w:r>
                  <w:r>
                    <w:rPr>
                      <w:rFonts w:hint="default" w:ascii="Times New Roman" w:hAnsi="Times New Roman" w:eastAsia="宋体" w:cs="Times New Roman"/>
                      <w:b/>
                      <w:bCs/>
                      <w:color w:val="auto"/>
                    </w:rPr>
                    <w:t>/a</w:t>
                  </w:r>
                </w:p>
              </w:tc>
              <w:tc>
                <w:tcPr>
                  <w:tcW w:w="429"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rPr>
                    <w:t>浓度mg/L</w:t>
                  </w:r>
                </w:p>
              </w:tc>
              <w:tc>
                <w:tcPr>
                  <w:tcW w:w="561"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rPr>
                    <w:t>产生量t/a</w:t>
                  </w:r>
                </w:p>
              </w:tc>
              <w:tc>
                <w:tcPr>
                  <w:tcW w:w="399" w:type="pct"/>
                  <w:vMerge w:val="continue"/>
                  <w:tcBorders>
                    <w:top w:val="single" w:color="000000" w:sz="12" w:space="0"/>
                    <w:left w:val="single" w:color="000000" w:sz="4" w:space="0"/>
                    <w:bottom w:val="single" w:color="auto" w:sz="4" w:space="0"/>
                    <w:right w:val="single" w:color="000000" w:sz="4" w:space="0"/>
                  </w:tcBorders>
                  <w:vAlign w:val="center"/>
                </w:tcPr>
                <w:p>
                  <w:pPr>
                    <w:widowControl/>
                    <w:jc w:val="left"/>
                    <w:rPr>
                      <w:rFonts w:hint="default" w:ascii="Times New Roman" w:hAnsi="Times New Roman" w:eastAsia="宋体" w:cs="Times New Roman"/>
                      <w:b/>
                      <w:bCs/>
                      <w:color w:val="auto"/>
                      <w:szCs w:val="21"/>
                    </w:rPr>
                  </w:pPr>
                </w:p>
              </w:tc>
              <w:tc>
                <w:tcPr>
                  <w:tcW w:w="540"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rPr>
                    <w:t>废水</w:t>
                  </w:r>
                  <w:r>
                    <w:rPr>
                      <w:rFonts w:hint="eastAsia" w:eastAsia="宋体" w:cs="Times New Roman"/>
                      <w:b/>
                      <w:bCs/>
                      <w:color w:val="auto"/>
                      <w:lang w:val="en-US" w:eastAsia="zh-CN"/>
                    </w:rPr>
                    <w:t>排放</w:t>
                  </w:r>
                  <w:r>
                    <w:rPr>
                      <w:rFonts w:hint="eastAsia" w:cs="Times New Roman"/>
                      <w:b/>
                      <w:bCs/>
                      <w:color w:val="auto"/>
                      <w:lang w:val="en-US" w:eastAsia="zh-CN"/>
                    </w:rPr>
                    <w:t>量</w:t>
                  </w:r>
                  <w:r>
                    <w:rPr>
                      <w:rFonts w:hint="default" w:ascii="Times New Roman" w:hAnsi="Times New Roman" w:eastAsia="宋体" w:cs="Times New Roman"/>
                      <w:b/>
                      <w:bCs/>
                      <w:color w:val="auto"/>
                    </w:rPr>
                    <w:t>m</w:t>
                  </w:r>
                  <w:r>
                    <w:rPr>
                      <w:rFonts w:hint="default" w:ascii="Times New Roman" w:hAnsi="Times New Roman" w:eastAsia="宋体" w:cs="Times New Roman"/>
                      <w:b/>
                      <w:bCs/>
                      <w:color w:val="auto"/>
                      <w:vertAlign w:val="superscript"/>
                    </w:rPr>
                    <w:t>3</w:t>
                  </w:r>
                  <w:r>
                    <w:rPr>
                      <w:rFonts w:hint="default" w:ascii="Times New Roman" w:hAnsi="Times New Roman" w:eastAsia="宋体" w:cs="Times New Roman"/>
                      <w:b/>
                      <w:bCs/>
                      <w:color w:val="auto"/>
                    </w:rPr>
                    <w:t>/a</w:t>
                  </w:r>
                </w:p>
              </w:tc>
              <w:tc>
                <w:tcPr>
                  <w:tcW w:w="418"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rPr>
                    <w:t>浓度mg/L</w:t>
                  </w:r>
                </w:p>
              </w:tc>
              <w:tc>
                <w:tcPr>
                  <w:tcW w:w="549"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rPr>
                    <w:t>排放量t/a</w:t>
                  </w:r>
                </w:p>
              </w:tc>
              <w:tc>
                <w:tcPr>
                  <w:tcW w:w="415" w:type="pct"/>
                  <w:vMerge w:val="continue"/>
                  <w:tcBorders>
                    <w:top w:val="single" w:color="000000" w:sz="12" w:space="0"/>
                    <w:left w:val="single" w:color="000000" w:sz="4" w:space="0"/>
                    <w:bottom w:val="single" w:color="auto" w:sz="4" w:space="0"/>
                    <w:right w:val="single" w:color="000000" w:sz="4" w:space="0"/>
                  </w:tcBorders>
                  <w:vAlign w:val="center"/>
                </w:tcPr>
                <w:p>
                  <w:pPr>
                    <w:widowControl/>
                    <w:jc w:val="left"/>
                    <w:rPr>
                      <w:rFonts w:hint="default" w:ascii="Times New Roman" w:hAnsi="Times New Roman" w:eastAsia="宋体" w:cs="Times New Roman"/>
                      <w:b/>
                      <w:bCs/>
                      <w:color w:val="auto"/>
                      <w:szCs w:val="21"/>
                    </w:rPr>
                  </w:pPr>
                </w:p>
              </w:tc>
              <w:tc>
                <w:tcPr>
                  <w:tcW w:w="387" w:type="pct"/>
                  <w:vMerge w:val="continue"/>
                  <w:tcBorders>
                    <w:left w:val="single" w:color="000000" w:sz="4" w:space="0"/>
                    <w:bottom w:val="single" w:color="auto" w:sz="4" w:space="0"/>
                    <w:right w:val="nil"/>
                  </w:tcBorders>
                  <w:vAlign w:val="center"/>
                </w:tcPr>
                <w:p>
                  <w:pPr>
                    <w:widowControl/>
                    <w:jc w:val="left"/>
                    <w:rPr>
                      <w:rFonts w:hint="default" w:ascii="Times New Roman" w:hAnsi="Times New Roman" w:eastAsia="宋体" w:cs="Times New Roman"/>
                      <w:b/>
                      <w:bCs/>
                      <w:color w:val="auto"/>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trPr>
              <w:tc>
                <w:tcPr>
                  <w:tcW w:w="403" w:type="pct"/>
                  <w:vMerge w:val="restart"/>
                  <w:tcBorders>
                    <w:left w:val="nil"/>
                    <w:right w:val="single" w:color="000000" w:sz="4" w:space="0"/>
                  </w:tcBorders>
                  <w:vAlign w:val="center"/>
                </w:tcPr>
                <w:p>
                  <w:pPr>
                    <w:adjustRightInd w:val="0"/>
                    <w:snapToGrid w:val="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制纯水浓水</w:t>
                  </w:r>
                </w:p>
              </w:tc>
              <w:tc>
                <w:tcPr>
                  <w:tcW w:w="496" w:type="pct"/>
                  <w:tcBorders>
                    <w:left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COD</w:t>
                  </w:r>
                </w:p>
              </w:tc>
              <w:tc>
                <w:tcPr>
                  <w:tcW w:w="399" w:type="pct"/>
                  <w:vMerge w:val="restart"/>
                  <w:tcBorders>
                    <w:top w:val="single" w:color="000000" w:sz="4" w:space="0"/>
                    <w:left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lang w:val="en-US" w:eastAsia="zh-CN"/>
                    </w:rPr>
                    <w:t>175</w:t>
                  </w:r>
                </w:p>
              </w:tc>
              <w:tc>
                <w:tcPr>
                  <w:tcW w:w="429"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lang w:val="en-US" w:eastAsia="zh-CN"/>
                    </w:rPr>
                    <w:t>40</w:t>
                  </w:r>
                </w:p>
              </w:tc>
              <w:tc>
                <w:tcPr>
                  <w:tcW w:w="561"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0.007</w:t>
                  </w:r>
                </w:p>
              </w:tc>
              <w:tc>
                <w:tcPr>
                  <w:tcW w:w="399" w:type="pct"/>
                  <w:vMerge w:val="restart"/>
                  <w:tcBorders>
                    <w:left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回用</w:t>
                  </w:r>
                </w:p>
              </w:tc>
              <w:tc>
                <w:tcPr>
                  <w:tcW w:w="540" w:type="pct"/>
                  <w:vMerge w:val="restart"/>
                  <w:tcBorders>
                    <w:top w:val="single" w:color="000000" w:sz="4" w:space="0"/>
                    <w:left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kern w:val="2"/>
                      <w:sz w:val="21"/>
                      <w:szCs w:val="24"/>
                      <w:lang w:val="en-US" w:eastAsia="zh-CN" w:bidi="ar-SA"/>
                    </w:rPr>
                  </w:pPr>
                  <w:r>
                    <w:rPr>
                      <w:rFonts w:hint="eastAsia" w:eastAsia="宋体" w:cs="Times New Roman"/>
                      <w:color w:val="auto"/>
                      <w:lang w:val="en-US" w:eastAsia="zh-CN"/>
                    </w:rPr>
                    <w:t>0</w:t>
                  </w:r>
                </w:p>
              </w:tc>
              <w:tc>
                <w:tcPr>
                  <w:tcW w:w="418"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kern w:val="2"/>
                      <w:sz w:val="21"/>
                      <w:szCs w:val="24"/>
                      <w:lang w:val="en-US" w:eastAsia="zh-CN" w:bidi="ar-SA"/>
                    </w:rPr>
                    <w:t>/</w:t>
                  </w:r>
                </w:p>
              </w:tc>
              <w:tc>
                <w:tcPr>
                  <w:tcW w:w="549"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415" w:type="pct"/>
                  <w:tcBorders>
                    <w:top w:val="single" w:color="auto" w:sz="4" w:space="0"/>
                    <w:left w:val="single" w:color="000000" w:sz="4" w:space="0"/>
                    <w:bottom w:val="single" w:color="auto" w:sz="4" w:space="0"/>
                    <w:right w:val="single" w:color="000000" w:sz="4" w:space="0"/>
                  </w:tcBorders>
                  <w:vAlign w:val="center"/>
                </w:tcPr>
                <w:p>
                  <w:pPr>
                    <w:adjustRightInd w:val="0"/>
                    <w:snapToGrid w:val="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kern w:val="2"/>
                      <w:sz w:val="21"/>
                      <w:szCs w:val="24"/>
                      <w:lang w:val="en-US" w:eastAsia="zh-CN" w:bidi="ar-SA"/>
                    </w:rPr>
                    <w:t>/</w:t>
                  </w:r>
                </w:p>
              </w:tc>
              <w:tc>
                <w:tcPr>
                  <w:tcW w:w="387" w:type="pct"/>
                  <w:tcBorders>
                    <w:top w:val="single" w:color="auto" w:sz="4" w:space="0"/>
                    <w:left w:val="single" w:color="000000" w:sz="4" w:space="0"/>
                    <w:bottom w:val="single" w:color="auto" w:sz="4" w:space="0"/>
                    <w:right w:val="nil"/>
                  </w:tcBorders>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color w:val="auto"/>
                      <w:kern w:val="2"/>
                      <w:sz w:val="21"/>
                      <w:szCs w:val="24"/>
                      <w:lang w:val="en-US" w:eastAsia="zh-CN" w:bidi="ar-SA"/>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trPr>
              <w:tc>
                <w:tcPr>
                  <w:tcW w:w="403" w:type="pct"/>
                  <w:vMerge w:val="continue"/>
                  <w:tcBorders>
                    <w:left w:val="nil"/>
                    <w:right w:val="single" w:color="000000" w:sz="4" w:space="0"/>
                  </w:tcBorders>
                  <w:vAlign w:val="center"/>
                </w:tcPr>
                <w:p>
                  <w:pPr>
                    <w:adjustRightInd w:val="0"/>
                    <w:snapToGrid w:val="0"/>
                    <w:jc w:val="center"/>
                    <w:rPr>
                      <w:rFonts w:hint="default" w:ascii="Times New Roman" w:hAnsi="Times New Roman" w:eastAsia="宋体" w:cs="Times New Roman"/>
                      <w:color w:val="auto"/>
                      <w:lang w:val="en-US" w:eastAsia="zh-CN"/>
                    </w:rPr>
                  </w:pPr>
                </w:p>
              </w:tc>
              <w:tc>
                <w:tcPr>
                  <w:tcW w:w="496" w:type="pct"/>
                  <w:tcBorders>
                    <w:left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SS</w:t>
                  </w:r>
                </w:p>
              </w:tc>
              <w:tc>
                <w:tcPr>
                  <w:tcW w:w="399" w:type="pct"/>
                  <w:vMerge w:val="continue"/>
                  <w:tcBorders>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kern w:val="2"/>
                      <w:sz w:val="21"/>
                      <w:szCs w:val="24"/>
                      <w:lang w:val="en-US" w:eastAsia="zh-CN" w:bidi="ar-SA"/>
                    </w:rPr>
                  </w:pPr>
                </w:p>
              </w:tc>
              <w:tc>
                <w:tcPr>
                  <w:tcW w:w="429"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lang w:val="en-US" w:eastAsia="zh-CN"/>
                    </w:rPr>
                    <w:t>40</w:t>
                  </w:r>
                </w:p>
              </w:tc>
              <w:tc>
                <w:tcPr>
                  <w:tcW w:w="561"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0.007</w:t>
                  </w:r>
                </w:p>
              </w:tc>
              <w:tc>
                <w:tcPr>
                  <w:tcW w:w="399" w:type="pct"/>
                  <w:vMerge w:val="continue"/>
                  <w:tcBorders>
                    <w:left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lang w:val="en-US" w:eastAsia="zh-CN"/>
                    </w:rPr>
                  </w:pPr>
                </w:p>
              </w:tc>
              <w:tc>
                <w:tcPr>
                  <w:tcW w:w="540" w:type="pct"/>
                  <w:vMerge w:val="continue"/>
                  <w:tcBorders>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kern w:val="2"/>
                      <w:sz w:val="21"/>
                      <w:szCs w:val="24"/>
                      <w:lang w:val="en-US" w:eastAsia="zh-CN" w:bidi="ar-SA"/>
                    </w:rPr>
                  </w:pPr>
                </w:p>
              </w:tc>
              <w:tc>
                <w:tcPr>
                  <w:tcW w:w="418"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kern w:val="2"/>
                      <w:sz w:val="21"/>
                      <w:szCs w:val="24"/>
                      <w:lang w:val="en-US" w:eastAsia="zh-CN" w:bidi="ar-SA"/>
                    </w:rPr>
                    <w:t>/</w:t>
                  </w:r>
                </w:p>
              </w:tc>
              <w:tc>
                <w:tcPr>
                  <w:tcW w:w="549"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415" w:type="pct"/>
                  <w:tcBorders>
                    <w:top w:val="single" w:color="auto" w:sz="4" w:space="0"/>
                    <w:left w:val="single" w:color="000000" w:sz="4" w:space="0"/>
                    <w:bottom w:val="single" w:color="auto" w:sz="4" w:space="0"/>
                    <w:right w:val="single" w:color="000000" w:sz="4" w:space="0"/>
                  </w:tcBorders>
                  <w:vAlign w:val="center"/>
                </w:tcPr>
                <w:p>
                  <w:pPr>
                    <w:adjustRightInd w:val="0"/>
                    <w:snapToGrid w:val="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kern w:val="2"/>
                      <w:sz w:val="21"/>
                      <w:szCs w:val="24"/>
                      <w:lang w:val="en-US" w:eastAsia="zh-CN" w:bidi="ar-SA"/>
                    </w:rPr>
                    <w:t>/</w:t>
                  </w:r>
                </w:p>
              </w:tc>
              <w:tc>
                <w:tcPr>
                  <w:tcW w:w="387" w:type="pct"/>
                  <w:tcBorders>
                    <w:top w:val="single" w:color="auto" w:sz="4" w:space="0"/>
                    <w:left w:val="single" w:color="000000" w:sz="4" w:space="0"/>
                    <w:bottom w:val="single" w:color="auto" w:sz="4" w:space="0"/>
                    <w:right w:val="nil"/>
                  </w:tcBorders>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color w:val="auto"/>
                      <w:kern w:val="2"/>
                      <w:sz w:val="21"/>
                      <w:szCs w:val="24"/>
                      <w:lang w:val="en-US" w:eastAsia="zh-CN" w:bidi="ar-SA"/>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trPr>
              <w:tc>
                <w:tcPr>
                  <w:tcW w:w="403" w:type="pct"/>
                  <w:vMerge w:val="restart"/>
                  <w:tcBorders>
                    <w:left w:val="nil"/>
                    <w:right w:val="single" w:color="000000" w:sz="4" w:space="0"/>
                  </w:tcBorders>
                  <w:vAlign w:val="center"/>
                </w:tcPr>
                <w:p>
                  <w:pPr>
                    <w:adjustRightInd w:val="0"/>
                    <w:snapToGrid w:val="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超滤水</w:t>
                  </w:r>
                </w:p>
              </w:tc>
              <w:tc>
                <w:tcPr>
                  <w:tcW w:w="496" w:type="pct"/>
                  <w:tcBorders>
                    <w:left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COD</w:t>
                  </w:r>
                </w:p>
              </w:tc>
              <w:tc>
                <w:tcPr>
                  <w:tcW w:w="399" w:type="pct"/>
                  <w:vMerge w:val="restart"/>
                  <w:tcBorders>
                    <w:top w:val="single" w:color="000000" w:sz="4" w:space="0"/>
                    <w:left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kern w:val="2"/>
                      <w:sz w:val="21"/>
                      <w:szCs w:val="24"/>
                      <w:lang w:val="en-US" w:eastAsia="zh-CN" w:bidi="ar-SA"/>
                    </w:rPr>
                  </w:pPr>
                  <w:r>
                    <w:rPr>
                      <w:rFonts w:hint="eastAsia" w:cs="Times New Roman"/>
                      <w:color w:val="auto"/>
                      <w:lang w:val="en-US" w:eastAsia="zh-CN"/>
                    </w:rPr>
                    <w:t>2</w:t>
                  </w:r>
                  <w:r>
                    <w:rPr>
                      <w:rFonts w:hint="default" w:ascii="Times New Roman" w:hAnsi="Times New Roman" w:eastAsia="宋体" w:cs="Times New Roman"/>
                      <w:color w:val="auto"/>
                      <w:lang w:val="en-US" w:eastAsia="zh-CN"/>
                    </w:rPr>
                    <w:t>00</w:t>
                  </w:r>
                </w:p>
              </w:tc>
              <w:tc>
                <w:tcPr>
                  <w:tcW w:w="429"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lang w:val="en-US" w:eastAsia="zh-CN"/>
                    </w:rPr>
                    <w:t>40</w:t>
                  </w:r>
                </w:p>
              </w:tc>
              <w:tc>
                <w:tcPr>
                  <w:tcW w:w="561"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w:t>
                  </w:r>
                  <w:r>
                    <w:rPr>
                      <w:rFonts w:hint="eastAsia" w:cs="Times New Roman"/>
                      <w:i w:val="0"/>
                      <w:iCs w:val="0"/>
                      <w:color w:val="auto"/>
                      <w:kern w:val="0"/>
                      <w:sz w:val="21"/>
                      <w:szCs w:val="21"/>
                      <w:u w:val="none"/>
                      <w:lang w:val="en-US" w:eastAsia="zh-CN" w:bidi="ar"/>
                    </w:rPr>
                    <w:t>08</w:t>
                  </w:r>
                </w:p>
              </w:tc>
              <w:tc>
                <w:tcPr>
                  <w:tcW w:w="399" w:type="pct"/>
                  <w:vMerge w:val="restart"/>
                  <w:tcBorders>
                    <w:left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回用</w:t>
                  </w:r>
                </w:p>
              </w:tc>
              <w:tc>
                <w:tcPr>
                  <w:tcW w:w="540" w:type="pct"/>
                  <w:vMerge w:val="restart"/>
                  <w:tcBorders>
                    <w:top w:val="single" w:color="000000" w:sz="4" w:space="0"/>
                    <w:left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rPr>
                  </w:pPr>
                  <w:r>
                    <w:rPr>
                      <w:rFonts w:hint="eastAsia" w:eastAsia="宋体" w:cs="Times New Roman"/>
                      <w:color w:val="auto"/>
                      <w:lang w:val="en-US" w:eastAsia="zh-CN"/>
                    </w:rPr>
                    <w:t>0</w:t>
                  </w:r>
                </w:p>
              </w:tc>
              <w:tc>
                <w:tcPr>
                  <w:tcW w:w="418"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kern w:val="2"/>
                      <w:sz w:val="21"/>
                      <w:szCs w:val="24"/>
                      <w:lang w:val="en-US" w:eastAsia="zh-CN" w:bidi="ar-SA"/>
                    </w:rPr>
                    <w:t>/</w:t>
                  </w:r>
                </w:p>
              </w:tc>
              <w:tc>
                <w:tcPr>
                  <w:tcW w:w="549"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415" w:type="pct"/>
                  <w:tcBorders>
                    <w:top w:val="single" w:color="auto" w:sz="4" w:space="0"/>
                    <w:left w:val="single" w:color="000000" w:sz="4" w:space="0"/>
                    <w:bottom w:val="single" w:color="auto" w:sz="4" w:space="0"/>
                    <w:right w:val="single" w:color="000000" w:sz="4" w:space="0"/>
                  </w:tcBorders>
                  <w:vAlign w:val="center"/>
                </w:tcPr>
                <w:p>
                  <w:pPr>
                    <w:adjustRightInd w:val="0"/>
                    <w:snapToGrid w:val="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kern w:val="2"/>
                      <w:sz w:val="21"/>
                      <w:szCs w:val="24"/>
                      <w:lang w:val="en-US" w:eastAsia="zh-CN" w:bidi="ar-SA"/>
                    </w:rPr>
                    <w:t>/</w:t>
                  </w:r>
                </w:p>
              </w:tc>
              <w:tc>
                <w:tcPr>
                  <w:tcW w:w="387" w:type="pct"/>
                  <w:tcBorders>
                    <w:top w:val="single" w:color="auto" w:sz="4" w:space="0"/>
                    <w:left w:val="single" w:color="000000" w:sz="4" w:space="0"/>
                    <w:bottom w:val="single" w:color="auto" w:sz="4" w:space="0"/>
                    <w:right w:val="nil"/>
                  </w:tcBorders>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color w:val="auto"/>
                      <w:kern w:val="2"/>
                      <w:sz w:val="21"/>
                      <w:szCs w:val="24"/>
                      <w:lang w:val="en-US" w:eastAsia="zh-CN" w:bidi="ar-SA"/>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trPr>
              <w:tc>
                <w:tcPr>
                  <w:tcW w:w="403" w:type="pct"/>
                  <w:vMerge w:val="continue"/>
                  <w:tcBorders>
                    <w:left w:val="nil"/>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rPr>
                  </w:pPr>
                </w:p>
              </w:tc>
              <w:tc>
                <w:tcPr>
                  <w:tcW w:w="496" w:type="pct"/>
                  <w:tcBorders>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SS</w:t>
                  </w:r>
                </w:p>
              </w:tc>
              <w:tc>
                <w:tcPr>
                  <w:tcW w:w="399" w:type="pct"/>
                  <w:vMerge w:val="continue"/>
                  <w:tcBorders>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kern w:val="2"/>
                      <w:sz w:val="21"/>
                      <w:szCs w:val="24"/>
                      <w:lang w:val="en-US" w:eastAsia="zh-CN" w:bidi="ar-SA"/>
                    </w:rPr>
                  </w:pPr>
                </w:p>
              </w:tc>
              <w:tc>
                <w:tcPr>
                  <w:tcW w:w="429"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lang w:val="en-US" w:eastAsia="zh-CN"/>
                    </w:rPr>
                    <w:t>40</w:t>
                  </w:r>
                </w:p>
              </w:tc>
              <w:tc>
                <w:tcPr>
                  <w:tcW w:w="561"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w:t>
                  </w:r>
                  <w:r>
                    <w:rPr>
                      <w:rFonts w:hint="eastAsia" w:cs="Times New Roman"/>
                      <w:i w:val="0"/>
                      <w:iCs w:val="0"/>
                      <w:color w:val="auto"/>
                      <w:kern w:val="0"/>
                      <w:sz w:val="21"/>
                      <w:szCs w:val="21"/>
                      <w:u w:val="none"/>
                      <w:lang w:val="en-US" w:eastAsia="zh-CN" w:bidi="ar"/>
                    </w:rPr>
                    <w:t>08</w:t>
                  </w:r>
                </w:p>
              </w:tc>
              <w:tc>
                <w:tcPr>
                  <w:tcW w:w="399" w:type="pct"/>
                  <w:vMerge w:val="continue"/>
                  <w:tcBorders>
                    <w:left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rPr>
                  </w:pPr>
                </w:p>
              </w:tc>
              <w:tc>
                <w:tcPr>
                  <w:tcW w:w="540" w:type="pct"/>
                  <w:vMerge w:val="continue"/>
                  <w:tcBorders>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rPr>
                  </w:pPr>
                </w:p>
              </w:tc>
              <w:tc>
                <w:tcPr>
                  <w:tcW w:w="418"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kern w:val="2"/>
                      <w:sz w:val="21"/>
                      <w:szCs w:val="24"/>
                      <w:lang w:val="en-US" w:eastAsia="zh-CN" w:bidi="ar-SA"/>
                    </w:rPr>
                    <w:t>/</w:t>
                  </w:r>
                </w:p>
              </w:tc>
              <w:tc>
                <w:tcPr>
                  <w:tcW w:w="549"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415" w:type="pct"/>
                  <w:tcBorders>
                    <w:top w:val="single" w:color="auto"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kern w:val="2"/>
                      <w:sz w:val="21"/>
                      <w:szCs w:val="24"/>
                      <w:lang w:val="en-US" w:eastAsia="zh-CN" w:bidi="ar-SA"/>
                    </w:rPr>
                    <w:t>/</w:t>
                  </w:r>
                </w:p>
              </w:tc>
              <w:tc>
                <w:tcPr>
                  <w:tcW w:w="387" w:type="pct"/>
                  <w:tcBorders>
                    <w:top w:val="single" w:color="auto" w:sz="4" w:space="0"/>
                    <w:left w:val="single" w:color="000000" w:sz="4" w:space="0"/>
                    <w:bottom w:val="single" w:color="auto" w:sz="4" w:space="0"/>
                    <w:right w:val="nil"/>
                  </w:tcBorders>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color w:val="auto"/>
                      <w:kern w:val="2"/>
                      <w:sz w:val="21"/>
                      <w:szCs w:val="24"/>
                      <w:lang w:val="en-US" w:eastAsia="zh-CN" w:bidi="ar-SA"/>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585" w:hRule="atLeast"/>
              </w:trPr>
              <w:tc>
                <w:tcPr>
                  <w:tcW w:w="403" w:type="pct"/>
                  <w:vMerge w:val="restart"/>
                  <w:tcBorders>
                    <w:left w:val="nil"/>
                    <w:right w:val="single" w:color="000000" w:sz="4" w:space="0"/>
                  </w:tcBorders>
                  <w:vAlign w:val="center"/>
                </w:tcPr>
                <w:p>
                  <w:pPr>
                    <w:adjustRightInd w:val="0"/>
                    <w:snapToGrid w:val="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lang w:val="en-US" w:eastAsia="zh-CN"/>
                    </w:rPr>
                    <w:t>清洗废水</w:t>
                  </w:r>
                </w:p>
              </w:tc>
              <w:tc>
                <w:tcPr>
                  <w:tcW w:w="496" w:type="pct"/>
                  <w:tcBorders>
                    <w:left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lang w:val="en-US" w:eastAsia="zh-CN"/>
                    </w:rPr>
                    <w:t>COD</w:t>
                  </w:r>
                </w:p>
              </w:tc>
              <w:tc>
                <w:tcPr>
                  <w:tcW w:w="399" w:type="pct"/>
                  <w:vMerge w:val="restart"/>
                  <w:tcBorders>
                    <w:top w:val="single" w:color="000000" w:sz="4" w:space="0"/>
                    <w:left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kern w:val="2"/>
                      <w:sz w:val="21"/>
                      <w:szCs w:val="24"/>
                      <w:lang w:val="en-US" w:eastAsia="zh-CN" w:bidi="ar-SA"/>
                    </w:rPr>
                  </w:pPr>
                  <w:r>
                    <w:rPr>
                      <w:rFonts w:hint="eastAsia" w:cs="Times New Roman"/>
                      <w:color w:val="auto"/>
                      <w:lang w:val="en-US" w:eastAsia="zh-CN"/>
                    </w:rPr>
                    <w:t>1186</w:t>
                  </w:r>
                </w:p>
              </w:tc>
              <w:tc>
                <w:tcPr>
                  <w:tcW w:w="429"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kern w:val="2"/>
                      <w:sz w:val="21"/>
                      <w:szCs w:val="24"/>
                      <w:lang w:val="en-US" w:eastAsia="zh-CN" w:bidi="ar-SA"/>
                    </w:rPr>
                  </w:pPr>
                  <w:r>
                    <w:rPr>
                      <w:rFonts w:hint="eastAsia" w:cs="Times New Roman"/>
                      <w:color w:val="auto"/>
                      <w:lang w:val="en-US" w:eastAsia="zh-CN"/>
                    </w:rPr>
                    <w:t>800</w:t>
                  </w:r>
                </w:p>
              </w:tc>
              <w:tc>
                <w:tcPr>
                  <w:tcW w:w="561"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0.9488</w:t>
                  </w:r>
                </w:p>
              </w:tc>
              <w:tc>
                <w:tcPr>
                  <w:tcW w:w="399" w:type="pct"/>
                  <w:vMerge w:val="restart"/>
                  <w:tcBorders>
                    <w:left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厂内污水处理站</w:t>
                  </w:r>
                </w:p>
              </w:tc>
              <w:tc>
                <w:tcPr>
                  <w:tcW w:w="540" w:type="pct"/>
                  <w:vMerge w:val="restart"/>
                  <w:tcBorders>
                    <w:top w:val="single" w:color="000000" w:sz="4" w:space="0"/>
                    <w:left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kern w:val="2"/>
                      <w:sz w:val="21"/>
                      <w:szCs w:val="24"/>
                      <w:lang w:val="en-US" w:eastAsia="zh-CN" w:bidi="ar-SA"/>
                    </w:rPr>
                  </w:pPr>
                  <w:r>
                    <w:rPr>
                      <w:rFonts w:hint="eastAsia" w:eastAsia="宋体" w:cs="Times New Roman"/>
                      <w:color w:val="auto"/>
                      <w:lang w:val="en-US" w:eastAsia="zh-CN"/>
                    </w:rPr>
                    <w:t>1</w:t>
                  </w:r>
                  <w:r>
                    <w:rPr>
                      <w:rFonts w:hint="eastAsia" w:cs="Times New Roman"/>
                      <w:color w:val="auto"/>
                      <w:lang w:val="en-US" w:eastAsia="zh-CN"/>
                    </w:rPr>
                    <w:t>241</w:t>
                  </w:r>
                  <w:r>
                    <w:rPr>
                      <w:rFonts w:hint="eastAsia" w:eastAsia="宋体" w:cs="Times New Roman"/>
                      <w:color w:val="auto"/>
                      <w:lang w:val="en-US" w:eastAsia="zh-CN"/>
                    </w:rPr>
                    <w:t>.9*</w:t>
                  </w:r>
                </w:p>
              </w:tc>
              <w:tc>
                <w:tcPr>
                  <w:tcW w:w="418"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kern w:val="2"/>
                      <w:sz w:val="21"/>
                      <w:szCs w:val="24"/>
                      <w:lang w:val="en-US" w:eastAsia="zh-CN" w:bidi="ar-SA"/>
                    </w:rPr>
                  </w:pPr>
                  <w:r>
                    <w:rPr>
                      <w:rFonts w:hint="eastAsia" w:cs="Times New Roman"/>
                      <w:color w:val="auto"/>
                      <w:lang w:val="en-US" w:eastAsia="zh-CN"/>
                    </w:rPr>
                    <w:t>500</w:t>
                  </w:r>
                </w:p>
              </w:tc>
              <w:tc>
                <w:tcPr>
                  <w:tcW w:w="549"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0.593</w:t>
                  </w:r>
                </w:p>
              </w:tc>
              <w:tc>
                <w:tcPr>
                  <w:tcW w:w="415" w:type="pct"/>
                  <w:tcBorders>
                    <w:top w:val="single" w:color="auto"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rPr>
                    <w:t>500</w:t>
                  </w:r>
                </w:p>
              </w:tc>
              <w:tc>
                <w:tcPr>
                  <w:tcW w:w="387" w:type="pct"/>
                  <w:vMerge w:val="restart"/>
                  <w:tcBorders>
                    <w:top w:val="single" w:color="auto" w:sz="4" w:space="0"/>
                    <w:left w:val="single" w:color="000000" w:sz="4" w:space="0"/>
                    <w:right w:val="nil"/>
                  </w:tcBorders>
                  <w:vAlign w:val="center"/>
                </w:tcPr>
                <w:p>
                  <w:pPr>
                    <w:widowControl/>
                    <w:jc w:val="center"/>
                    <w:rPr>
                      <w:rFonts w:hint="default" w:ascii="Times New Roman" w:hAnsi="Times New Roman" w:eastAsia="宋体" w:cs="Times New Roman"/>
                      <w:b/>
                      <w:bCs/>
                      <w:color w:val="auto"/>
                      <w:szCs w:val="21"/>
                      <w:lang w:val="en-US" w:eastAsia="zh-CN"/>
                    </w:rPr>
                  </w:pPr>
                  <w:r>
                    <w:rPr>
                      <w:rFonts w:hint="default" w:ascii="Times New Roman" w:hAnsi="Times New Roman" w:eastAsia="宋体" w:cs="Times New Roman"/>
                      <w:color w:val="auto"/>
                      <w:lang w:val="en-US" w:eastAsia="zh-CN"/>
                    </w:rPr>
                    <w:t>武南污水处理厂</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trPr>
              <w:tc>
                <w:tcPr>
                  <w:tcW w:w="403" w:type="pct"/>
                  <w:vMerge w:val="continue"/>
                  <w:tcBorders>
                    <w:left w:val="nil"/>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rPr>
                  </w:pPr>
                </w:p>
              </w:tc>
              <w:tc>
                <w:tcPr>
                  <w:tcW w:w="496" w:type="pct"/>
                  <w:tcBorders>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SS</w:t>
                  </w:r>
                </w:p>
              </w:tc>
              <w:tc>
                <w:tcPr>
                  <w:tcW w:w="399" w:type="pct"/>
                  <w:vMerge w:val="continue"/>
                  <w:tcBorders>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kern w:val="2"/>
                      <w:sz w:val="21"/>
                      <w:szCs w:val="24"/>
                      <w:lang w:val="en-US" w:eastAsia="zh-CN" w:bidi="ar-SA"/>
                    </w:rPr>
                  </w:pPr>
                </w:p>
              </w:tc>
              <w:tc>
                <w:tcPr>
                  <w:tcW w:w="429"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kern w:val="2"/>
                      <w:sz w:val="21"/>
                      <w:szCs w:val="24"/>
                      <w:lang w:val="en-US" w:eastAsia="zh-CN" w:bidi="ar-SA"/>
                    </w:rPr>
                  </w:pPr>
                  <w:r>
                    <w:rPr>
                      <w:rFonts w:hint="eastAsia" w:cs="Times New Roman"/>
                      <w:color w:val="auto"/>
                      <w:lang w:val="en-US" w:eastAsia="zh-CN"/>
                    </w:rPr>
                    <w:t>300</w:t>
                  </w:r>
                </w:p>
              </w:tc>
              <w:tc>
                <w:tcPr>
                  <w:tcW w:w="561"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0.3558</w:t>
                  </w:r>
                </w:p>
              </w:tc>
              <w:tc>
                <w:tcPr>
                  <w:tcW w:w="399" w:type="pct"/>
                  <w:vMerge w:val="continue"/>
                  <w:tcBorders>
                    <w:left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rPr>
                  </w:pPr>
                </w:p>
              </w:tc>
              <w:tc>
                <w:tcPr>
                  <w:tcW w:w="540" w:type="pct"/>
                  <w:vMerge w:val="continue"/>
                  <w:tcBorders>
                    <w:left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kern w:val="2"/>
                      <w:sz w:val="21"/>
                      <w:szCs w:val="24"/>
                      <w:lang w:val="en-US" w:eastAsia="zh-CN" w:bidi="ar-SA"/>
                    </w:rPr>
                  </w:pPr>
                </w:p>
              </w:tc>
              <w:tc>
                <w:tcPr>
                  <w:tcW w:w="418"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kern w:val="2"/>
                      <w:sz w:val="21"/>
                      <w:szCs w:val="24"/>
                      <w:lang w:val="en-US" w:eastAsia="zh-CN" w:bidi="ar-SA"/>
                    </w:rPr>
                  </w:pPr>
                  <w:r>
                    <w:rPr>
                      <w:rFonts w:hint="eastAsia" w:cs="Times New Roman"/>
                      <w:color w:val="auto"/>
                      <w:kern w:val="2"/>
                      <w:sz w:val="21"/>
                      <w:szCs w:val="24"/>
                      <w:lang w:val="en-US" w:eastAsia="zh-CN" w:bidi="ar-SA"/>
                    </w:rPr>
                    <w:t>300</w:t>
                  </w:r>
                </w:p>
              </w:tc>
              <w:tc>
                <w:tcPr>
                  <w:tcW w:w="549"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0.3558</w:t>
                  </w:r>
                </w:p>
              </w:tc>
              <w:tc>
                <w:tcPr>
                  <w:tcW w:w="415" w:type="pct"/>
                  <w:tcBorders>
                    <w:top w:val="single" w:color="auto"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rPr>
                    <w:t>400</w:t>
                  </w:r>
                </w:p>
              </w:tc>
              <w:tc>
                <w:tcPr>
                  <w:tcW w:w="387" w:type="pct"/>
                  <w:vMerge w:val="continue"/>
                  <w:tcBorders>
                    <w:left w:val="single" w:color="000000" w:sz="4" w:space="0"/>
                    <w:right w:val="nil"/>
                  </w:tcBorders>
                  <w:vAlign w:val="center"/>
                </w:tcPr>
                <w:p>
                  <w:pPr>
                    <w:widowControl/>
                    <w:jc w:val="left"/>
                    <w:rPr>
                      <w:rFonts w:hint="default" w:ascii="Times New Roman" w:hAnsi="Times New Roman" w:eastAsia="宋体" w:cs="Times New Roman"/>
                      <w:b/>
                      <w:bCs/>
                      <w:color w:val="auto"/>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trPr>
              <w:tc>
                <w:tcPr>
                  <w:tcW w:w="403" w:type="pct"/>
                  <w:vMerge w:val="restart"/>
                  <w:tcBorders>
                    <w:left w:val="nil"/>
                    <w:right w:val="single" w:color="000000" w:sz="4" w:space="0"/>
                  </w:tcBorders>
                  <w:vAlign w:val="center"/>
                </w:tcPr>
                <w:p>
                  <w:pPr>
                    <w:adjustRightInd w:val="0"/>
                    <w:snapToGrid w:val="0"/>
                    <w:jc w:val="center"/>
                    <w:rPr>
                      <w:rFonts w:hint="eastAsia" w:ascii="Times New Roman" w:hAnsi="Times New Roman" w:eastAsia="宋体" w:cs="Times New Roman"/>
                      <w:color w:val="auto"/>
                      <w:lang w:val="en-US" w:eastAsia="zh-CN"/>
                    </w:rPr>
                  </w:pPr>
                  <w:r>
                    <w:rPr>
                      <w:rFonts w:hint="eastAsia" w:cs="Times New Roman"/>
                      <w:color w:val="auto"/>
                      <w:lang w:val="en-US" w:eastAsia="zh-CN"/>
                    </w:rPr>
                    <w:t>脱脂废水</w:t>
                  </w:r>
                </w:p>
              </w:tc>
              <w:tc>
                <w:tcPr>
                  <w:tcW w:w="496" w:type="pct"/>
                  <w:tcBorders>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lang w:val="en-US" w:eastAsia="zh-CN"/>
                    </w:rPr>
                    <w:t>COD</w:t>
                  </w:r>
                </w:p>
              </w:tc>
              <w:tc>
                <w:tcPr>
                  <w:tcW w:w="399" w:type="pct"/>
                  <w:vMerge w:val="restart"/>
                  <w:tcBorders>
                    <w:left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kern w:val="2"/>
                      <w:sz w:val="21"/>
                      <w:szCs w:val="24"/>
                      <w:lang w:val="en-US" w:eastAsia="zh-CN" w:bidi="ar-SA"/>
                    </w:rPr>
                  </w:pPr>
                  <w:r>
                    <w:rPr>
                      <w:rFonts w:hint="eastAsia" w:cs="Times New Roman"/>
                      <w:color w:val="auto"/>
                      <w:kern w:val="2"/>
                      <w:sz w:val="21"/>
                      <w:szCs w:val="24"/>
                      <w:lang w:val="en-US" w:eastAsia="zh-CN" w:bidi="ar-SA"/>
                    </w:rPr>
                    <w:t>75.9</w:t>
                  </w:r>
                </w:p>
              </w:tc>
              <w:tc>
                <w:tcPr>
                  <w:tcW w:w="429"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lang w:val="en-US" w:eastAsia="zh-CN"/>
                    </w:rPr>
                  </w:pPr>
                  <w:r>
                    <w:rPr>
                      <w:rFonts w:hint="eastAsia" w:cs="Times New Roman"/>
                      <w:color w:val="auto"/>
                      <w:lang w:val="en-US" w:eastAsia="zh-CN"/>
                    </w:rPr>
                    <w:t>3000</w:t>
                  </w:r>
                </w:p>
              </w:tc>
              <w:tc>
                <w:tcPr>
                  <w:tcW w:w="561"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0.2277</w:t>
                  </w:r>
                </w:p>
              </w:tc>
              <w:tc>
                <w:tcPr>
                  <w:tcW w:w="399" w:type="pct"/>
                  <w:vMerge w:val="continue"/>
                  <w:tcBorders>
                    <w:left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rPr>
                  </w:pPr>
                </w:p>
              </w:tc>
              <w:tc>
                <w:tcPr>
                  <w:tcW w:w="540" w:type="pct"/>
                  <w:vMerge w:val="continue"/>
                  <w:tcBorders>
                    <w:left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kern w:val="2"/>
                      <w:sz w:val="21"/>
                      <w:szCs w:val="24"/>
                      <w:lang w:val="en-US" w:eastAsia="zh-CN" w:bidi="ar-SA"/>
                    </w:rPr>
                  </w:pPr>
                </w:p>
              </w:tc>
              <w:tc>
                <w:tcPr>
                  <w:tcW w:w="418"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kern w:val="2"/>
                      <w:sz w:val="21"/>
                      <w:szCs w:val="24"/>
                      <w:lang w:val="en-US" w:eastAsia="zh-CN" w:bidi="ar-SA"/>
                    </w:rPr>
                  </w:pPr>
                  <w:r>
                    <w:rPr>
                      <w:rFonts w:hint="eastAsia" w:cs="Times New Roman"/>
                      <w:color w:val="auto"/>
                      <w:lang w:val="en-US" w:eastAsia="zh-CN"/>
                    </w:rPr>
                    <w:t>500</w:t>
                  </w:r>
                </w:p>
              </w:tc>
              <w:tc>
                <w:tcPr>
                  <w:tcW w:w="549"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0.03795</w:t>
                  </w:r>
                </w:p>
              </w:tc>
              <w:tc>
                <w:tcPr>
                  <w:tcW w:w="415" w:type="pct"/>
                  <w:tcBorders>
                    <w:top w:val="single" w:color="auto"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lang w:val="en-US" w:eastAsia="zh-CN"/>
                    </w:rPr>
                  </w:pPr>
                  <w:r>
                    <w:rPr>
                      <w:rFonts w:hint="eastAsia" w:cs="Times New Roman"/>
                      <w:color w:val="auto"/>
                      <w:lang w:val="en-US" w:eastAsia="zh-CN"/>
                    </w:rPr>
                    <w:t>500</w:t>
                  </w:r>
                </w:p>
              </w:tc>
              <w:tc>
                <w:tcPr>
                  <w:tcW w:w="387" w:type="pct"/>
                  <w:vMerge w:val="continue"/>
                  <w:tcBorders>
                    <w:left w:val="single" w:color="000000" w:sz="4" w:space="0"/>
                    <w:right w:val="nil"/>
                  </w:tcBorders>
                  <w:vAlign w:val="center"/>
                </w:tcPr>
                <w:p>
                  <w:pPr>
                    <w:widowControl/>
                    <w:jc w:val="left"/>
                    <w:rPr>
                      <w:rFonts w:hint="default" w:ascii="Times New Roman" w:hAnsi="Times New Roman" w:eastAsia="宋体" w:cs="Times New Roman"/>
                      <w:b/>
                      <w:bCs/>
                      <w:color w:val="auto"/>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trPr>
              <w:tc>
                <w:tcPr>
                  <w:tcW w:w="403" w:type="pct"/>
                  <w:vMerge w:val="continue"/>
                  <w:tcBorders>
                    <w:left w:val="nil"/>
                    <w:right w:val="single" w:color="000000" w:sz="4" w:space="0"/>
                  </w:tcBorders>
                  <w:vAlign w:val="center"/>
                </w:tcPr>
                <w:p>
                  <w:pPr>
                    <w:adjustRightInd w:val="0"/>
                    <w:snapToGrid w:val="0"/>
                    <w:jc w:val="center"/>
                    <w:rPr>
                      <w:rFonts w:hint="default" w:ascii="Times New Roman" w:hAnsi="Times New Roman" w:eastAsia="宋体" w:cs="Times New Roman"/>
                      <w:color w:val="auto"/>
                    </w:rPr>
                  </w:pPr>
                </w:p>
              </w:tc>
              <w:tc>
                <w:tcPr>
                  <w:tcW w:w="496" w:type="pct"/>
                  <w:tcBorders>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lang w:val="en-US" w:eastAsia="zh-CN"/>
                    </w:rPr>
                    <w:t>SS</w:t>
                  </w:r>
                </w:p>
              </w:tc>
              <w:tc>
                <w:tcPr>
                  <w:tcW w:w="399" w:type="pct"/>
                  <w:vMerge w:val="continue"/>
                  <w:tcBorders>
                    <w:left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kern w:val="2"/>
                      <w:sz w:val="21"/>
                      <w:szCs w:val="24"/>
                      <w:lang w:val="en-US" w:eastAsia="zh-CN" w:bidi="ar-SA"/>
                    </w:rPr>
                  </w:pPr>
                </w:p>
              </w:tc>
              <w:tc>
                <w:tcPr>
                  <w:tcW w:w="429"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lang w:val="en-US" w:eastAsia="zh-CN"/>
                    </w:rPr>
                  </w:pPr>
                  <w:r>
                    <w:rPr>
                      <w:rFonts w:hint="eastAsia" w:cs="Times New Roman"/>
                      <w:color w:val="auto"/>
                      <w:lang w:val="en-US" w:eastAsia="zh-CN"/>
                    </w:rPr>
                    <w:t>600</w:t>
                  </w:r>
                </w:p>
              </w:tc>
              <w:tc>
                <w:tcPr>
                  <w:tcW w:w="561"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0.04554</w:t>
                  </w:r>
                </w:p>
              </w:tc>
              <w:tc>
                <w:tcPr>
                  <w:tcW w:w="399" w:type="pct"/>
                  <w:vMerge w:val="continue"/>
                  <w:tcBorders>
                    <w:left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rPr>
                  </w:pPr>
                </w:p>
              </w:tc>
              <w:tc>
                <w:tcPr>
                  <w:tcW w:w="540" w:type="pct"/>
                  <w:vMerge w:val="continue"/>
                  <w:tcBorders>
                    <w:left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kern w:val="2"/>
                      <w:sz w:val="21"/>
                      <w:szCs w:val="24"/>
                      <w:lang w:val="en-US" w:eastAsia="zh-CN" w:bidi="ar-SA"/>
                    </w:rPr>
                  </w:pPr>
                </w:p>
              </w:tc>
              <w:tc>
                <w:tcPr>
                  <w:tcW w:w="418"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kern w:val="2"/>
                      <w:sz w:val="21"/>
                      <w:szCs w:val="24"/>
                      <w:lang w:val="en-US" w:eastAsia="zh-CN" w:bidi="ar-SA"/>
                    </w:rPr>
                  </w:pPr>
                  <w:r>
                    <w:rPr>
                      <w:rFonts w:hint="eastAsia" w:cs="Times New Roman"/>
                      <w:color w:val="auto"/>
                      <w:kern w:val="2"/>
                      <w:sz w:val="21"/>
                      <w:szCs w:val="24"/>
                      <w:lang w:val="en-US" w:eastAsia="zh-CN" w:bidi="ar-SA"/>
                    </w:rPr>
                    <w:t>400</w:t>
                  </w:r>
                </w:p>
              </w:tc>
              <w:tc>
                <w:tcPr>
                  <w:tcW w:w="549"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0.03036</w:t>
                  </w:r>
                </w:p>
              </w:tc>
              <w:tc>
                <w:tcPr>
                  <w:tcW w:w="415" w:type="pct"/>
                  <w:tcBorders>
                    <w:top w:val="single" w:color="auto"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lang w:val="en-US" w:eastAsia="zh-CN"/>
                    </w:rPr>
                  </w:pPr>
                  <w:r>
                    <w:rPr>
                      <w:rFonts w:hint="eastAsia" w:cs="Times New Roman"/>
                      <w:color w:val="auto"/>
                      <w:lang w:val="en-US" w:eastAsia="zh-CN"/>
                    </w:rPr>
                    <w:t>400</w:t>
                  </w:r>
                </w:p>
              </w:tc>
              <w:tc>
                <w:tcPr>
                  <w:tcW w:w="387" w:type="pct"/>
                  <w:vMerge w:val="continue"/>
                  <w:tcBorders>
                    <w:left w:val="single" w:color="000000" w:sz="4" w:space="0"/>
                    <w:right w:val="nil"/>
                  </w:tcBorders>
                  <w:vAlign w:val="center"/>
                </w:tcPr>
                <w:p>
                  <w:pPr>
                    <w:widowControl/>
                    <w:jc w:val="left"/>
                    <w:rPr>
                      <w:rFonts w:hint="default" w:ascii="Times New Roman" w:hAnsi="Times New Roman" w:eastAsia="宋体" w:cs="Times New Roman"/>
                      <w:b/>
                      <w:bCs/>
                      <w:color w:val="auto"/>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trPr>
              <w:tc>
                <w:tcPr>
                  <w:tcW w:w="403" w:type="pct"/>
                  <w:vMerge w:val="continue"/>
                  <w:tcBorders>
                    <w:left w:val="nil"/>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rPr>
                  </w:pPr>
                </w:p>
              </w:tc>
              <w:tc>
                <w:tcPr>
                  <w:tcW w:w="496" w:type="pct"/>
                  <w:tcBorders>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lang w:val="en-US" w:eastAsia="zh-CN"/>
                    </w:rPr>
                  </w:pPr>
                  <w:r>
                    <w:rPr>
                      <w:rFonts w:hint="eastAsia" w:cs="Times New Roman"/>
                      <w:color w:val="auto"/>
                      <w:lang w:val="en-US" w:eastAsia="zh-CN"/>
                    </w:rPr>
                    <w:t>石油类</w:t>
                  </w:r>
                </w:p>
              </w:tc>
              <w:tc>
                <w:tcPr>
                  <w:tcW w:w="399" w:type="pct"/>
                  <w:vMerge w:val="continue"/>
                  <w:tcBorders>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kern w:val="2"/>
                      <w:sz w:val="21"/>
                      <w:szCs w:val="24"/>
                      <w:lang w:val="en-US" w:eastAsia="zh-CN" w:bidi="ar-SA"/>
                    </w:rPr>
                  </w:pPr>
                </w:p>
              </w:tc>
              <w:tc>
                <w:tcPr>
                  <w:tcW w:w="429"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cs="Times New Roman"/>
                      <w:color w:val="auto"/>
                      <w:lang w:val="en-US" w:eastAsia="zh-CN"/>
                    </w:rPr>
                  </w:pPr>
                  <w:r>
                    <w:rPr>
                      <w:rFonts w:hint="eastAsia" w:cs="Times New Roman"/>
                      <w:color w:val="auto"/>
                      <w:lang w:val="en-US" w:eastAsia="zh-CN"/>
                    </w:rPr>
                    <w:t>80</w:t>
                  </w:r>
                </w:p>
              </w:tc>
              <w:tc>
                <w:tcPr>
                  <w:tcW w:w="561"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0.006072</w:t>
                  </w:r>
                </w:p>
              </w:tc>
              <w:tc>
                <w:tcPr>
                  <w:tcW w:w="399" w:type="pct"/>
                  <w:vMerge w:val="continue"/>
                  <w:tcBorders>
                    <w:left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rPr>
                  </w:pPr>
                </w:p>
              </w:tc>
              <w:tc>
                <w:tcPr>
                  <w:tcW w:w="540" w:type="pct"/>
                  <w:vMerge w:val="continue"/>
                  <w:tcBorders>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kern w:val="2"/>
                      <w:sz w:val="21"/>
                      <w:szCs w:val="24"/>
                      <w:lang w:val="en-US" w:eastAsia="zh-CN" w:bidi="ar-SA"/>
                    </w:rPr>
                  </w:pPr>
                </w:p>
              </w:tc>
              <w:tc>
                <w:tcPr>
                  <w:tcW w:w="418"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cs="Times New Roman"/>
                      <w:color w:val="auto"/>
                      <w:kern w:val="2"/>
                      <w:sz w:val="21"/>
                      <w:szCs w:val="24"/>
                      <w:lang w:val="en-US" w:eastAsia="zh-CN" w:bidi="ar-SA"/>
                    </w:rPr>
                  </w:pPr>
                  <w:r>
                    <w:rPr>
                      <w:rFonts w:hint="eastAsia" w:cs="Times New Roman"/>
                      <w:color w:val="auto"/>
                      <w:kern w:val="2"/>
                      <w:sz w:val="21"/>
                      <w:szCs w:val="24"/>
                      <w:lang w:val="en-US" w:eastAsia="zh-CN" w:bidi="ar-SA"/>
                    </w:rPr>
                    <w:t>15</w:t>
                  </w:r>
                </w:p>
              </w:tc>
              <w:tc>
                <w:tcPr>
                  <w:tcW w:w="549"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0.0011385</w:t>
                  </w:r>
                </w:p>
              </w:tc>
              <w:tc>
                <w:tcPr>
                  <w:tcW w:w="415" w:type="pct"/>
                  <w:tcBorders>
                    <w:top w:val="single" w:color="auto"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lang w:val="en-US" w:eastAsia="zh-CN"/>
                    </w:rPr>
                  </w:pPr>
                  <w:r>
                    <w:rPr>
                      <w:rFonts w:hint="eastAsia" w:cs="Times New Roman"/>
                      <w:color w:val="auto"/>
                      <w:lang w:val="en-US" w:eastAsia="zh-CN"/>
                    </w:rPr>
                    <w:t>15</w:t>
                  </w:r>
                </w:p>
              </w:tc>
              <w:tc>
                <w:tcPr>
                  <w:tcW w:w="387" w:type="pct"/>
                  <w:vMerge w:val="continue"/>
                  <w:tcBorders>
                    <w:left w:val="single" w:color="000000" w:sz="4" w:space="0"/>
                    <w:right w:val="nil"/>
                  </w:tcBorders>
                  <w:vAlign w:val="center"/>
                </w:tcPr>
                <w:p>
                  <w:pPr>
                    <w:widowControl/>
                    <w:jc w:val="left"/>
                    <w:rPr>
                      <w:rFonts w:hint="default" w:ascii="Times New Roman" w:hAnsi="Times New Roman" w:eastAsia="宋体" w:cs="Times New Roman"/>
                      <w:b/>
                      <w:bCs/>
                      <w:color w:val="auto"/>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4" w:hRule="atLeast"/>
              </w:trPr>
              <w:tc>
                <w:tcPr>
                  <w:tcW w:w="403" w:type="pct"/>
                  <w:vMerge w:val="restart"/>
                  <w:tcBorders>
                    <w:top w:val="single" w:color="000000" w:sz="4" w:space="0"/>
                    <w:left w:val="nil"/>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生活污水</w:t>
                  </w:r>
                </w:p>
              </w:tc>
              <w:tc>
                <w:tcPr>
                  <w:tcW w:w="496"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rPr>
                    <w:t>COD</w:t>
                  </w:r>
                </w:p>
              </w:tc>
              <w:tc>
                <w:tcPr>
                  <w:tcW w:w="399" w:type="pct"/>
                  <w:vMerge w:val="restart"/>
                  <w:tcBorders>
                    <w:top w:val="single" w:color="000000" w:sz="4" w:space="0"/>
                    <w:left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lang w:val="en-US" w:eastAsia="zh-CN"/>
                    </w:rPr>
                    <w:t>720</w:t>
                  </w:r>
                </w:p>
              </w:tc>
              <w:tc>
                <w:tcPr>
                  <w:tcW w:w="429"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400</w:t>
                  </w:r>
                </w:p>
              </w:tc>
              <w:tc>
                <w:tcPr>
                  <w:tcW w:w="561"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i w:val="0"/>
                      <w:iCs w:val="0"/>
                      <w:color w:val="auto"/>
                      <w:kern w:val="0"/>
                      <w:sz w:val="21"/>
                      <w:szCs w:val="21"/>
                      <w:u w:val="none"/>
                      <w:lang w:val="en-US" w:eastAsia="zh-CN" w:bidi="ar"/>
                    </w:rPr>
                    <w:t>0.288</w:t>
                  </w:r>
                </w:p>
              </w:tc>
              <w:tc>
                <w:tcPr>
                  <w:tcW w:w="399" w:type="pct"/>
                  <w:vMerge w:val="restart"/>
                  <w:tcBorders>
                    <w:left w:val="single" w:color="000000" w:sz="4" w:space="0"/>
                    <w:right w:val="single" w:color="000000" w:sz="4" w:space="0"/>
                  </w:tcBorders>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接管</w:t>
                  </w:r>
                </w:p>
              </w:tc>
              <w:tc>
                <w:tcPr>
                  <w:tcW w:w="540" w:type="pct"/>
                  <w:vMerge w:val="restart"/>
                  <w:tcBorders>
                    <w:top w:val="single" w:color="000000" w:sz="4" w:space="0"/>
                    <w:left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lang w:val="en-US" w:eastAsia="zh-CN"/>
                    </w:rPr>
                    <w:t>720</w:t>
                  </w:r>
                </w:p>
              </w:tc>
              <w:tc>
                <w:tcPr>
                  <w:tcW w:w="418"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400</w:t>
                  </w:r>
                </w:p>
              </w:tc>
              <w:tc>
                <w:tcPr>
                  <w:tcW w:w="549"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i w:val="0"/>
                      <w:iCs w:val="0"/>
                      <w:color w:val="auto"/>
                      <w:kern w:val="0"/>
                      <w:sz w:val="21"/>
                      <w:szCs w:val="21"/>
                      <w:u w:val="none"/>
                      <w:lang w:val="en-US" w:eastAsia="zh-CN" w:bidi="ar"/>
                    </w:rPr>
                    <w:t>0.288</w:t>
                  </w:r>
                </w:p>
              </w:tc>
              <w:tc>
                <w:tcPr>
                  <w:tcW w:w="415"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500</w:t>
                  </w:r>
                </w:p>
              </w:tc>
              <w:tc>
                <w:tcPr>
                  <w:tcW w:w="387" w:type="pct"/>
                  <w:vMerge w:val="continue"/>
                  <w:tcBorders>
                    <w:left w:val="single" w:color="000000" w:sz="4" w:space="0"/>
                    <w:right w:val="nil"/>
                  </w:tcBorders>
                  <w:vAlign w:val="center"/>
                </w:tcPr>
                <w:p>
                  <w:pPr>
                    <w:adjustRightInd w:val="0"/>
                    <w:snapToGrid w:val="0"/>
                    <w:jc w:val="center"/>
                    <w:rPr>
                      <w:rFonts w:hint="default" w:ascii="Times New Roman" w:hAnsi="Times New Roman" w:eastAsia="宋体" w:cs="Times New Roman"/>
                      <w:color w:val="auto"/>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97" w:hRule="atLeast"/>
              </w:trPr>
              <w:tc>
                <w:tcPr>
                  <w:tcW w:w="403" w:type="pct"/>
                  <w:vMerge w:val="continue"/>
                  <w:tcBorders>
                    <w:top w:val="single" w:color="000000" w:sz="4" w:space="0"/>
                    <w:left w:val="nil"/>
                    <w:bottom w:val="single" w:color="000000" w:sz="4" w:space="0"/>
                    <w:right w:val="single" w:color="000000" w:sz="4" w:space="0"/>
                  </w:tcBorders>
                  <w:vAlign w:val="center"/>
                </w:tcPr>
                <w:p>
                  <w:pPr>
                    <w:widowControl/>
                    <w:jc w:val="left"/>
                    <w:rPr>
                      <w:rFonts w:hint="default" w:ascii="Times New Roman" w:hAnsi="Times New Roman" w:eastAsia="宋体" w:cs="Times New Roman"/>
                      <w:color w:val="auto"/>
                      <w:szCs w:val="21"/>
                    </w:rPr>
                  </w:pPr>
                </w:p>
              </w:tc>
              <w:tc>
                <w:tcPr>
                  <w:tcW w:w="496"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SS</w:t>
                  </w:r>
                </w:p>
              </w:tc>
              <w:tc>
                <w:tcPr>
                  <w:tcW w:w="399" w:type="pct"/>
                  <w:vMerge w:val="continue"/>
                  <w:tcBorders>
                    <w:left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rPr>
                  </w:pPr>
                </w:p>
              </w:tc>
              <w:tc>
                <w:tcPr>
                  <w:tcW w:w="429"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300</w:t>
                  </w:r>
                </w:p>
              </w:tc>
              <w:tc>
                <w:tcPr>
                  <w:tcW w:w="561"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i w:val="0"/>
                      <w:iCs w:val="0"/>
                      <w:color w:val="auto"/>
                      <w:kern w:val="0"/>
                      <w:sz w:val="21"/>
                      <w:szCs w:val="21"/>
                      <w:u w:val="none"/>
                      <w:lang w:val="en-US" w:eastAsia="zh-CN" w:bidi="ar"/>
                    </w:rPr>
                    <w:t>0.216</w:t>
                  </w:r>
                </w:p>
              </w:tc>
              <w:tc>
                <w:tcPr>
                  <w:tcW w:w="399" w:type="pct"/>
                  <w:vMerge w:val="continue"/>
                  <w:tcBorders>
                    <w:left w:val="single" w:color="000000" w:sz="4" w:space="0"/>
                    <w:right w:val="single" w:color="000000" w:sz="4" w:space="0"/>
                  </w:tcBorders>
                  <w:vAlign w:val="center"/>
                </w:tcPr>
                <w:p>
                  <w:pPr>
                    <w:widowControl/>
                    <w:jc w:val="left"/>
                    <w:rPr>
                      <w:rFonts w:hint="default" w:ascii="Times New Roman" w:hAnsi="Times New Roman" w:eastAsia="宋体" w:cs="Times New Roman"/>
                      <w:color w:val="auto"/>
                      <w:szCs w:val="21"/>
                    </w:rPr>
                  </w:pPr>
                </w:p>
              </w:tc>
              <w:tc>
                <w:tcPr>
                  <w:tcW w:w="540" w:type="pct"/>
                  <w:vMerge w:val="continue"/>
                  <w:tcBorders>
                    <w:left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rPr>
                  </w:pPr>
                </w:p>
              </w:tc>
              <w:tc>
                <w:tcPr>
                  <w:tcW w:w="418"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300</w:t>
                  </w:r>
                </w:p>
              </w:tc>
              <w:tc>
                <w:tcPr>
                  <w:tcW w:w="549"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i w:val="0"/>
                      <w:iCs w:val="0"/>
                      <w:color w:val="auto"/>
                      <w:kern w:val="0"/>
                      <w:sz w:val="21"/>
                      <w:szCs w:val="21"/>
                      <w:u w:val="none"/>
                      <w:lang w:val="en-US" w:eastAsia="zh-CN" w:bidi="ar"/>
                    </w:rPr>
                    <w:t>0.216</w:t>
                  </w:r>
                </w:p>
              </w:tc>
              <w:tc>
                <w:tcPr>
                  <w:tcW w:w="415"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400</w:t>
                  </w:r>
                </w:p>
              </w:tc>
              <w:tc>
                <w:tcPr>
                  <w:tcW w:w="387" w:type="pct"/>
                  <w:vMerge w:val="continue"/>
                  <w:tcBorders>
                    <w:left w:val="single" w:color="000000" w:sz="4" w:space="0"/>
                    <w:right w:val="nil"/>
                  </w:tcBorders>
                  <w:vAlign w:val="center"/>
                </w:tcPr>
                <w:p>
                  <w:pPr>
                    <w:widowControl/>
                    <w:jc w:val="left"/>
                    <w:rPr>
                      <w:rFonts w:hint="default" w:ascii="Times New Roman" w:hAnsi="Times New Roman" w:eastAsia="宋体" w:cs="Times New Roman"/>
                      <w:color w:val="auto"/>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97" w:hRule="atLeast"/>
              </w:trPr>
              <w:tc>
                <w:tcPr>
                  <w:tcW w:w="403" w:type="pct"/>
                  <w:vMerge w:val="continue"/>
                  <w:tcBorders>
                    <w:top w:val="single" w:color="000000" w:sz="4" w:space="0"/>
                    <w:left w:val="nil"/>
                    <w:bottom w:val="single" w:color="000000" w:sz="4" w:space="0"/>
                    <w:right w:val="single" w:color="000000" w:sz="4" w:space="0"/>
                  </w:tcBorders>
                  <w:vAlign w:val="center"/>
                </w:tcPr>
                <w:p>
                  <w:pPr>
                    <w:widowControl/>
                    <w:jc w:val="left"/>
                    <w:rPr>
                      <w:rFonts w:hint="default" w:ascii="Times New Roman" w:hAnsi="Times New Roman" w:eastAsia="宋体" w:cs="Times New Roman"/>
                      <w:color w:val="auto"/>
                      <w:szCs w:val="21"/>
                    </w:rPr>
                  </w:pPr>
                </w:p>
              </w:tc>
              <w:tc>
                <w:tcPr>
                  <w:tcW w:w="496"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氨氮</w:t>
                  </w:r>
                </w:p>
              </w:tc>
              <w:tc>
                <w:tcPr>
                  <w:tcW w:w="399" w:type="pct"/>
                  <w:vMerge w:val="continue"/>
                  <w:tcBorders>
                    <w:left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rPr>
                  </w:pPr>
                </w:p>
              </w:tc>
              <w:tc>
                <w:tcPr>
                  <w:tcW w:w="429"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25</w:t>
                  </w:r>
                </w:p>
              </w:tc>
              <w:tc>
                <w:tcPr>
                  <w:tcW w:w="561"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i w:val="0"/>
                      <w:iCs w:val="0"/>
                      <w:color w:val="auto"/>
                      <w:kern w:val="0"/>
                      <w:sz w:val="21"/>
                      <w:szCs w:val="21"/>
                      <w:u w:val="none"/>
                      <w:lang w:val="en-US" w:eastAsia="zh-CN" w:bidi="ar"/>
                    </w:rPr>
                    <w:t>0.018</w:t>
                  </w:r>
                </w:p>
              </w:tc>
              <w:tc>
                <w:tcPr>
                  <w:tcW w:w="399" w:type="pct"/>
                  <w:vMerge w:val="continue"/>
                  <w:tcBorders>
                    <w:left w:val="single" w:color="000000" w:sz="4" w:space="0"/>
                    <w:right w:val="single" w:color="000000" w:sz="4" w:space="0"/>
                  </w:tcBorders>
                  <w:vAlign w:val="center"/>
                </w:tcPr>
                <w:p>
                  <w:pPr>
                    <w:widowControl/>
                    <w:jc w:val="left"/>
                    <w:rPr>
                      <w:rFonts w:hint="default" w:ascii="Times New Roman" w:hAnsi="Times New Roman" w:eastAsia="宋体" w:cs="Times New Roman"/>
                      <w:color w:val="auto"/>
                      <w:szCs w:val="21"/>
                    </w:rPr>
                  </w:pPr>
                </w:p>
              </w:tc>
              <w:tc>
                <w:tcPr>
                  <w:tcW w:w="540" w:type="pct"/>
                  <w:vMerge w:val="continue"/>
                  <w:tcBorders>
                    <w:left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rPr>
                  </w:pPr>
                </w:p>
              </w:tc>
              <w:tc>
                <w:tcPr>
                  <w:tcW w:w="418"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25</w:t>
                  </w:r>
                </w:p>
              </w:tc>
              <w:tc>
                <w:tcPr>
                  <w:tcW w:w="549"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i w:val="0"/>
                      <w:iCs w:val="0"/>
                      <w:color w:val="auto"/>
                      <w:kern w:val="0"/>
                      <w:sz w:val="21"/>
                      <w:szCs w:val="21"/>
                      <w:u w:val="none"/>
                      <w:lang w:val="en-US" w:eastAsia="zh-CN" w:bidi="ar"/>
                    </w:rPr>
                    <w:t>0.018</w:t>
                  </w:r>
                </w:p>
              </w:tc>
              <w:tc>
                <w:tcPr>
                  <w:tcW w:w="415"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45</w:t>
                  </w:r>
                </w:p>
              </w:tc>
              <w:tc>
                <w:tcPr>
                  <w:tcW w:w="387" w:type="pct"/>
                  <w:vMerge w:val="continue"/>
                  <w:tcBorders>
                    <w:left w:val="single" w:color="000000" w:sz="4" w:space="0"/>
                    <w:right w:val="nil"/>
                  </w:tcBorders>
                  <w:vAlign w:val="center"/>
                </w:tcPr>
                <w:p>
                  <w:pPr>
                    <w:widowControl/>
                    <w:jc w:val="left"/>
                    <w:rPr>
                      <w:rFonts w:hint="default" w:ascii="Times New Roman" w:hAnsi="Times New Roman" w:eastAsia="宋体" w:cs="Times New Roman"/>
                      <w:color w:val="auto"/>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97" w:hRule="atLeast"/>
              </w:trPr>
              <w:tc>
                <w:tcPr>
                  <w:tcW w:w="403" w:type="pct"/>
                  <w:vMerge w:val="continue"/>
                  <w:tcBorders>
                    <w:top w:val="single" w:color="000000" w:sz="4" w:space="0"/>
                    <w:left w:val="nil"/>
                    <w:bottom w:val="single" w:color="000000" w:sz="4" w:space="0"/>
                    <w:right w:val="single" w:color="000000" w:sz="4" w:space="0"/>
                  </w:tcBorders>
                  <w:vAlign w:val="center"/>
                </w:tcPr>
                <w:p>
                  <w:pPr>
                    <w:widowControl/>
                    <w:jc w:val="left"/>
                    <w:rPr>
                      <w:rFonts w:hint="default" w:ascii="Times New Roman" w:hAnsi="Times New Roman" w:eastAsia="宋体" w:cs="Times New Roman"/>
                      <w:color w:val="auto"/>
                      <w:szCs w:val="21"/>
                    </w:rPr>
                  </w:pPr>
                </w:p>
              </w:tc>
              <w:tc>
                <w:tcPr>
                  <w:tcW w:w="496"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TP</w:t>
                  </w:r>
                </w:p>
              </w:tc>
              <w:tc>
                <w:tcPr>
                  <w:tcW w:w="399" w:type="pct"/>
                  <w:vMerge w:val="continue"/>
                  <w:tcBorders>
                    <w:left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rPr>
                  </w:pPr>
                </w:p>
              </w:tc>
              <w:tc>
                <w:tcPr>
                  <w:tcW w:w="429"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5</w:t>
                  </w:r>
                </w:p>
              </w:tc>
              <w:tc>
                <w:tcPr>
                  <w:tcW w:w="561"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i w:val="0"/>
                      <w:iCs w:val="0"/>
                      <w:color w:val="auto"/>
                      <w:kern w:val="0"/>
                      <w:sz w:val="21"/>
                      <w:szCs w:val="21"/>
                      <w:u w:val="none"/>
                      <w:lang w:val="en-US" w:eastAsia="zh-CN" w:bidi="ar"/>
                    </w:rPr>
                    <w:t>0.0036</w:t>
                  </w:r>
                </w:p>
              </w:tc>
              <w:tc>
                <w:tcPr>
                  <w:tcW w:w="399" w:type="pct"/>
                  <w:vMerge w:val="continue"/>
                  <w:tcBorders>
                    <w:left w:val="single" w:color="000000" w:sz="4" w:space="0"/>
                    <w:right w:val="single" w:color="000000" w:sz="4" w:space="0"/>
                  </w:tcBorders>
                  <w:vAlign w:val="center"/>
                </w:tcPr>
                <w:p>
                  <w:pPr>
                    <w:widowControl/>
                    <w:jc w:val="left"/>
                    <w:rPr>
                      <w:rFonts w:hint="default" w:ascii="Times New Roman" w:hAnsi="Times New Roman" w:eastAsia="宋体" w:cs="Times New Roman"/>
                      <w:color w:val="auto"/>
                      <w:szCs w:val="21"/>
                    </w:rPr>
                  </w:pPr>
                </w:p>
              </w:tc>
              <w:tc>
                <w:tcPr>
                  <w:tcW w:w="540" w:type="pct"/>
                  <w:vMerge w:val="continue"/>
                  <w:tcBorders>
                    <w:left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rPr>
                  </w:pPr>
                </w:p>
              </w:tc>
              <w:tc>
                <w:tcPr>
                  <w:tcW w:w="418"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5</w:t>
                  </w:r>
                </w:p>
              </w:tc>
              <w:tc>
                <w:tcPr>
                  <w:tcW w:w="549"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i w:val="0"/>
                      <w:iCs w:val="0"/>
                      <w:color w:val="auto"/>
                      <w:kern w:val="0"/>
                      <w:sz w:val="21"/>
                      <w:szCs w:val="21"/>
                      <w:u w:val="none"/>
                      <w:lang w:val="en-US" w:eastAsia="zh-CN" w:bidi="ar"/>
                    </w:rPr>
                    <w:t>0.0036</w:t>
                  </w:r>
                </w:p>
              </w:tc>
              <w:tc>
                <w:tcPr>
                  <w:tcW w:w="415"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8</w:t>
                  </w:r>
                </w:p>
              </w:tc>
              <w:tc>
                <w:tcPr>
                  <w:tcW w:w="387" w:type="pct"/>
                  <w:vMerge w:val="continue"/>
                  <w:tcBorders>
                    <w:left w:val="single" w:color="000000" w:sz="4" w:space="0"/>
                    <w:right w:val="nil"/>
                  </w:tcBorders>
                  <w:vAlign w:val="center"/>
                </w:tcPr>
                <w:p>
                  <w:pPr>
                    <w:widowControl/>
                    <w:jc w:val="left"/>
                    <w:rPr>
                      <w:rFonts w:hint="default" w:ascii="Times New Roman" w:hAnsi="Times New Roman" w:eastAsia="宋体" w:cs="Times New Roman"/>
                      <w:color w:val="auto"/>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97" w:hRule="atLeast"/>
              </w:trPr>
              <w:tc>
                <w:tcPr>
                  <w:tcW w:w="403" w:type="pct"/>
                  <w:vMerge w:val="continue"/>
                  <w:tcBorders>
                    <w:top w:val="single" w:color="000000" w:sz="4" w:space="0"/>
                    <w:left w:val="nil"/>
                    <w:bottom w:val="single" w:color="auto" w:sz="12" w:space="0"/>
                    <w:right w:val="single" w:color="000000" w:sz="4" w:space="0"/>
                  </w:tcBorders>
                  <w:vAlign w:val="center"/>
                </w:tcPr>
                <w:p>
                  <w:pPr>
                    <w:widowControl/>
                    <w:jc w:val="left"/>
                    <w:rPr>
                      <w:rFonts w:hint="default" w:ascii="Times New Roman" w:hAnsi="Times New Roman" w:eastAsia="宋体" w:cs="Times New Roman"/>
                      <w:color w:val="auto"/>
                      <w:szCs w:val="21"/>
                    </w:rPr>
                  </w:pPr>
                </w:p>
              </w:tc>
              <w:tc>
                <w:tcPr>
                  <w:tcW w:w="496" w:type="pct"/>
                  <w:tcBorders>
                    <w:top w:val="single" w:color="000000" w:sz="4" w:space="0"/>
                    <w:left w:val="single" w:color="000000" w:sz="4" w:space="0"/>
                    <w:bottom w:val="single" w:color="auto" w:sz="12"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TN</w:t>
                  </w:r>
                </w:p>
              </w:tc>
              <w:tc>
                <w:tcPr>
                  <w:tcW w:w="399" w:type="pct"/>
                  <w:vMerge w:val="continue"/>
                  <w:tcBorders>
                    <w:left w:val="single" w:color="000000" w:sz="4" w:space="0"/>
                    <w:bottom w:val="single" w:color="auto" w:sz="12"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rPr>
                  </w:pPr>
                </w:p>
              </w:tc>
              <w:tc>
                <w:tcPr>
                  <w:tcW w:w="429" w:type="pct"/>
                  <w:tcBorders>
                    <w:top w:val="single" w:color="000000" w:sz="4" w:space="0"/>
                    <w:left w:val="single" w:color="000000" w:sz="4" w:space="0"/>
                    <w:bottom w:val="single" w:color="auto" w:sz="12"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50</w:t>
                  </w:r>
                </w:p>
              </w:tc>
              <w:tc>
                <w:tcPr>
                  <w:tcW w:w="561" w:type="pct"/>
                  <w:tcBorders>
                    <w:top w:val="single" w:color="000000" w:sz="4" w:space="0"/>
                    <w:left w:val="single" w:color="000000" w:sz="4" w:space="0"/>
                    <w:bottom w:val="single" w:color="auto" w:sz="12"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rPr>
                  </w:pPr>
                  <w:r>
                    <w:rPr>
                      <w:rFonts w:hint="default" w:ascii="Times New Roman" w:hAnsi="Times New Roman" w:eastAsia="宋体" w:cs="Times New Roman"/>
                      <w:i w:val="0"/>
                      <w:iCs w:val="0"/>
                      <w:color w:val="auto"/>
                      <w:kern w:val="0"/>
                      <w:sz w:val="21"/>
                      <w:szCs w:val="21"/>
                      <w:u w:val="none"/>
                      <w:lang w:val="en-US" w:eastAsia="zh-CN" w:bidi="ar"/>
                    </w:rPr>
                    <w:t>0.036</w:t>
                  </w:r>
                </w:p>
              </w:tc>
              <w:tc>
                <w:tcPr>
                  <w:tcW w:w="399" w:type="pct"/>
                  <w:vMerge w:val="continue"/>
                  <w:tcBorders>
                    <w:left w:val="single" w:color="000000" w:sz="4" w:space="0"/>
                    <w:bottom w:val="single" w:color="auto" w:sz="12" w:space="0"/>
                    <w:right w:val="single" w:color="000000" w:sz="4" w:space="0"/>
                  </w:tcBorders>
                  <w:vAlign w:val="center"/>
                </w:tcPr>
                <w:p>
                  <w:pPr>
                    <w:widowControl/>
                    <w:jc w:val="left"/>
                    <w:rPr>
                      <w:rFonts w:hint="default" w:ascii="Times New Roman" w:hAnsi="Times New Roman" w:eastAsia="宋体" w:cs="Times New Roman"/>
                      <w:color w:val="auto"/>
                      <w:szCs w:val="21"/>
                    </w:rPr>
                  </w:pPr>
                </w:p>
              </w:tc>
              <w:tc>
                <w:tcPr>
                  <w:tcW w:w="540" w:type="pct"/>
                  <w:vMerge w:val="continue"/>
                  <w:tcBorders>
                    <w:left w:val="single" w:color="000000" w:sz="4" w:space="0"/>
                    <w:bottom w:val="single" w:color="auto" w:sz="12"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rPr>
                  </w:pPr>
                </w:p>
              </w:tc>
              <w:tc>
                <w:tcPr>
                  <w:tcW w:w="418" w:type="pct"/>
                  <w:tcBorders>
                    <w:top w:val="single" w:color="000000" w:sz="4" w:space="0"/>
                    <w:left w:val="single" w:color="000000" w:sz="4" w:space="0"/>
                    <w:bottom w:val="single" w:color="auto" w:sz="12" w:space="0"/>
                    <w:right w:val="single" w:color="000000" w:sz="4" w:space="0"/>
                  </w:tcBorders>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50</w:t>
                  </w:r>
                </w:p>
              </w:tc>
              <w:tc>
                <w:tcPr>
                  <w:tcW w:w="549" w:type="pct"/>
                  <w:tcBorders>
                    <w:top w:val="single" w:color="000000" w:sz="4" w:space="0"/>
                    <w:left w:val="single" w:color="000000" w:sz="4" w:space="0"/>
                    <w:bottom w:val="single" w:color="auto" w:sz="12"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rPr>
                  </w:pPr>
                  <w:r>
                    <w:rPr>
                      <w:rFonts w:hint="default" w:ascii="Times New Roman" w:hAnsi="Times New Roman" w:eastAsia="宋体" w:cs="Times New Roman"/>
                      <w:i w:val="0"/>
                      <w:iCs w:val="0"/>
                      <w:color w:val="auto"/>
                      <w:kern w:val="0"/>
                      <w:sz w:val="21"/>
                      <w:szCs w:val="21"/>
                      <w:u w:val="none"/>
                      <w:lang w:val="en-US" w:eastAsia="zh-CN" w:bidi="ar"/>
                    </w:rPr>
                    <w:t>0.036</w:t>
                  </w:r>
                </w:p>
              </w:tc>
              <w:tc>
                <w:tcPr>
                  <w:tcW w:w="415" w:type="pct"/>
                  <w:tcBorders>
                    <w:top w:val="single" w:color="000000" w:sz="4" w:space="0"/>
                    <w:left w:val="single" w:color="000000" w:sz="4" w:space="0"/>
                    <w:bottom w:val="single" w:color="auto" w:sz="12" w:space="0"/>
                    <w:right w:val="single" w:color="000000"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70</w:t>
                  </w:r>
                </w:p>
              </w:tc>
              <w:tc>
                <w:tcPr>
                  <w:tcW w:w="387" w:type="pct"/>
                  <w:vMerge w:val="continue"/>
                  <w:tcBorders>
                    <w:left w:val="single" w:color="000000" w:sz="4" w:space="0"/>
                    <w:bottom w:val="single" w:color="auto" w:sz="12" w:space="0"/>
                    <w:right w:val="nil"/>
                  </w:tcBorders>
                  <w:vAlign w:val="center"/>
                </w:tcPr>
                <w:p>
                  <w:pPr>
                    <w:widowControl/>
                    <w:jc w:val="left"/>
                    <w:rPr>
                      <w:rFonts w:hint="default" w:ascii="Times New Roman" w:hAnsi="Times New Roman" w:eastAsia="宋体" w:cs="Times New Roman"/>
                      <w:color w:val="auto"/>
                      <w:szCs w:val="21"/>
                    </w:rPr>
                  </w:pPr>
                </w:p>
              </w:tc>
            </w:tr>
          </w:tbl>
          <w:p>
            <w:pPr>
              <w:spacing w:line="360" w:lineRule="auto"/>
              <w:ind w:firstLine="422" w:firstLineChars="200"/>
              <w:rPr>
                <w:rFonts w:hint="default" w:ascii="Times New Roman" w:hAnsi="Times New Roman" w:eastAsia="宋体" w:cs="Times New Roman"/>
                <w:b/>
                <w:bCs/>
                <w:color w:val="auto"/>
                <w:sz w:val="24"/>
                <w:lang w:val="en-US"/>
              </w:rPr>
            </w:pPr>
            <w:r>
              <w:rPr>
                <w:rFonts w:hint="eastAsia" w:eastAsia="宋体" w:cs="Times New Roman"/>
                <w:b/>
                <w:bCs/>
                <w:color w:val="auto"/>
                <w:lang w:val="en-US" w:eastAsia="zh-CN"/>
              </w:rPr>
              <w:t>*注：企业生产废水经厂内污水处理站时会有少量污泥产生，年产污泥约20t/a。</w:t>
            </w:r>
          </w:p>
          <w:p>
            <w:pPr>
              <w:spacing w:line="360" w:lineRule="auto"/>
              <w:ind w:firstLine="480" w:firstLineChars="200"/>
              <w:rPr>
                <w:rFonts w:hint="default" w:ascii="Times New Roman" w:hAnsi="Times New Roman" w:eastAsia="宋体" w:cs="Times New Roman"/>
                <w:bCs/>
                <w:color w:val="auto"/>
                <w:sz w:val="24"/>
                <w:lang w:eastAsia="zh-CN"/>
              </w:rPr>
            </w:pPr>
            <w:r>
              <w:rPr>
                <w:rFonts w:hint="default" w:ascii="Times New Roman" w:hAnsi="Times New Roman" w:eastAsia="宋体" w:cs="Times New Roman"/>
                <w:bCs/>
                <w:color w:val="auto"/>
                <w:sz w:val="24"/>
              </w:rPr>
              <w:t>本项目废水间接排放口基本情况表如下</w:t>
            </w:r>
            <w:r>
              <w:rPr>
                <w:rFonts w:hint="default" w:ascii="Times New Roman" w:hAnsi="Times New Roman" w:eastAsia="宋体" w:cs="Times New Roman"/>
                <w:bCs/>
                <w:color w:val="auto"/>
                <w:sz w:val="24"/>
                <w:lang w:eastAsia="zh-CN"/>
              </w:rPr>
              <w:t>：</w:t>
            </w:r>
          </w:p>
          <w:p>
            <w:pPr>
              <w:jc w:val="center"/>
              <w:rPr>
                <w:rFonts w:hint="default" w:ascii="Times New Roman" w:hAnsi="Times New Roman" w:eastAsia="宋体" w:cs="Times New Roman"/>
                <w:b/>
                <w:bCs/>
                <w:color w:val="auto"/>
              </w:rPr>
            </w:pPr>
            <w:r>
              <w:rPr>
                <w:rFonts w:hint="default" w:ascii="Times New Roman" w:hAnsi="Times New Roman" w:eastAsia="宋体" w:cs="Times New Roman"/>
                <w:b/>
                <w:color w:val="auto"/>
                <w:sz w:val="24"/>
              </w:rPr>
              <w:t>表4-1</w:t>
            </w:r>
            <w:r>
              <w:rPr>
                <w:rFonts w:hint="eastAsia" w:cs="Times New Roman"/>
                <w:b/>
                <w:color w:val="auto"/>
                <w:sz w:val="24"/>
                <w:lang w:val="en-US" w:eastAsia="zh-CN"/>
              </w:rPr>
              <w:t>5</w:t>
            </w:r>
            <w:r>
              <w:rPr>
                <w:rFonts w:hint="default" w:ascii="Times New Roman" w:hAnsi="Times New Roman" w:eastAsia="宋体" w:cs="Times New Roman"/>
                <w:b/>
                <w:color w:val="auto"/>
                <w:sz w:val="24"/>
              </w:rPr>
              <w:t xml:space="preserve"> 废水间接排放口基本情况表</w:t>
            </w:r>
          </w:p>
          <w:tbl>
            <w:tblPr>
              <w:tblStyle w:val="22"/>
              <w:tblW w:w="84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7"/>
              <w:gridCol w:w="685"/>
              <w:gridCol w:w="921"/>
              <w:gridCol w:w="840"/>
              <w:gridCol w:w="930"/>
              <w:gridCol w:w="780"/>
              <w:gridCol w:w="495"/>
              <w:gridCol w:w="645"/>
              <w:gridCol w:w="510"/>
              <w:gridCol w:w="870"/>
              <w:gridCol w:w="14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7" w:type="dxa"/>
                  <w:vMerge w:val="restart"/>
                  <w:tcBorders>
                    <w:top w:val="single" w:color="auto" w:sz="12" w:space="0"/>
                    <w:left w:val="nil"/>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rPr>
                    <w:t>序号</w:t>
                  </w:r>
                </w:p>
              </w:tc>
              <w:tc>
                <w:tcPr>
                  <w:tcW w:w="685" w:type="dxa"/>
                  <w:vMerge w:val="restart"/>
                  <w:tcBorders>
                    <w:top w:val="single" w:color="auto" w:sz="12" w:space="0"/>
                    <w:left w:val="nil"/>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rPr>
                    <w:t>排放口编号</w:t>
                  </w:r>
                </w:p>
              </w:tc>
              <w:tc>
                <w:tcPr>
                  <w:tcW w:w="1761" w:type="dxa"/>
                  <w:gridSpan w:val="2"/>
                  <w:tcBorders>
                    <w:top w:val="single" w:color="auto" w:sz="12" w:space="0"/>
                    <w:left w:val="nil"/>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rPr>
                    <w:t>排放口地理坐标</w:t>
                  </w:r>
                </w:p>
              </w:tc>
              <w:tc>
                <w:tcPr>
                  <w:tcW w:w="930" w:type="dxa"/>
                  <w:vMerge w:val="restart"/>
                  <w:tcBorders>
                    <w:top w:val="single" w:color="auto" w:sz="12" w:space="0"/>
                    <w:left w:val="nil"/>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rPr>
                    <w:t>废水排放量/（万t/a）</w:t>
                  </w:r>
                </w:p>
              </w:tc>
              <w:tc>
                <w:tcPr>
                  <w:tcW w:w="780" w:type="dxa"/>
                  <w:vMerge w:val="restart"/>
                  <w:tcBorders>
                    <w:top w:val="single" w:color="auto" w:sz="12" w:space="0"/>
                    <w:left w:val="nil"/>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rPr>
                    <w:t>排放去向</w:t>
                  </w:r>
                </w:p>
              </w:tc>
              <w:tc>
                <w:tcPr>
                  <w:tcW w:w="495" w:type="dxa"/>
                  <w:vMerge w:val="restart"/>
                  <w:tcBorders>
                    <w:top w:val="single" w:color="auto" w:sz="12" w:space="0"/>
                    <w:left w:val="nil"/>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rPr>
                    <w:t>排放规律</w:t>
                  </w:r>
                </w:p>
              </w:tc>
              <w:tc>
                <w:tcPr>
                  <w:tcW w:w="645" w:type="dxa"/>
                  <w:vMerge w:val="restart"/>
                  <w:tcBorders>
                    <w:top w:val="single" w:color="auto" w:sz="12" w:space="0"/>
                    <w:left w:val="nil"/>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rPr>
                    <w:t>间歇排放时段</w:t>
                  </w:r>
                </w:p>
              </w:tc>
              <w:tc>
                <w:tcPr>
                  <w:tcW w:w="2821" w:type="dxa"/>
                  <w:gridSpan w:val="3"/>
                  <w:tcBorders>
                    <w:top w:val="single" w:color="auto" w:sz="12" w:space="0"/>
                    <w:left w:val="nil"/>
                    <w:bottom w:val="nil"/>
                    <w:right w:val="nil"/>
                  </w:tcBorders>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rPr>
                    <w:t>收纳污水处理厂信息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7" w:type="dxa"/>
                  <w:vMerge w:val="continue"/>
                  <w:tcBorders>
                    <w:top w:val="single" w:color="auto" w:sz="12" w:space="0"/>
                    <w:left w:val="nil"/>
                    <w:bottom w:val="single" w:color="auto" w:sz="4" w:space="0"/>
                    <w:right w:val="single" w:color="auto" w:sz="4" w:space="0"/>
                  </w:tcBorders>
                  <w:vAlign w:val="center"/>
                </w:tcPr>
                <w:p>
                  <w:pPr>
                    <w:widowControl/>
                    <w:jc w:val="center"/>
                    <w:rPr>
                      <w:rFonts w:hint="default" w:ascii="Times New Roman" w:hAnsi="Times New Roman" w:eastAsia="宋体" w:cs="Times New Roman"/>
                      <w:b/>
                      <w:bCs/>
                      <w:color w:val="auto"/>
                      <w:szCs w:val="21"/>
                    </w:rPr>
                  </w:pPr>
                </w:p>
              </w:tc>
              <w:tc>
                <w:tcPr>
                  <w:tcW w:w="685" w:type="dxa"/>
                  <w:vMerge w:val="continue"/>
                  <w:tcBorders>
                    <w:top w:val="single" w:color="auto" w:sz="12" w:space="0"/>
                    <w:left w:val="nil"/>
                    <w:bottom w:val="single" w:color="auto" w:sz="4" w:space="0"/>
                    <w:right w:val="single" w:color="auto" w:sz="4" w:space="0"/>
                  </w:tcBorders>
                  <w:vAlign w:val="center"/>
                </w:tcPr>
                <w:p>
                  <w:pPr>
                    <w:widowControl/>
                    <w:jc w:val="center"/>
                    <w:rPr>
                      <w:rFonts w:hint="default" w:ascii="Times New Roman" w:hAnsi="Times New Roman" w:eastAsia="宋体" w:cs="Times New Roman"/>
                      <w:b/>
                      <w:bCs/>
                      <w:color w:val="auto"/>
                      <w:szCs w:val="21"/>
                    </w:rPr>
                  </w:pPr>
                </w:p>
              </w:tc>
              <w:tc>
                <w:tcPr>
                  <w:tcW w:w="921" w:type="dxa"/>
                  <w:tcBorders>
                    <w:top w:val="single" w:color="auto" w:sz="4" w:space="0"/>
                    <w:left w:val="nil"/>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rPr>
                    <w:t>经度</w:t>
                  </w:r>
                </w:p>
              </w:tc>
              <w:tc>
                <w:tcPr>
                  <w:tcW w:w="840" w:type="dxa"/>
                  <w:tcBorders>
                    <w:top w:val="single" w:color="auto" w:sz="4" w:space="0"/>
                    <w:left w:val="nil"/>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rPr>
                    <w:t>纬度</w:t>
                  </w:r>
                </w:p>
              </w:tc>
              <w:tc>
                <w:tcPr>
                  <w:tcW w:w="930" w:type="dxa"/>
                  <w:vMerge w:val="continue"/>
                  <w:tcBorders>
                    <w:top w:val="single" w:color="auto" w:sz="12" w:space="0"/>
                    <w:left w:val="nil"/>
                    <w:bottom w:val="single" w:color="auto" w:sz="4" w:space="0"/>
                    <w:right w:val="single" w:color="auto" w:sz="4" w:space="0"/>
                  </w:tcBorders>
                  <w:vAlign w:val="center"/>
                </w:tcPr>
                <w:p>
                  <w:pPr>
                    <w:widowControl/>
                    <w:jc w:val="center"/>
                    <w:rPr>
                      <w:rFonts w:hint="default" w:ascii="Times New Roman" w:hAnsi="Times New Roman" w:eastAsia="宋体" w:cs="Times New Roman"/>
                      <w:b/>
                      <w:bCs/>
                      <w:color w:val="auto"/>
                      <w:szCs w:val="21"/>
                    </w:rPr>
                  </w:pPr>
                </w:p>
              </w:tc>
              <w:tc>
                <w:tcPr>
                  <w:tcW w:w="780" w:type="dxa"/>
                  <w:vMerge w:val="continue"/>
                  <w:tcBorders>
                    <w:top w:val="single" w:color="auto" w:sz="12" w:space="0"/>
                    <w:left w:val="nil"/>
                    <w:bottom w:val="single" w:color="auto" w:sz="4" w:space="0"/>
                    <w:right w:val="single" w:color="auto" w:sz="4" w:space="0"/>
                  </w:tcBorders>
                  <w:vAlign w:val="center"/>
                </w:tcPr>
                <w:p>
                  <w:pPr>
                    <w:widowControl/>
                    <w:jc w:val="center"/>
                    <w:rPr>
                      <w:rFonts w:hint="default" w:ascii="Times New Roman" w:hAnsi="Times New Roman" w:eastAsia="宋体" w:cs="Times New Roman"/>
                      <w:b/>
                      <w:bCs/>
                      <w:color w:val="auto"/>
                      <w:szCs w:val="21"/>
                    </w:rPr>
                  </w:pPr>
                </w:p>
              </w:tc>
              <w:tc>
                <w:tcPr>
                  <w:tcW w:w="495" w:type="dxa"/>
                  <w:vMerge w:val="continue"/>
                  <w:tcBorders>
                    <w:top w:val="single" w:color="auto" w:sz="12" w:space="0"/>
                    <w:left w:val="nil"/>
                    <w:bottom w:val="single" w:color="auto" w:sz="4" w:space="0"/>
                    <w:right w:val="single" w:color="auto" w:sz="4" w:space="0"/>
                  </w:tcBorders>
                  <w:vAlign w:val="center"/>
                </w:tcPr>
                <w:p>
                  <w:pPr>
                    <w:widowControl/>
                    <w:jc w:val="center"/>
                    <w:rPr>
                      <w:rFonts w:hint="default" w:ascii="Times New Roman" w:hAnsi="Times New Roman" w:eastAsia="宋体" w:cs="Times New Roman"/>
                      <w:b/>
                      <w:bCs/>
                      <w:color w:val="auto"/>
                      <w:szCs w:val="21"/>
                    </w:rPr>
                  </w:pPr>
                </w:p>
              </w:tc>
              <w:tc>
                <w:tcPr>
                  <w:tcW w:w="645" w:type="dxa"/>
                  <w:vMerge w:val="continue"/>
                  <w:tcBorders>
                    <w:top w:val="single" w:color="auto" w:sz="12" w:space="0"/>
                    <w:left w:val="nil"/>
                    <w:bottom w:val="single" w:color="auto" w:sz="4" w:space="0"/>
                    <w:right w:val="single" w:color="auto" w:sz="4" w:space="0"/>
                  </w:tcBorders>
                  <w:vAlign w:val="center"/>
                </w:tcPr>
                <w:p>
                  <w:pPr>
                    <w:widowControl/>
                    <w:jc w:val="center"/>
                    <w:rPr>
                      <w:rFonts w:hint="default" w:ascii="Times New Roman" w:hAnsi="Times New Roman" w:eastAsia="宋体" w:cs="Times New Roman"/>
                      <w:b/>
                      <w:bCs/>
                      <w:color w:val="auto"/>
                      <w:szCs w:val="21"/>
                    </w:rPr>
                  </w:pPr>
                </w:p>
              </w:tc>
              <w:tc>
                <w:tcPr>
                  <w:tcW w:w="510" w:type="dxa"/>
                  <w:tcBorders>
                    <w:top w:val="single" w:color="auto" w:sz="4" w:space="0"/>
                    <w:left w:val="nil"/>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rPr>
                    <w:t>名称</w:t>
                  </w:r>
                </w:p>
              </w:tc>
              <w:tc>
                <w:tcPr>
                  <w:tcW w:w="870" w:type="dxa"/>
                  <w:tcBorders>
                    <w:top w:val="single" w:color="auto" w:sz="4" w:space="0"/>
                    <w:left w:val="nil"/>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rPr>
                    <w:t>污染物种类</w:t>
                  </w:r>
                </w:p>
              </w:tc>
              <w:tc>
                <w:tcPr>
                  <w:tcW w:w="1441" w:type="dxa"/>
                  <w:tcBorders>
                    <w:top w:val="single" w:color="auto" w:sz="4" w:space="0"/>
                    <w:left w:val="nil"/>
                    <w:bottom w:val="single" w:color="auto" w:sz="4" w:space="0"/>
                    <w:right w:val="nil"/>
                  </w:tcBorders>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rPr>
                    <w:t>国家或地方污染物排放标准浓度限值/（mg/L）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37" w:type="dxa"/>
                  <w:vMerge w:val="restart"/>
                  <w:tcBorders>
                    <w:top w:val="nil"/>
                    <w:left w:val="nil"/>
                    <w:right w:val="single" w:color="auto"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1</w:t>
                  </w:r>
                </w:p>
              </w:tc>
              <w:tc>
                <w:tcPr>
                  <w:tcW w:w="685" w:type="dxa"/>
                  <w:vMerge w:val="restart"/>
                  <w:tcBorders>
                    <w:top w:val="nil"/>
                    <w:left w:val="nil"/>
                    <w:right w:val="single" w:color="auto"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DW001</w:t>
                  </w:r>
                </w:p>
              </w:tc>
              <w:tc>
                <w:tcPr>
                  <w:tcW w:w="921" w:type="dxa"/>
                  <w:vMerge w:val="restart"/>
                  <w:tcBorders>
                    <w:top w:val="nil"/>
                    <w:left w:val="nil"/>
                    <w:right w:val="single" w:color="auto"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119.</w:t>
                  </w:r>
                  <w:r>
                    <w:rPr>
                      <w:rFonts w:hint="default" w:ascii="Times New Roman" w:hAnsi="Times New Roman" w:eastAsia="宋体" w:cs="Times New Roman"/>
                      <w:color w:val="auto"/>
                      <w:lang w:val="en-US" w:eastAsia="zh-CN"/>
                    </w:rPr>
                    <w:t>90</w:t>
                  </w:r>
                  <w:r>
                    <w:rPr>
                      <w:rFonts w:hint="default" w:ascii="Times New Roman" w:hAnsi="Times New Roman" w:eastAsia="宋体" w:cs="Times New Roman"/>
                      <w:color w:val="auto"/>
                    </w:rPr>
                    <w:t>°</w:t>
                  </w:r>
                </w:p>
              </w:tc>
              <w:tc>
                <w:tcPr>
                  <w:tcW w:w="840" w:type="dxa"/>
                  <w:vMerge w:val="restart"/>
                  <w:tcBorders>
                    <w:top w:val="nil"/>
                    <w:left w:val="nil"/>
                    <w:right w:val="single" w:color="auto"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31.</w:t>
                  </w:r>
                  <w:r>
                    <w:rPr>
                      <w:rFonts w:hint="default" w:ascii="Times New Roman" w:hAnsi="Times New Roman" w:eastAsia="宋体" w:cs="Times New Roman"/>
                      <w:color w:val="auto"/>
                      <w:lang w:val="en-US" w:eastAsia="zh-CN"/>
                    </w:rPr>
                    <w:t>58</w:t>
                  </w:r>
                  <w:r>
                    <w:rPr>
                      <w:rFonts w:hint="default" w:ascii="Times New Roman" w:hAnsi="Times New Roman" w:eastAsia="宋体" w:cs="Times New Roman"/>
                      <w:color w:val="auto"/>
                    </w:rPr>
                    <w:t>°</w:t>
                  </w:r>
                </w:p>
              </w:tc>
              <w:tc>
                <w:tcPr>
                  <w:tcW w:w="930" w:type="dxa"/>
                  <w:vMerge w:val="restart"/>
                  <w:tcBorders>
                    <w:top w:val="nil"/>
                    <w:left w:val="nil"/>
                    <w:right w:val="single" w:color="auto" w:sz="4" w:space="0"/>
                  </w:tcBorders>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rPr>
                    <w:t>0.</w:t>
                  </w:r>
                  <w:r>
                    <w:rPr>
                      <w:rFonts w:hint="eastAsia" w:cs="Times New Roman"/>
                      <w:color w:val="auto"/>
                      <w:lang w:val="en-US" w:eastAsia="zh-CN"/>
                    </w:rPr>
                    <w:t>24619</w:t>
                  </w:r>
                </w:p>
              </w:tc>
              <w:tc>
                <w:tcPr>
                  <w:tcW w:w="780" w:type="dxa"/>
                  <w:vMerge w:val="restart"/>
                  <w:tcBorders>
                    <w:top w:val="nil"/>
                    <w:left w:val="nil"/>
                    <w:right w:val="single" w:color="auto"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进入城市污水处理厂</w:t>
                  </w:r>
                </w:p>
              </w:tc>
              <w:tc>
                <w:tcPr>
                  <w:tcW w:w="495" w:type="dxa"/>
                  <w:vMerge w:val="restart"/>
                  <w:tcBorders>
                    <w:top w:val="nil"/>
                    <w:left w:val="nil"/>
                    <w:right w:val="single" w:color="auto"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间断排放</w:t>
                  </w:r>
                </w:p>
              </w:tc>
              <w:tc>
                <w:tcPr>
                  <w:tcW w:w="645" w:type="dxa"/>
                  <w:vMerge w:val="restart"/>
                  <w:tcBorders>
                    <w:top w:val="nil"/>
                    <w:left w:val="nil"/>
                    <w:right w:val="single" w:color="auto"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全天</w:t>
                  </w:r>
                </w:p>
              </w:tc>
              <w:tc>
                <w:tcPr>
                  <w:tcW w:w="510" w:type="dxa"/>
                  <w:vMerge w:val="restart"/>
                  <w:tcBorders>
                    <w:top w:val="nil"/>
                    <w:left w:val="nil"/>
                    <w:right w:val="single" w:color="auto"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武南污水处理厂</w:t>
                  </w:r>
                </w:p>
              </w:tc>
              <w:tc>
                <w:tcPr>
                  <w:tcW w:w="870" w:type="dxa"/>
                  <w:tcBorders>
                    <w:top w:val="single" w:color="auto" w:sz="4" w:space="0"/>
                    <w:left w:val="nil"/>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COD</w:t>
                  </w:r>
                </w:p>
              </w:tc>
              <w:tc>
                <w:tcPr>
                  <w:tcW w:w="1441" w:type="dxa"/>
                  <w:tcBorders>
                    <w:top w:val="single" w:color="auto" w:sz="4" w:space="0"/>
                    <w:left w:val="nil"/>
                    <w:bottom w:val="single" w:color="auto" w:sz="4" w:space="0"/>
                    <w:right w:val="nil"/>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37" w:type="dxa"/>
                  <w:vMerge w:val="continue"/>
                  <w:tcBorders>
                    <w:left w:val="nil"/>
                    <w:right w:val="single" w:color="auto" w:sz="4" w:space="0"/>
                  </w:tcBorders>
                  <w:vAlign w:val="center"/>
                </w:tcPr>
                <w:p>
                  <w:pPr>
                    <w:widowControl/>
                    <w:jc w:val="center"/>
                    <w:rPr>
                      <w:rFonts w:hint="default" w:ascii="Times New Roman" w:hAnsi="Times New Roman" w:eastAsia="宋体" w:cs="Times New Roman"/>
                      <w:color w:val="auto"/>
                      <w:szCs w:val="21"/>
                    </w:rPr>
                  </w:pPr>
                </w:p>
              </w:tc>
              <w:tc>
                <w:tcPr>
                  <w:tcW w:w="685" w:type="dxa"/>
                  <w:vMerge w:val="continue"/>
                  <w:tcBorders>
                    <w:left w:val="nil"/>
                    <w:right w:val="single" w:color="auto" w:sz="4" w:space="0"/>
                  </w:tcBorders>
                  <w:vAlign w:val="center"/>
                </w:tcPr>
                <w:p>
                  <w:pPr>
                    <w:widowControl/>
                    <w:jc w:val="center"/>
                    <w:rPr>
                      <w:rFonts w:hint="default" w:ascii="Times New Roman" w:hAnsi="Times New Roman" w:eastAsia="宋体" w:cs="Times New Roman"/>
                      <w:color w:val="auto"/>
                      <w:szCs w:val="21"/>
                    </w:rPr>
                  </w:pPr>
                </w:p>
              </w:tc>
              <w:tc>
                <w:tcPr>
                  <w:tcW w:w="921" w:type="dxa"/>
                  <w:vMerge w:val="continue"/>
                  <w:tcBorders>
                    <w:left w:val="nil"/>
                    <w:right w:val="single" w:color="auto" w:sz="4" w:space="0"/>
                  </w:tcBorders>
                  <w:vAlign w:val="center"/>
                </w:tcPr>
                <w:p>
                  <w:pPr>
                    <w:widowControl/>
                    <w:jc w:val="center"/>
                    <w:rPr>
                      <w:rFonts w:hint="default" w:ascii="Times New Roman" w:hAnsi="Times New Roman" w:eastAsia="宋体" w:cs="Times New Roman"/>
                      <w:color w:val="auto"/>
                      <w:szCs w:val="21"/>
                    </w:rPr>
                  </w:pPr>
                </w:p>
              </w:tc>
              <w:tc>
                <w:tcPr>
                  <w:tcW w:w="840" w:type="dxa"/>
                  <w:vMerge w:val="continue"/>
                  <w:tcBorders>
                    <w:left w:val="nil"/>
                    <w:right w:val="single" w:color="auto" w:sz="4" w:space="0"/>
                  </w:tcBorders>
                  <w:vAlign w:val="center"/>
                </w:tcPr>
                <w:p>
                  <w:pPr>
                    <w:widowControl/>
                    <w:jc w:val="center"/>
                    <w:rPr>
                      <w:rFonts w:hint="default" w:ascii="Times New Roman" w:hAnsi="Times New Roman" w:eastAsia="宋体" w:cs="Times New Roman"/>
                      <w:color w:val="auto"/>
                      <w:szCs w:val="21"/>
                    </w:rPr>
                  </w:pPr>
                </w:p>
              </w:tc>
              <w:tc>
                <w:tcPr>
                  <w:tcW w:w="930" w:type="dxa"/>
                  <w:vMerge w:val="continue"/>
                  <w:tcBorders>
                    <w:left w:val="nil"/>
                    <w:right w:val="single" w:color="auto" w:sz="4" w:space="0"/>
                  </w:tcBorders>
                  <w:vAlign w:val="center"/>
                </w:tcPr>
                <w:p>
                  <w:pPr>
                    <w:widowControl/>
                    <w:jc w:val="center"/>
                    <w:rPr>
                      <w:rFonts w:hint="default" w:ascii="Times New Roman" w:hAnsi="Times New Roman" w:eastAsia="宋体" w:cs="Times New Roman"/>
                      <w:color w:val="auto"/>
                      <w:szCs w:val="21"/>
                    </w:rPr>
                  </w:pPr>
                </w:p>
              </w:tc>
              <w:tc>
                <w:tcPr>
                  <w:tcW w:w="780" w:type="dxa"/>
                  <w:vMerge w:val="continue"/>
                  <w:tcBorders>
                    <w:left w:val="nil"/>
                    <w:right w:val="single" w:color="auto" w:sz="4" w:space="0"/>
                  </w:tcBorders>
                  <w:vAlign w:val="center"/>
                </w:tcPr>
                <w:p>
                  <w:pPr>
                    <w:widowControl/>
                    <w:jc w:val="center"/>
                    <w:rPr>
                      <w:rFonts w:hint="default" w:ascii="Times New Roman" w:hAnsi="Times New Roman" w:eastAsia="宋体" w:cs="Times New Roman"/>
                      <w:color w:val="auto"/>
                      <w:szCs w:val="21"/>
                    </w:rPr>
                  </w:pPr>
                </w:p>
              </w:tc>
              <w:tc>
                <w:tcPr>
                  <w:tcW w:w="495" w:type="dxa"/>
                  <w:vMerge w:val="continue"/>
                  <w:tcBorders>
                    <w:left w:val="nil"/>
                    <w:right w:val="single" w:color="auto" w:sz="4" w:space="0"/>
                  </w:tcBorders>
                  <w:vAlign w:val="center"/>
                </w:tcPr>
                <w:p>
                  <w:pPr>
                    <w:widowControl/>
                    <w:jc w:val="center"/>
                    <w:rPr>
                      <w:rFonts w:hint="default" w:ascii="Times New Roman" w:hAnsi="Times New Roman" w:eastAsia="宋体" w:cs="Times New Roman"/>
                      <w:color w:val="auto"/>
                      <w:szCs w:val="21"/>
                    </w:rPr>
                  </w:pPr>
                </w:p>
              </w:tc>
              <w:tc>
                <w:tcPr>
                  <w:tcW w:w="645" w:type="dxa"/>
                  <w:vMerge w:val="continue"/>
                  <w:tcBorders>
                    <w:left w:val="nil"/>
                    <w:right w:val="single" w:color="auto" w:sz="4" w:space="0"/>
                  </w:tcBorders>
                  <w:vAlign w:val="center"/>
                </w:tcPr>
                <w:p>
                  <w:pPr>
                    <w:widowControl/>
                    <w:jc w:val="center"/>
                    <w:rPr>
                      <w:rFonts w:hint="default" w:ascii="Times New Roman" w:hAnsi="Times New Roman" w:eastAsia="宋体" w:cs="Times New Roman"/>
                      <w:color w:val="auto"/>
                      <w:szCs w:val="21"/>
                    </w:rPr>
                  </w:pPr>
                </w:p>
              </w:tc>
              <w:tc>
                <w:tcPr>
                  <w:tcW w:w="510" w:type="dxa"/>
                  <w:vMerge w:val="continue"/>
                  <w:tcBorders>
                    <w:left w:val="nil"/>
                    <w:right w:val="single" w:color="auto" w:sz="4" w:space="0"/>
                  </w:tcBorders>
                  <w:vAlign w:val="center"/>
                </w:tcPr>
                <w:p>
                  <w:pPr>
                    <w:widowControl/>
                    <w:jc w:val="center"/>
                    <w:rPr>
                      <w:rFonts w:hint="default" w:ascii="Times New Roman" w:hAnsi="Times New Roman" w:eastAsia="宋体" w:cs="Times New Roman"/>
                      <w:color w:val="auto"/>
                      <w:szCs w:val="21"/>
                    </w:rPr>
                  </w:pPr>
                </w:p>
              </w:tc>
              <w:tc>
                <w:tcPr>
                  <w:tcW w:w="870" w:type="dxa"/>
                  <w:tcBorders>
                    <w:top w:val="single" w:color="auto" w:sz="4" w:space="0"/>
                    <w:left w:val="nil"/>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SS</w:t>
                  </w:r>
                </w:p>
              </w:tc>
              <w:tc>
                <w:tcPr>
                  <w:tcW w:w="1441" w:type="dxa"/>
                  <w:tcBorders>
                    <w:top w:val="single" w:color="auto" w:sz="4" w:space="0"/>
                    <w:left w:val="nil"/>
                    <w:bottom w:val="single" w:color="auto" w:sz="4" w:space="0"/>
                    <w:right w:val="nil"/>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27" w:hRule="atLeast"/>
                <w:jc w:val="center"/>
              </w:trPr>
              <w:tc>
                <w:tcPr>
                  <w:tcW w:w="337" w:type="dxa"/>
                  <w:vMerge w:val="continue"/>
                  <w:tcBorders>
                    <w:left w:val="nil"/>
                    <w:right w:val="single" w:color="auto" w:sz="4" w:space="0"/>
                  </w:tcBorders>
                  <w:vAlign w:val="center"/>
                </w:tcPr>
                <w:p>
                  <w:pPr>
                    <w:widowControl/>
                    <w:jc w:val="center"/>
                    <w:rPr>
                      <w:rFonts w:hint="default" w:ascii="Times New Roman" w:hAnsi="Times New Roman" w:eastAsia="宋体" w:cs="Times New Roman"/>
                      <w:color w:val="auto"/>
                      <w:szCs w:val="21"/>
                    </w:rPr>
                  </w:pPr>
                </w:p>
              </w:tc>
              <w:tc>
                <w:tcPr>
                  <w:tcW w:w="685" w:type="dxa"/>
                  <w:vMerge w:val="continue"/>
                  <w:tcBorders>
                    <w:left w:val="nil"/>
                    <w:right w:val="single" w:color="auto" w:sz="4" w:space="0"/>
                  </w:tcBorders>
                  <w:vAlign w:val="center"/>
                </w:tcPr>
                <w:p>
                  <w:pPr>
                    <w:widowControl/>
                    <w:jc w:val="center"/>
                    <w:rPr>
                      <w:rFonts w:hint="default" w:ascii="Times New Roman" w:hAnsi="Times New Roman" w:eastAsia="宋体" w:cs="Times New Roman"/>
                      <w:color w:val="auto"/>
                      <w:szCs w:val="21"/>
                    </w:rPr>
                  </w:pPr>
                </w:p>
              </w:tc>
              <w:tc>
                <w:tcPr>
                  <w:tcW w:w="921" w:type="dxa"/>
                  <w:vMerge w:val="continue"/>
                  <w:tcBorders>
                    <w:left w:val="nil"/>
                    <w:right w:val="single" w:color="auto" w:sz="4" w:space="0"/>
                  </w:tcBorders>
                  <w:vAlign w:val="center"/>
                </w:tcPr>
                <w:p>
                  <w:pPr>
                    <w:widowControl/>
                    <w:jc w:val="center"/>
                    <w:rPr>
                      <w:rFonts w:hint="default" w:ascii="Times New Roman" w:hAnsi="Times New Roman" w:eastAsia="宋体" w:cs="Times New Roman"/>
                      <w:color w:val="auto"/>
                      <w:szCs w:val="21"/>
                    </w:rPr>
                  </w:pPr>
                </w:p>
              </w:tc>
              <w:tc>
                <w:tcPr>
                  <w:tcW w:w="840" w:type="dxa"/>
                  <w:vMerge w:val="continue"/>
                  <w:tcBorders>
                    <w:left w:val="nil"/>
                    <w:right w:val="single" w:color="auto" w:sz="4" w:space="0"/>
                  </w:tcBorders>
                  <w:vAlign w:val="center"/>
                </w:tcPr>
                <w:p>
                  <w:pPr>
                    <w:widowControl/>
                    <w:jc w:val="center"/>
                    <w:rPr>
                      <w:rFonts w:hint="default" w:ascii="Times New Roman" w:hAnsi="Times New Roman" w:eastAsia="宋体" w:cs="Times New Roman"/>
                      <w:color w:val="auto"/>
                      <w:szCs w:val="21"/>
                    </w:rPr>
                  </w:pPr>
                </w:p>
              </w:tc>
              <w:tc>
                <w:tcPr>
                  <w:tcW w:w="930" w:type="dxa"/>
                  <w:vMerge w:val="continue"/>
                  <w:tcBorders>
                    <w:left w:val="nil"/>
                    <w:right w:val="single" w:color="auto" w:sz="4" w:space="0"/>
                  </w:tcBorders>
                  <w:vAlign w:val="center"/>
                </w:tcPr>
                <w:p>
                  <w:pPr>
                    <w:widowControl/>
                    <w:jc w:val="center"/>
                    <w:rPr>
                      <w:rFonts w:hint="default" w:ascii="Times New Roman" w:hAnsi="Times New Roman" w:eastAsia="宋体" w:cs="Times New Roman"/>
                      <w:color w:val="auto"/>
                      <w:szCs w:val="21"/>
                    </w:rPr>
                  </w:pPr>
                </w:p>
              </w:tc>
              <w:tc>
                <w:tcPr>
                  <w:tcW w:w="780" w:type="dxa"/>
                  <w:vMerge w:val="continue"/>
                  <w:tcBorders>
                    <w:left w:val="nil"/>
                    <w:right w:val="single" w:color="auto" w:sz="4" w:space="0"/>
                  </w:tcBorders>
                  <w:vAlign w:val="center"/>
                </w:tcPr>
                <w:p>
                  <w:pPr>
                    <w:widowControl/>
                    <w:jc w:val="center"/>
                    <w:rPr>
                      <w:rFonts w:hint="default" w:ascii="Times New Roman" w:hAnsi="Times New Roman" w:eastAsia="宋体" w:cs="Times New Roman"/>
                      <w:color w:val="auto"/>
                      <w:szCs w:val="21"/>
                    </w:rPr>
                  </w:pPr>
                </w:p>
              </w:tc>
              <w:tc>
                <w:tcPr>
                  <w:tcW w:w="495" w:type="dxa"/>
                  <w:vMerge w:val="continue"/>
                  <w:tcBorders>
                    <w:left w:val="nil"/>
                    <w:right w:val="single" w:color="auto" w:sz="4" w:space="0"/>
                  </w:tcBorders>
                  <w:vAlign w:val="center"/>
                </w:tcPr>
                <w:p>
                  <w:pPr>
                    <w:widowControl/>
                    <w:jc w:val="center"/>
                    <w:rPr>
                      <w:rFonts w:hint="default" w:ascii="Times New Roman" w:hAnsi="Times New Roman" w:eastAsia="宋体" w:cs="Times New Roman"/>
                      <w:color w:val="auto"/>
                      <w:szCs w:val="21"/>
                    </w:rPr>
                  </w:pPr>
                </w:p>
              </w:tc>
              <w:tc>
                <w:tcPr>
                  <w:tcW w:w="645" w:type="dxa"/>
                  <w:vMerge w:val="continue"/>
                  <w:tcBorders>
                    <w:left w:val="nil"/>
                    <w:right w:val="single" w:color="auto" w:sz="4" w:space="0"/>
                  </w:tcBorders>
                  <w:vAlign w:val="center"/>
                </w:tcPr>
                <w:p>
                  <w:pPr>
                    <w:widowControl/>
                    <w:jc w:val="center"/>
                    <w:rPr>
                      <w:rFonts w:hint="default" w:ascii="Times New Roman" w:hAnsi="Times New Roman" w:eastAsia="宋体" w:cs="Times New Roman"/>
                      <w:color w:val="auto"/>
                      <w:szCs w:val="21"/>
                    </w:rPr>
                  </w:pPr>
                </w:p>
              </w:tc>
              <w:tc>
                <w:tcPr>
                  <w:tcW w:w="510" w:type="dxa"/>
                  <w:vMerge w:val="continue"/>
                  <w:tcBorders>
                    <w:left w:val="nil"/>
                    <w:right w:val="single" w:color="auto" w:sz="4" w:space="0"/>
                  </w:tcBorders>
                  <w:vAlign w:val="center"/>
                </w:tcPr>
                <w:p>
                  <w:pPr>
                    <w:widowControl/>
                    <w:jc w:val="center"/>
                    <w:rPr>
                      <w:rFonts w:hint="default" w:ascii="Times New Roman" w:hAnsi="Times New Roman" w:eastAsia="宋体" w:cs="Times New Roman"/>
                      <w:color w:val="auto"/>
                      <w:szCs w:val="21"/>
                    </w:rPr>
                  </w:pPr>
                </w:p>
              </w:tc>
              <w:tc>
                <w:tcPr>
                  <w:tcW w:w="870" w:type="dxa"/>
                  <w:tcBorders>
                    <w:top w:val="single" w:color="auto" w:sz="4" w:space="0"/>
                    <w:left w:val="nil"/>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氨氮</w:t>
                  </w:r>
                </w:p>
              </w:tc>
              <w:tc>
                <w:tcPr>
                  <w:tcW w:w="1441" w:type="dxa"/>
                  <w:tcBorders>
                    <w:top w:val="single" w:color="auto" w:sz="4" w:space="0"/>
                    <w:left w:val="nil"/>
                    <w:bottom w:val="single" w:color="auto" w:sz="4" w:space="0"/>
                    <w:right w:val="nil"/>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37" w:type="dxa"/>
                  <w:vMerge w:val="continue"/>
                  <w:tcBorders>
                    <w:left w:val="nil"/>
                    <w:right w:val="single" w:color="auto" w:sz="4" w:space="0"/>
                  </w:tcBorders>
                  <w:vAlign w:val="center"/>
                </w:tcPr>
                <w:p>
                  <w:pPr>
                    <w:widowControl/>
                    <w:jc w:val="center"/>
                    <w:rPr>
                      <w:rFonts w:hint="default" w:ascii="Times New Roman" w:hAnsi="Times New Roman" w:eastAsia="宋体" w:cs="Times New Roman"/>
                      <w:color w:val="auto"/>
                      <w:szCs w:val="21"/>
                    </w:rPr>
                  </w:pPr>
                </w:p>
              </w:tc>
              <w:tc>
                <w:tcPr>
                  <w:tcW w:w="685" w:type="dxa"/>
                  <w:vMerge w:val="continue"/>
                  <w:tcBorders>
                    <w:left w:val="nil"/>
                    <w:right w:val="single" w:color="auto" w:sz="4" w:space="0"/>
                  </w:tcBorders>
                  <w:vAlign w:val="center"/>
                </w:tcPr>
                <w:p>
                  <w:pPr>
                    <w:widowControl/>
                    <w:jc w:val="center"/>
                    <w:rPr>
                      <w:rFonts w:hint="default" w:ascii="Times New Roman" w:hAnsi="Times New Roman" w:eastAsia="宋体" w:cs="Times New Roman"/>
                      <w:color w:val="auto"/>
                      <w:szCs w:val="21"/>
                    </w:rPr>
                  </w:pPr>
                </w:p>
              </w:tc>
              <w:tc>
                <w:tcPr>
                  <w:tcW w:w="921" w:type="dxa"/>
                  <w:vMerge w:val="continue"/>
                  <w:tcBorders>
                    <w:left w:val="nil"/>
                    <w:right w:val="single" w:color="auto" w:sz="4" w:space="0"/>
                  </w:tcBorders>
                  <w:vAlign w:val="center"/>
                </w:tcPr>
                <w:p>
                  <w:pPr>
                    <w:widowControl/>
                    <w:jc w:val="center"/>
                    <w:rPr>
                      <w:rFonts w:hint="default" w:ascii="Times New Roman" w:hAnsi="Times New Roman" w:eastAsia="宋体" w:cs="Times New Roman"/>
                      <w:color w:val="auto"/>
                      <w:szCs w:val="21"/>
                    </w:rPr>
                  </w:pPr>
                </w:p>
              </w:tc>
              <w:tc>
                <w:tcPr>
                  <w:tcW w:w="840" w:type="dxa"/>
                  <w:vMerge w:val="continue"/>
                  <w:tcBorders>
                    <w:left w:val="nil"/>
                    <w:right w:val="single" w:color="auto" w:sz="4" w:space="0"/>
                  </w:tcBorders>
                  <w:vAlign w:val="center"/>
                </w:tcPr>
                <w:p>
                  <w:pPr>
                    <w:widowControl/>
                    <w:jc w:val="center"/>
                    <w:rPr>
                      <w:rFonts w:hint="default" w:ascii="Times New Roman" w:hAnsi="Times New Roman" w:eastAsia="宋体" w:cs="Times New Roman"/>
                      <w:color w:val="auto"/>
                      <w:szCs w:val="21"/>
                    </w:rPr>
                  </w:pPr>
                </w:p>
              </w:tc>
              <w:tc>
                <w:tcPr>
                  <w:tcW w:w="930" w:type="dxa"/>
                  <w:vMerge w:val="continue"/>
                  <w:tcBorders>
                    <w:left w:val="nil"/>
                    <w:right w:val="single" w:color="auto" w:sz="4" w:space="0"/>
                  </w:tcBorders>
                  <w:vAlign w:val="center"/>
                </w:tcPr>
                <w:p>
                  <w:pPr>
                    <w:widowControl/>
                    <w:jc w:val="center"/>
                    <w:rPr>
                      <w:rFonts w:hint="default" w:ascii="Times New Roman" w:hAnsi="Times New Roman" w:eastAsia="宋体" w:cs="Times New Roman"/>
                      <w:color w:val="auto"/>
                      <w:szCs w:val="21"/>
                    </w:rPr>
                  </w:pPr>
                </w:p>
              </w:tc>
              <w:tc>
                <w:tcPr>
                  <w:tcW w:w="780" w:type="dxa"/>
                  <w:vMerge w:val="continue"/>
                  <w:tcBorders>
                    <w:left w:val="nil"/>
                    <w:right w:val="single" w:color="auto" w:sz="4" w:space="0"/>
                  </w:tcBorders>
                  <w:vAlign w:val="center"/>
                </w:tcPr>
                <w:p>
                  <w:pPr>
                    <w:widowControl/>
                    <w:jc w:val="center"/>
                    <w:rPr>
                      <w:rFonts w:hint="default" w:ascii="Times New Roman" w:hAnsi="Times New Roman" w:eastAsia="宋体" w:cs="Times New Roman"/>
                      <w:color w:val="auto"/>
                      <w:szCs w:val="21"/>
                    </w:rPr>
                  </w:pPr>
                </w:p>
              </w:tc>
              <w:tc>
                <w:tcPr>
                  <w:tcW w:w="495" w:type="dxa"/>
                  <w:vMerge w:val="continue"/>
                  <w:tcBorders>
                    <w:left w:val="nil"/>
                    <w:right w:val="single" w:color="auto" w:sz="4" w:space="0"/>
                  </w:tcBorders>
                  <w:vAlign w:val="center"/>
                </w:tcPr>
                <w:p>
                  <w:pPr>
                    <w:widowControl/>
                    <w:jc w:val="center"/>
                    <w:rPr>
                      <w:rFonts w:hint="default" w:ascii="Times New Roman" w:hAnsi="Times New Roman" w:eastAsia="宋体" w:cs="Times New Roman"/>
                      <w:color w:val="auto"/>
                      <w:szCs w:val="21"/>
                    </w:rPr>
                  </w:pPr>
                </w:p>
              </w:tc>
              <w:tc>
                <w:tcPr>
                  <w:tcW w:w="645" w:type="dxa"/>
                  <w:vMerge w:val="continue"/>
                  <w:tcBorders>
                    <w:left w:val="nil"/>
                    <w:right w:val="single" w:color="auto" w:sz="4" w:space="0"/>
                  </w:tcBorders>
                  <w:vAlign w:val="center"/>
                </w:tcPr>
                <w:p>
                  <w:pPr>
                    <w:widowControl/>
                    <w:jc w:val="center"/>
                    <w:rPr>
                      <w:rFonts w:hint="default" w:ascii="Times New Roman" w:hAnsi="Times New Roman" w:eastAsia="宋体" w:cs="Times New Roman"/>
                      <w:color w:val="auto"/>
                      <w:szCs w:val="21"/>
                    </w:rPr>
                  </w:pPr>
                </w:p>
              </w:tc>
              <w:tc>
                <w:tcPr>
                  <w:tcW w:w="510" w:type="dxa"/>
                  <w:vMerge w:val="continue"/>
                  <w:tcBorders>
                    <w:left w:val="nil"/>
                    <w:right w:val="single" w:color="auto" w:sz="4" w:space="0"/>
                  </w:tcBorders>
                  <w:vAlign w:val="center"/>
                </w:tcPr>
                <w:p>
                  <w:pPr>
                    <w:widowControl/>
                    <w:jc w:val="center"/>
                    <w:rPr>
                      <w:rFonts w:hint="default" w:ascii="Times New Roman" w:hAnsi="Times New Roman" w:eastAsia="宋体" w:cs="Times New Roman"/>
                      <w:color w:val="auto"/>
                      <w:szCs w:val="21"/>
                    </w:rPr>
                  </w:pPr>
                </w:p>
              </w:tc>
              <w:tc>
                <w:tcPr>
                  <w:tcW w:w="870" w:type="dxa"/>
                  <w:tcBorders>
                    <w:top w:val="single" w:color="auto" w:sz="4" w:space="0"/>
                    <w:left w:val="nil"/>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总氮</w:t>
                  </w:r>
                </w:p>
              </w:tc>
              <w:tc>
                <w:tcPr>
                  <w:tcW w:w="1441" w:type="dxa"/>
                  <w:tcBorders>
                    <w:top w:val="single" w:color="auto" w:sz="4" w:space="0"/>
                    <w:left w:val="nil"/>
                    <w:bottom w:val="single" w:color="auto" w:sz="4" w:space="0"/>
                    <w:right w:val="nil"/>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12（15）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37" w:type="dxa"/>
                  <w:vMerge w:val="continue"/>
                  <w:tcBorders>
                    <w:left w:val="nil"/>
                    <w:right w:val="single" w:color="auto" w:sz="4" w:space="0"/>
                  </w:tcBorders>
                  <w:vAlign w:val="center"/>
                </w:tcPr>
                <w:p>
                  <w:pPr>
                    <w:widowControl/>
                    <w:jc w:val="center"/>
                    <w:rPr>
                      <w:rFonts w:hint="default" w:ascii="Times New Roman" w:hAnsi="Times New Roman" w:eastAsia="宋体" w:cs="Times New Roman"/>
                      <w:color w:val="auto"/>
                      <w:szCs w:val="21"/>
                    </w:rPr>
                  </w:pPr>
                </w:p>
              </w:tc>
              <w:tc>
                <w:tcPr>
                  <w:tcW w:w="685" w:type="dxa"/>
                  <w:vMerge w:val="continue"/>
                  <w:tcBorders>
                    <w:left w:val="nil"/>
                    <w:right w:val="single" w:color="auto" w:sz="4" w:space="0"/>
                  </w:tcBorders>
                  <w:vAlign w:val="center"/>
                </w:tcPr>
                <w:p>
                  <w:pPr>
                    <w:widowControl/>
                    <w:jc w:val="center"/>
                    <w:rPr>
                      <w:rFonts w:hint="default" w:ascii="Times New Roman" w:hAnsi="Times New Roman" w:eastAsia="宋体" w:cs="Times New Roman"/>
                      <w:color w:val="auto"/>
                      <w:szCs w:val="21"/>
                    </w:rPr>
                  </w:pPr>
                </w:p>
              </w:tc>
              <w:tc>
                <w:tcPr>
                  <w:tcW w:w="921" w:type="dxa"/>
                  <w:vMerge w:val="continue"/>
                  <w:tcBorders>
                    <w:left w:val="nil"/>
                    <w:right w:val="single" w:color="auto" w:sz="4" w:space="0"/>
                  </w:tcBorders>
                  <w:vAlign w:val="center"/>
                </w:tcPr>
                <w:p>
                  <w:pPr>
                    <w:widowControl/>
                    <w:jc w:val="center"/>
                    <w:rPr>
                      <w:rFonts w:hint="default" w:ascii="Times New Roman" w:hAnsi="Times New Roman" w:eastAsia="宋体" w:cs="Times New Roman"/>
                      <w:color w:val="auto"/>
                      <w:szCs w:val="21"/>
                    </w:rPr>
                  </w:pPr>
                </w:p>
              </w:tc>
              <w:tc>
                <w:tcPr>
                  <w:tcW w:w="840" w:type="dxa"/>
                  <w:vMerge w:val="continue"/>
                  <w:tcBorders>
                    <w:left w:val="nil"/>
                    <w:right w:val="single" w:color="auto" w:sz="4" w:space="0"/>
                  </w:tcBorders>
                  <w:vAlign w:val="center"/>
                </w:tcPr>
                <w:p>
                  <w:pPr>
                    <w:widowControl/>
                    <w:jc w:val="center"/>
                    <w:rPr>
                      <w:rFonts w:hint="default" w:ascii="Times New Roman" w:hAnsi="Times New Roman" w:eastAsia="宋体" w:cs="Times New Roman"/>
                      <w:color w:val="auto"/>
                      <w:szCs w:val="21"/>
                    </w:rPr>
                  </w:pPr>
                </w:p>
              </w:tc>
              <w:tc>
                <w:tcPr>
                  <w:tcW w:w="930" w:type="dxa"/>
                  <w:vMerge w:val="continue"/>
                  <w:tcBorders>
                    <w:left w:val="nil"/>
                    <w:right w:val="single" w:color="auto" w:sz="4" w:space="0"/>
                  </w:tcBorders>
                  <w:vAlign w:val="center"/>
                </w:tcPr>
                <w:p>
                  <w:pPr>
                    <w:widowControl/>
                    <w:jc w:val="center"/>
                    <w:rPr>
                      <w:rFonts w:hint="default" w:ascii="Times New Roman" w:hAnsi="Times New Roman" w:eastAsia="宋体" w:cs="Times New Roman"/>
                      <w:color w:val="auto"/>
                      <w:szCs w:val="21"/>
                    </w:rPr>
                  </w:pPr>
                </w:p>
              </w:tc>
              <w:tc>
                <w:tcPr>
                  <w:tcW w:w="780" w:type="dxa"/>
                  <w:vMerge w:val="continue"/>
                  <w:tcBorders>
                    <w:left w:val="nil"/>
                    <w:right w:val="single" w:color="auto" w:sz="4" w:space="0"/>
                  </w:tcBorders>
                  <w:vAlign w:val="center"/>
                </w:tcPr>
                <w:p>
                  <w:pPr>
                    <w:widowControl/>
                    <w:jc w:val="center"/>
                    <w:rPr>
                      <w:rFonts w:hint="default" w:ascii="Times New Roman" w:hAnsi="Times New Roman" w:eastAsia="宋体" w:cs="Times New Roman"/>
                      <w:color w:val="auto"/>
                      <w:szCs w:val="21"/>
                    </w:rPr>
                  </w:pPr>
                </w:p>
              </w:tc>
              <w:tc>
                <w:tcPr>
                  <w:tcW w:w="495" w:type="dxa"/>
                  <w:vMerge w:val="continue"/>
                  <w:tcBorders>
                    <w:left w:val="nil"/>
                    <w:right w:val="single" w:color="auto" w:sz="4" w:space="0"/>
                  </w:tcBorders>
                  <w:vAlign w:val="center"/>
                </w:tcPr>
                <w:p>
                  <w:pPr>
                    <w:widowControl/>
                    <w:jc w:val="center"/>
                    <w:rPr>
                      <w:rFonts w:hint="default" w:ascii="Times New Roman" w:hAnsi="Times New Roman" w:eastAsia="宋体" w:cs="Times New Roman"/>
                      <w:color w:val="auto"/>
                      <w:szCs w:val="21"/>
                    </w:rPr>
                  </w:pPr>
                </w:p>
              </w:tc>
              <w:tc>
                <w:tcPr>
                  <w:tcW w:w="645" w:type="dxa"/>
                  <w:vMerge w:val="continue"/>
                  <w:tcBorders>
                    <w:left w:val="nil"/>
                    <w:right w:val="single" w:color="auto" w:sz="4" w:space="0"/>
                  </w:tcBorders>
                  <w:vAlign w:val="center"/>
                </w:tcPr>
                <w:p>
                  <w:pPr>
                    <w:widowControl/>
                    <w:jc w:val="center"/>
                    <w:rPr>
                      <w:rFonts w:hint="default" w:ascii="Times New Roman" w:hAnsi="Times New Roman" w:eastAsia="宋体" w:cs="Times New Roman"/>
                      <w:color w:val="auto"/>
                      <w:szCs w:val="21"/>
                    </w:rPr>
                  </w:pPr>
                </w:p>
              </w:tc>
              <w:tc>
                <w:tcPr>
                  <w:tcW w:w="510" w:type="dxa"/>
                  <w:vMerge w:val="continue"/>
                  <w:tcBorders>
                    <w:left w:val="nil"/>
                    <w:right w:val="single" w:color="auto" w:sz="4" w:space="0"/>
                  </w:tcBorders>
                  <w:vAlign w:val="center"/>
                </w:tcPr>
                <w:p>
                  <w:pPr>
                    <w:widowControl/>
                    <w:jc w:val="center"/>
                    <w:rPr>
                      <w:rFonts w:hint="default" w:ascii="Times New Roman" w:hAnsi="Times New Roman" w:eastAsia="宋体" w:cs="Times New Roman"/>
                      <w:color w:val="auto"/>
                      <w:szCs w:val="21"/>
                    </w:rPr>
                  </w:pPr>
                </w:p>
              </w:tc>
              <w:tc>
                <w:tcPr>
                  <w:tcW w:w="870" w:type="dxa"/>
                  <w:tcBorders>
                    <w:top w:val="single" w:color="auto" w:sz="4" w:space="0"/>
                    <w:left w:val="nil"/>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总磷</w:t>
                  </w:r>
                </w:p>
              </w:tc>
              <w:tc>
                <w:tcPr>
                  <w:tcW w:w="1441" w:type="dxa"/>
                  <w:tcBorders>
                    <w:top w:val="single" w:color="auto" w:sz="4" w:space="0"/>
                    <w:left w:val="nil"/>
                    <w:bottom w:val="single" w:color="auto" w:sz="4" w:space="0"/>
                    <w:right w:val="nil"/>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37" w:type="dxa"/>
                  <w:vMerge w:val="continue"/>
                  <w:tcBorders>
                    <w:left w:val="nil"/>
                    <w:bottom w:val="single" w:color="auto" w:sz="12" w:space="0"/>
                    <w:right w:val="single" w:color="auto" w:sz="4" w:space="0"/>
                  </w:tcBorders>
                  <w:vAlign w:val="center"/>
                </w:tcPr>
                <w:p>
                  <w:pPr>
                    <w:widowControl/>
                    <w:jc w:val="center"/>
                    <w:rPr>
                      <w:rFonts w:hint="default" w:ascii="Times New Roman" w:hAnsi="Times New Roman" w:eastAsia="宋体" w:cs="Times New Roman"/>
                      <w:color w:val="auto"/>
                      <w:szCs w:val="21"/>
                    </w:rPr>
                  </w:pPr>
                </w:p>
              </w:tc>
              <w:tc>
                <w:tcPr>
                  <w:tcW w:w="685" w:type="dxa"/>
                  <w:vMerge w:val="continue"/>
                  <w:tcBorders>
                    <w:left w:val="nil"/>
                    <w:bottom w:val="single" w:color="auto" w:sz="12" w:space="0"/>
                    <w:right w:val="single" w:color="auto" w:sz="4" w:space="0"/>
                  </w:tcBorders>
                  <w:vAlign w:val="center"/>
                </w:tcPr>
                <w:p>
                  <w:pPr>
                    <w:widowControl/>
                    <w:jc w:val="center"/>
                    <w:rPr>
                      <w:rFonts w:hint="default" w:ascii="Times New Roman" w:hAnsi="Times New Roman" w:eastAsia="宋体" w:cs="Times New Roman"/>
                      <w:color w:val="auto"/>
                      <w:szCs w:val="21"/>
                    </w:rPr>
                  </w:pPr>
                </w:p>
              </w:tc>
              <w:tc>
                <w:tcPr>
                  <w:tcW w:w="921" w:type="dxa"/>
                  <w:vMerge w:val="continue"/>
                  <w:tcBorders>
                    <w:left w:val="nil"/>
                    <w:bottom w:val="single" w:color="auto" w:sz="12" w:space="0"/>
                    <w:right w:val="single" w:color="auto" w:sz="4" w:space="0"/>
                  </w:tcBorders>
                  <w:vAlign w:val="center"/>
                </w:tcPr>
                <w:p>
                  <w:pPr>
                    <w:widowControl/>
                    <w:jc w:val="center"/>
                    <w:rPr>
                      <w:rFonts w:hint="default" w:ascii="Times New Roman" w:hAnsi="Times New Roman" w:eastAsia="宋体" w:cs="Times New Roman"/>
                      <w:color w:val="auto"/>
                      <w:szCs w:val="21"/>
                    </w:rPr>
                  </w:pPr>
                </w:p>
              </w:tc>
              <w:tc>
                <w:tcPr>
                  <w:tcW w:w="840" w:type="dxa"/>
                  <w:vMerge w:val="continue"/>
                  <w:tcBorders>
                    <w:left w:val="nil"/>
                    <w:bottom w:val="single" w:color="auto" w:sz="12" w:space="0"/>
                    <w:right w:val="single" w:color="auto" w:sz="4" w:space="0"/>
                  </w:tcBorders>
                  <w:vAlign w:val="center"/>
                </w:tcPr>
                <w:p>
                  <w:pPr>
                    <w:widowControl/>
                    <w:jc w:val="center"/>
                    <w:rPr>
                      <w:rFonts w:hint="default" w:ascii="Times New Roman" w:hAnsi="Times New Roman" w:eastAsia="宋体" w:cs="Times New Roman"/>
                      <w:color w:val="auto"/>
                      <w:szCs w:val="21"/>
                    </w:rPr>
                  </w:pPr>
                </w:p>
              </w:tc>
              <w:tc>
                <w:tcPr>
                  <w:tcW w:w="930" w:type="dxa"/>
                  <w:vMerge w:val="continue"/>
                  <w:tcBorders>
                    <w:left w:val="nil"/>
                    <w:bottom w:val="single" w:color="auto" w:sz="12" w:space="0"/>
                    <w:right w:val="single" w:color="auto" w:sz="4" w:space="0"/>
                  </w:tcBorders>
                  <w:vAlign w:val="center"/>
                </w:tcPr>
                <w:p>
                  <w:pPr>
                    <w:widowControl/>
                    <w:jc w:val="center"/>
                    <w:rPr>
                      <w:rFonts w:hint="default" w:ascii="Times New Roman" w:hAnsi="Times New Roman" w:eastAsia="宋体" w:cs="Times New Roman"/>
                      <w:color w:val="auto"/>
                      <w:szCs w:val="21"/>
                    </w:rPr>
                  </w:pPr>
                </w:p>
              </w:tc>
              <w:tc>
                <w:tcPr>
                  <w:tcW w:w="780" w:type="dxa"/>
                  <w:vMerge w:val="continue"/>
                  <w:tcBorders>
                    <w:left w:val="nil"/>
                    <w:bottom w:val="single" w:color="auto" w:sz="12" w:space="0"/>
                    <w:right w:val="single" w:color="auto" w:sz="4" w:space="0"/>
                  </w:tcBorders>
                  <w:vAlign w:val="center"/>
                </w:tcPr>
                <w:p>
                  <w:pPr>
                    <w:widowControl/>
                    <w:jc w:val="center"/>
                    <w:rPr>
                      <w:rFonts w:hint="default" w:ascii="Times New Roman" w:hAnsi="Times New Roman" w:eastAsia="宋体" w:cs="Times New Roman"/>
                      <w:color w:val="auto"/>
                      <w:szCs w:val="21"/>
                    </w:rPr>
                  </w:pPr>
                </w:p>
              </w:tc>
              <w:tc>
                <w:tcPr>
                  <w:tcW w:w="495" w:type="dxa"/>
                  <w:vMerge w:val="continue"/>
                  <w:tcBorders>
                    <w:left w:val="nil"/>
                    <w:bottom w:val="single" w:color="auto" w:sz="12" w:space="0"/>
                    <w:right w:val="single" w:color="auto" w:sz="4" w:space="0"/>
                  </w:tcBorders>
                  <w:vAlign w:val="center"/>
                </w:tcPr>
                <w:p>
                  <w:pPr>
                    <w:widowControl/>
                    <w:jc w:val="center"/>
                    <w:rPr>
                      <w:rFonts w:hint="default" w:ascii="Times New Roman" w:hAnsi="Times New Roman" w:eastAsia="宋体" w:cs="Times New Roman"/>
                      <w:color w:val="auto"/>
                      <w:szCs w:val="21"/>
                    </w:rPr>
                  </w:pPr>
                </w:p>
              </w:tc>
              <w:tc>
                <w:tcPr>
                  <w:tcW w:w="645" w:type="dxa"/>
                  <w:vMerge w:val="continue"/>
                  <w:tcBorders>
                    <w:left w:val="nil"/>
                    <w:bottom w:val="single" w:color="auto" w:sz="12" w:space="0"/>
                    <w:right w:val="single" w:color="auto" w:sz="4" w:space="0"/>
                  </w:tcBorders>
                  <w:vAlign w:val="center"/>
                </w:tcPr>
                <w:p>
                  <w:pPr>
                    <w:widowControl/>
                    <w:jc w:val="center"/>
                    <w:rPr>
                      <w:rFonts w:hint="default" w:ascii="Times New Roman" w:hAnsi="Times New Roman" w:eastAsia="宋体" w:cs="Times New Roman"/>
                      <w:color w:val="auto"/>
                      <w:szCs w:val="21"/>
                    </w:rPr>
                  </w:pPr>
                </w:p>
              </w:tc>
              <w:tc>
                <w:tcPr>
                  <w:tcW w:w="510" w:type="dxa"/>
                  <w:vMerge w:val="continue"/>
                  <w:tcBorders>
                    <w:left w:val="nil"/>
                    <w:bottom w:val="single" w:color="auto" w:sz="12" w:space="0"/>
                    <w:right w:val="single" w:color="auto" w:sz="4" w:space="0"/>
                  </w:tcBorders>
                  <w:vAlign w:val="center"/>
                </w:tcPr>
                <w:p>
                  <w:pPr>
                    <w:widowControl/>
                    <w:jc w:val="center"/>
                    <w:rPr>
                      <w:rFonts w:hint="default" w:ascii="Times New Roman" w:hAnsi="Times New Roman" w:eastAsia="宋体" w:cs="Times New Roman"/>
                      <w:color w:val="auto"/>
                      <w:szCs w:val="21"/>
                    </w:rPr>
                  </w:pPr>
                </w:p>
              </w:tc>
              <w:tc>
                <w:tcPr>
                  <w:tcW w:w="870" w:type="dxa"/>
                  <w:tcBorders>
                    <w:top w:val="single" w:color="auto" w:sz="4" w:space="0"/>
                    <w:left w:val="nil"/>
                    <w:bottom w:val="single" w:color="auto" w:sz="12" w:space="0"/>
                    <w:right w:val="single" w:color="auto" w:sz="4" w:space="0"/>
                  </w:tcBorders>
                  <w:vAlign w:val="center"/>
                </w:tcPr>
                <w:p>
                  <w:pPr>
                    <w:adjustRightInd w:val="0"/>
                    <w:snapToGrid w:val="0"/>
                    <w:jc w:val="center"/>
                    <w:rPr>
                      <w:rFonts w:hint="eastAsia" w:ascii="Times New Roman" w:hAnsi="Times New Roman" w:eastAsia="宋体" w:cs="Times New Roman"/>
                      <w:color w:val="auto"/>
                      <w:lang w:val="en-US" w:eastAsia="zh-CN"/>
                    </w:rPr>
                  </w:pPr>
                  <w:r>
                    <w:rPr>
                      <w:rFonts w:hint="eastAsia" w:cs="Times New Roman"/>
                      <w:color w:val="auto"/>
                      <w:lang w:val="en-US" w:eastAsia="zh-CN"/>
                    </w:rPr>
                    <w:t>石油类</w:t>
                  </w:r>
                </w:p>
              </w:tc>
              <w:tc>
                <w:tcPr>
                  <w:tcW w:w="1441" w:type="dxa"/>
                  <w:tcBorders>
                    <w:top w:val="single" w:color="auto" w:sz="4" w:space="0"/>
                    <w:left w:val="nil"/>
                    <w:bottom w:val="single" w:color="auto" w:sz="12" w:space="0"/>
                    <w:right w:val="nil"/>
                  </w:tcBorders>
                  <w:vAlign w:val="center"/>
                </w:tcPr>
                <w:p>
                  <w:pPr>
                    <w:adjustRightInd w:val="0"/>
                    <w:snapToGrid w:val="0"/>
                    <w:jc w:val="center"/>
                    <w:rPr>
                      <w:rFonts w:hint="default" w:ascii="Times New Roman" w:hAnsi="Times New Roman" w:eastAsia="宋体" w:cs="Times New Roman"/>
                      <w:color w:val="auto"/>
                      <w:lang w:val="en-US" w:eastAsia="zh-CN"/>
                    </w:rPr>
                  </w:pPr>
                  <w:r>
                    <w:rPr>
                      <w:rFonts w:hint="eastAsia" w:cs="Times New Roman"/>
                      <w:color w:val="auto"/>
                      <w:lang w:val="en-US" w:eastAsia="zh-CN"/>
                    </w:rPr>
                    <w:t>1</w:t>
                  </w:r>
                </w:p>
              </w:tc>
            </w:tr>
          </w:tbl>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（2）防治措施</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rPr>
              <w:t>厂区内实行“雨污分流”。本项目雨水经厂区内雨水管网排入周边河流；本项目</w:t>
            </w:r>
            <w:r>
              <w:rPr>
                <w:rFonts w:hint="default" w:ascii="Times New Roman" w:hAnsi="Times New Roman" w:eastAsia="宋体" w:cs="Times New Roman"/>
                <w:color w:val="auto"/>
                <w:sz w:val="24"/>
                <w:lang w:val="en-US" w:eastAsia="zh-CN"/>
              </w:rPr>
              <w:t>生产废水</w:t>
            </w:r>
            <w:r>
              <w:rPr>
                <w:rFonts w:hint="default" w:ascii="Times New Roman" w:hAnsi="Times New Roman" w:eastAsia="宋体" w:cs="Times New Roman"/>
                <w:color w:val="auto"/>
                <w:sz w:val="24"/>
                <w:szCs w:val="24"/>
              </w:rPr>
              <w:t>经厂内污水处理</w:t>
            </w:r>
            <w:r>
              <w:rPr>
                <w:rFonts w:hint="default" w:ascii="Times New Roman" w:hAnsi="Times New Roman" w:eastAsia="宋体" w:cs="Times New Roman"/>
                <w:color w:val="auto"/>
                <w:sz w:val="24"/>
                <w:szCs w:val="24"/>
                <w:lang w:val="en-US" w:eastAsia="zh-CN"/>
              </w:rPr>
              <w:t>站</w:t>
            </w:r>
            <w:r>
              <w:rPr>
                <w:rFonts w:hint="default" w:ascii="Times New Roman" w:hAnsi="Times New Roman" w:eastAsia="宋体" w:cs="Times New Roman"/>
                <w:color w:val="auto"/>
                <w:sz w:val="24"/>
                <w:szCs w:val="24"/>
              </w:rPr>
              <w:t>处理</w:t>
            </w:r>
            <w:r>
              <w:rPr>
                <w:rFonts w:hint="default" w:ascii="Times New Roman" w:hAnsi="Times New Roman" w:eastAsia="宋体" w:cs="Times New Roman"/>
                <w:color w:val="auto"/>
                <w:sz w:val="24"/>
                <w:szCs w:val="24"/>
                <w:lang w:val="en-US" w:eastAsia="zh-CN"/>
              </w:rPr>
              <w:t>达标后与生活污水</w:t>
            </w:r>
            <w:r>
              <w:rPr>
                <w:rFonts w:hint="default" w:ascii="Times New Roman" w:hAnsi="Times New Roman" w:eastAsia="宋体" w:cs="Times New Roman"/>
                <w:color w:val="auto"/>
                <w:sz w:val="24"/>
                <w:szCs w:val="24"/>
              </w:rPr>
              <w:t>一并接管至</w:t>
            </w:r>
            <w:r>
              <w:rPr>
                <w:rFonts w:hint="default" w:ascii="Times New Roman" w:hAnsi="Times New Roman" w:eastAsia="宋体" w:cs="Times New Roman"/>
                <w:color w:val="auto"/>
                <w:sz w:val="24"/>
                <w:szCs w:val="24"/>
                <w:lang w:val="en-US" w:eastAsia="zh-CN"/>
              </w:rPr>
              <w:t>武南污水处理厂</w:t>
            </w:r>
            <w:r>
              <w:rPr>
                <w:rFonts w:hint="default" w:ascii="Times New Roman" w:hAnsi="Times New Roman" w:eastAsia="宋体" w:cs="Times New Roman"/>
                <w:color w:val="auto"/>
                <w:sz w:val="24"/>
              </w:rPr>
              <w:t>，接管量为</w:t>
            </w:r>
            <w:r>
              <w:rPr>
                <w:rFonts w:hint="eastAsia" w:cs="Times New Roman"/>
                <w:color w:val="auto"/>
                <w:sz w:val="24"/>
                <w:lang w:val="en-US" w:eastAsia="zh-CN"/>
              </w:rPr>
              <w:t>1961.9</w:t>
            </w:r>
            <w:r>
              <w:rPr>
                <w:rFonts w:hint="default" w:ascii="Times New Roman" w:hAnsi="Times New Roman" w:eastAsia="宋体" w:cs="Times New Roman"/>
                <w:color w:val="auto"/>
                <w:sz w:val="24"/>
              </w:rPr>
              <w:t>t/a</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val="en-US" w:eastAsia="zh-CN"/>
              </w:rPr>
              <w:t>经武南污水处理厂处理达标后排入武南河</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szCs w:val="24"/>
              </w:rPr>
              <w:t>废水不直接排入附近水体，对周围地表水环境无影响。</w:t>
            </w:r>
          </w:p>
          <w:p>
            <w:pPr>
              <w:numPr>
                <w:ilvl w:val="0"/>
                <w:numId w:val="2"/>
              </w:numPr>
              <w:spacing w:line="360" w:lineRule="auto"/>
              <w:ind w:firstLine="480" w:firstLineChars="200"/>
              <w:rPr>
                <w:rFonts w:hint="default" w:ascii="Times New Roman" w:hAnsi="Times New Roman" w:eastAsia="宋体" w:cs="Times New Roman"/>
                <w:bCs/>
                <w:color w:val="auto"/>
                <w:sz w:val="24"/>
                <w:lang w:val="en-US" w:eastAsia="zh-CN"/>
              </w:rPr>
            </w:pPr>
            <w:r>
              <w:rPr>
                <w:rFonts w:hint="default" w:ascii="Times New Roman" w:hAnsi="Times New Roman" w:eastAsia="宋体" w:cs="Times New Roman"/>
                <w:bCs/>
                <w:color w:val="auto"/>
                <w:sz w:val="24"/>
                <w:lang w:val="en-US" w:eastAsia="zh-CN"/>
              </w:rPr>
              <w:t>纯水制备系统、超滤系统可行性分析</w:t>
            </w:r>
          </w:p>
          <w:p>
            <w:pPr>
              <w:numPr>
                <w:ilvl w:val="0"/>
                <w:numId w:val="0"/>
              </w:numPr>
              <w:spacing w:line="360" w:lineRule="auto"/>
              <w:ind w:firstLine="480" w:firstLineChars="200"/>
              <w:rPr>
                <w:rFonts w:hint="default" w:ascii="Times New Roman" w:hAnsi="Times New Roman" w:eastAsia="宋体" w:cs="Times New Roman"/>
                <w:bCs/>
                <w:color w:val="auto"/>
                <w:sz w:val="24"/>
                <w:lang w:val="en-US" w:eastAsia="zh-CN"/>
              </w:rPr>
            </w:pPr>
            <w:r>
              <w:rPr>
                <w:rFonts w:hint="default" w:ascii="Times New Roman" w:hAnsi="Times New Roman" w:eastAsia="宋体" w:cs="Times New Roman"/>
                <w:bCs/>
                <w:color w:val="auto"/>
                <w:sz w:val="24"/>
                <w:lang w:val="en-US" w:eastAsia="zh-CN"/>
              </w:rPr>
              <w:t>本项目建设一套纯水制备系统、一套超滤系统，纯水制备流程见图4-2，超滤系统流程图见图4-3。</w:t>
            </w:r>
          </w:p>
          <w:p>
            <w:pPr>
              <w:numPr>
                <w:ilvl w:val="0"/>
                <w:numId w:val="0"/>
              </w:numPr>
              <w:spacing w:line="360" w:lineRule="auto"/>
              <w:ind w:firstLine="480" w:firstLineChars="200"/>
              <w:rPr>
                <w:rFonts w:hint="default" w:ascii="Times New Roman" w:hAnsi="Times New Roman" w:eastAsia="宋体" w:cs="Times New Roman"/>
                <w:bCs/>
                <w:color w:val="auto"/>
                <w:sz w:val="24"/>
                <w:lang w:val="en-US" w:eastAsia="zh-CN"/>
              </w:rPr>
            </w:pPr>
          </w:p>
          <w:p>
            <w:pPr>
              <w:numPr>
                <w:ilvl w:val="0"/>
                <w:numId w:val="0"/>
              </w:numPr>
              <w:spacing w:line="360" w:lineRule="auto"/>
              <w:ind w:firstLine="480" w:firstLineChars="200"/>
              <w:rPr>
                <w:rFonts w:hint="default" w:ascii="Times New Roman" w:hAnsi="Times New Roman" w:eastAsia="宋体" w:cs="Times New Roman"/>
                <w:bCs/>
                <w:color w:val="auto"/>
                <w:sz w:val="24"/>
                <w:lang w:val="en-US" w:eastAsia="zh-CN"/>
              </w:rPr>
            </w:pPr>
          </w:p>
          <w:p>
            <w:pPr>
              <w:numPr>
                <w:ilvl w:val="0"/>
                <w:numId w:val="0"/>
              </w:numPr>
              <w:spacing w:line="360" w:lineRule="auto"/>
              <w:ind w:firstLine="480" w:firstLineChars="200"/>
              <w:rPr>
                <w:rFonts w:hint="default" w:ascii="Times New Roman" w:hAnsi="Times New Roman" w:eastAsia="宋体" w:cs="Times New Roman"/>
                <w:bCs/>
                <w:color w:val="auto"/>
                <w:sz w:val="24"/>
                <w:lang w:val="en-US" w:eastAsia="zh-CN"/>
              </w:rPr>
            </w:pPr>
          </w:p>
          <w:p>
            <w:pPr>
              <w:numPr>
                <w:ilvl w:val="0"/>
                <w:numId w:val="0"/>
              </w:numPr>
              <w:spacing w:line="360" w:lineRule="auto"/>
              <w:ind w:firstLine="480" w:firstLineChars="200"/>
              <w:rPr>
                <w:rFonts w:hint="default" w:ascii="Times New Roman" w:hAnsi="Times New Roman" w:eastAsia="宋体" w:cs="Times New Roman"/>
                <w:bCs/>
                <w:color w:val="auto"/>
                <w:sz w:val="24"/>
                <w:lang w:val="en-US" w:eastAsia="zh-CN"/>
              </w:rPr>
            </w:pPr>
          </w:p>
          <w:p>
            <w:pPr>
              <w:numPr>
                <w:ilvl w:val="0"/>
                <w:numId w:val="0"/>
              </w:numPr>
              <w:spacing w:line="360" w:lineRule="auto"/>
              <w:ind w:firstLine="480" w:firstLineChars="200"/>
              <w:rPr>
                <w:rFonts w:hint="default" w:ascii="Times New Roman" w:hAnsi="Times New Roman" w:eastAsia="宋体" w:cs="Times New Roman"/>
                <w:bCs/>
                <w:color w:val="auto"/>
                <w:sz w:val="24"/>
                <w:lang w:val="en-US" w:eastAsia="zh-CN"/>
              </w:rPr>
            </w:pPr>
          </w:p>
          <w:p>
            <w:pPr>
              <w:numPr>
                <w:ilvl w:val="0"/>
                <w:numId w:val="0"/>
              </w:numPr>
              <w:spacing w:line="360" w:lineRule="auto"/>
              <w:ind w:firstLine="480" w:firstLineChars="200"/>
              <w:rPr>
                <w:rFonts w:hint="default" w:ascii="Times New Roman" w:hAnsi="Times New Roman" w:eastAsia="宋体" w:cs="Times New Roman"/>
                <w:bCs/>
                <w:color w:val="auto"/>
                <w:sz w:val="24"/>
                <w:lang w:val="en-US" w:eastAsia="zh-CN"/>
              </w:rPr>
            </w:pPr>
          </w:p>
          <w:p>
            <w:pPr>
              <w:numPr>
                <w:ilvl w:val="0"/>
                <w:numId w:val="0"/>
              </w:numPr>
              <w:spacing w:line="360" w:lineRule="auto"/>
              <w:ind w:firstLine="480" w:firstLineChars="200"/>
              <w:rPr>
                <w:rFonts w:hint="default" w:ascii="Times New Roman" w:hAnsi="Times New Roman" w:eastAsia="宋体" w:cs="Times New Roman"/>
                <w:bCs/>
                <w:color w:val="auto"/>
                <w:sz w:val="24"/>
                <w:lang w:val="en-US" w:eastAsia="zh-CN"/>
              </w:rPr>
            </w:pPr>
          </w:p>
          <w:p>
            <w:pPr>
              <w:numPr>
                <w:ilvl w:val="0"/>
                <w:numId w:val="0"/>
              </w:numPr>
              <w:spacing w:line="360" w:lineRule="auto"/>
              <w:ind w:firstLine="480" w:firstLineChars="200"/>
              <w:rPr>
                <w:rFonts w:hint="default" w:ascii="Times New Roman" w:hAnsi="Times New Roman" w:eastAsia="宋体" w:cs="Times New Roman"/>
                <w:bCs/>
                <w:color w:val="auto"/>
                <w:sz w:val="24"/>
                <w:lang w:val="en-US" w:eastAsia="zh-CN"/>
              </w:rPr>
            </w:pPr>
          </w:p>
          <w:p>
            <w:pPr>
              <w:numPr>
                <w:ilvl w:val="0"/>
                <w:numId w:val="0"/>
              </w:numPr>
              <w:spacing w:line="360" w:lineRule="auto"/>
              <w:ind w:firstLine="480" w:firstLineChars="200"/>
              <w:rPr>
                <w:rFonts w:hint="default" w:ascii="Times New Roman" w:hAnsi="Times New Roman" w:eastAsia="宋体" w:cs="Times New Roman"/>
                <w:bCs/>
                <w:color w:val="auto"/>
                <w:sz w:val="24"/>
                <w:lang w:val="en-US" w:eastAsia="zh-CN"/>
              </w:rPr>
            </w:pPr>
          </w:p>
          <w:p>
            <w:pPr>
              <w:numPr>
                <w:ilvl w:val="0"/>
                <w:numId w:val="0"/>
              </w:numPr>
              <w:spacing w:line="360" w:lineRule="auto"/>
              <w:ind w:firstLine="480" w:firstLineChars="200"/>
              <w:rPr>
                <w:rFonts w:hint="default" w:ascii="Times New Roman" w:hAnsi="Times New Roman" w:eastAsia="宋体" w:cs="Times New Roman"/>
                <w:bCs/>
                <w:color w:val="auto"/>
                <w:sz w:val="24"/>
                <w:lang w:val="en-US" w:eastAsia="zh-CN"/>
              </w:rPr>
            </w:pPr>
          </w:p>
          <w:p>
            <w:pPr>
              <w:numPr>
                <w:ilvl w:val="0"/>
                <w:numId w:val="0"/>
              </w:numPr>
              <w:spacing w:line="360" w:lineRule="auto"/>
              <w:ind w:firstLine="480" w:firstLineChars="200"/>
              <w:rPr>
                <w:rFonts w:hint="default" w:ascii="Times New Roman" w:hAnsi="Times New Roman" w:eastAsia="宋体" w:cs="Times New Roman"/>
                <w:bCs/>
                <w:color w:val="auto"/>
                <w:sz w:val="24"/>
                <w:lang w:val="en-US" w:eastAsia="zh-CN"/>
              </w:rPr>
            </w:pPr>
          </w:p>
          <w:p>
            <w:pPr>
              <w:spacing w:line="360" w:lineRule="auto"/>
              <w:ind w:left="958" w:leftChars="456" w:firstLine="0" w:firstLineChars="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pict>
                <v:group id="_x0000_s2116" o:spid="_x0000_s2116" o:spt="203" style="height:253.4pt;width:344.1pt;" coordorigin="3287,8867" coordsize="6882,5068" editas="canvas">
                  <o:lock v:ext="edit"/>
                  <v:shape id="_x0000_s2117" o:spid="_x0000_s2117" o:spt="75" type="#_x0000_t75" style="position:absolute;left:3287;top:8867;height:5068;width:6882;" filled="f" stroked="f" coordsize="21600,21600">
                    <v:path/>
                    <v:fill on="f" focussize="0,0"/>
                    <v:stroke on="f"/>
                    <v:imagedata o:title=""/>
                    <o:lock v:ext="edit" text="t" aspectratio="t"/>
                  </v:shape>
                  <v:rect id="_x0000_s2118" o:spid="_x0000_s2118" o:spt="1" style="position:absolute;left:5046;top:8867;height:471;width:1099;" fillcolor="#FFFFFF" filled="t" stroked="f" coordsize="21600,21600">
                    <v:path/>
                    <v:fill on="t" color2="#FFFFFF" opacity="0f" focussize="0,0"/>
                    <v:stroke on="f"/>
                    <v:imagedata o:title=""/>
                    <o:lock v:ext="edit" aspectratio="f"/>
                    <v:textbox>
                      <w:txbxContent>
                        <w:p>
                          <w:pPr>
                            <w:jc w:val="center"/>
                            <w:rPr>
                              <w:rFonts w:ascii="宋体" w:hAnsi="宋体" w:cs="宋体"/>
                            </w:rPr>
                          </w:pPr>
                          <w:r>
                            <w:rPr>
                              <w:rFonts w:hint="eastAsia" w:ascii="宋体" w:hAnsi="宋体" w:cs="宋体"/>
                            </w:rPr>
                            <w:t>自来水</w:t>
                          </w:r>
                        </w:p>
                      </w:txbxContent>
                    </v:textbox>
                  </v:rect>
                  <v:line id="_x0000_s2119" o:spid="_x0000_s2119" o:spt="20" style="position:absolute;left:5616;top:9248;height:382;width:0;" filled="f" stroked="t" coordsize="21600,21600">
                    <v:path arrowok="t"/>
                    <v:fill on="f" focussize="0,0"/>
                    <v:stroke color="#000000" endarrow="block"/>
                    <v:imagedata o:title=""/>
                    <o:lock v:ext="edit" aspectratio="f"/>
                  </v:line>
                  <v:rect id="_x0000_s2120" o:spid="_x0000_s2120" o:spt="1" style="position:absolute;left:4697;top:9630;height:457;width:1820;" filled="f" stroked="t" coordsize="21600,21600">
                    <v:path/>
                    <v:fill on="f" focussize="0,0"/>
                    <v:stroke color="#000000" joinstyle="miter"/>
                    <v:imagedata o:title=""/>
                    <o:lock v:ext="edit" aspectratio="f"/>
                    <v:textbox>
                      <w:txbxContent>
                        <w:p>
                          <w:pPr>
                            <w:jc w:val="center"/>
                            <w:rPr>
                              <w:rFonts w:ascii="宋体" w:hAnsi="宋体" w:cs="宋体"/>
                            </w:rPr>
                          </w:pPr>
                          <w:r>
                            <w:rPr>
                              <w:rFonts w:hint="eastAsia" w:ascii="宋体" w:hAnsi="宋体" w:cs="宋体"/>
                            </w:rPr>
                            <w:t>砂滤系统</w:t>
                          </w:r>
                        </w:p>
                      </w:txbxContent>
                    </v:textbox>
                  </v:rect>
                  <v:line id="_x0000_s2121" o:spid="_x0000_s2121" o:spt="20" style="position:absolute;left:5609;top:10074;height:381;width:2;" filled="f" stroked="t" coordsize="21600,21600">
                    <v:path arrowok="t"/>
                    <v:fill on="f" focussize="0,0"/>
                    <v:stroke color="#000000" endarrow="block"/>
                    <v:imagedata o:title=""/>
                    <o:lock v:ext="edit" aspectratio="f"/>
                  </v:line>
                  <v:line id="_x0000_s2122" o:spid="_x0000_s2122" o:spt="20" style="position:absolute;left:5617;top:10926;height:381;width:2;" filled="f" stroked="t" coordsize="21600,21600">
                    <v:path arrowok="t"/>
                    <v:fill on="f" focussize="0,0"/>
                    <v:stroke color="#000000" endarrow="block"/>
                    <v:imagedata o:title=""/>
                    <o:lock v:ext="edit" aspectratio="f"/>
                  </v:line>
                  <v:line id="_x0000_s2123" o:spid="_x0000_s2123" o:spt="20" style="position:absolute;left:5626;top:11766;height:381;width:1;" filled="f" stroked="t" coordsize="21600,21600">
                    <v:path arrowok="t"/>
                    <v:fill on="f" focussize="0,0"/>
                    <v:stroke color="#000000" endarrow="block"/>
                    <v:imagedata o:title=""/>
                    <o:lock v:ext="edit" aspectratio="f"/>
                  </v:line>
                  <v:rect id="_x0000_s2124" o:spid="_x0000_s2124" o:spt="1" style="position:absolute;left:4721;top:12153;height:457;width:1820;" filled="f" stroked="t" coordsize="21600,21600">
                    <v:path/>
                    <v:fill on="f" focussize="0,0"/>
                    <v:stroke color="#000000" joinstyle="miter"/>
                    <v:imagedata o:title=""/>
                    <o:lock v:ext="edit" aspectratio="f"/>
                    <v:textbox>
                      <w:txbxContent>
                        <w:p>
                          <w:pPr>
                            <w:jc w:val="center"/>
                            <w:rPr>
                              <w:rFonts w:ascii="宋体" w:hAnsi="宋体" w:cs="宋体"/>
                            </w:rPr>
                          </w:pPr>
                          <w:r>
                            <w:rPr>
                              <w:rFonts w:hint="eastAsia" w:ascii="宋体" w:hAnsi="宋体" w:cs="宋体"/>
                            </w:rPr>
                            <w:t>纯化水储罐</w:t>
                          </w:r>
                        </w:p>
                      </w:txbxContent>
                    </v:textbox>
                  </v:rect>
                  <v:line id="_x0000_s2125" o:spid="_x0000_s2125" o:spt="20" style="position:absolute;left:5630;top:12616;height:380;width:1;" filled="f" stroked="t" coordsize="21600,21600">
                    <v:path arrowok="t"/>
                    <v:fill on="f" focussize="0,0"/>
                    <v:stroke color="#000000" endarrow="block"/>
                    <v:imagedata o:title=""/>
                    <o:lock v:ext="edit" aspectratio="f"/>
                  </v:line>
                  <v:rect id="_x0000_s2126" o:spid="_x0000_s2126" o:spt="1" style="position:absolute;left:4834;top:12960;height:457;width:1566;" fillcolor="#FFFFFF" filled="t" stroked="f" coordsize="21600,21600">
                    <v:path/>
                    <v:fill on="t" color2="#FFFFFF" opacity="0f" focussize="0,0"/>
                    <v:stroke on="f"/>
                    <v:imagedata o:title=""/>
                    <o:lock v:ext="edit" aspectratio="f"/>
                    <v:textbox>
                      <w:txbxContent>
                        <w:p>
                          <w:pPr>
                            <w:jc w:val="center"/>
                            <w:rPr>
                              <w:rFonts w:ascii="宋体" w:hAnsi="宋体" w:cs="宋体"/>
                            </w:rPr>
                          </w:pPr>
                          <w:r>
                            <w:rPr>
                              <w:rFonts w:hint="eastAsia" w:ascii="宋体" w:hAnsi="宋体" w:cs="宋体"/>
                            </w:rPr>
                            <w:t>生产用水</w:t>
                          </w:r>
                        </w:p>
                      </w:txbxContent>
                    </v:textbox>
                  </v:rect>
                  <v:rect id="_x0000_s2127" o:spid="_x0000_s2127" o:spt="1" style="position:absolute;left:5756;top:10055;height:470;width:539;" fillcolor="#FFFFFF" filled="t" stroked="f" coordsize="21600,21600">
                    <v:path/>
                    <v:fill on="t" color2="#FFFFFF" opacity="0f" focussize="0,0"/>
                    <v:stroke on="f"/>
                    <v:imagedata o:title=""/>
                    <o:lock v:ext="edit" aspectratio="f"/>
                    <v:textbox>
                      <w:txbxContent>
                        <w:p>
                          <w:pPr>
                            <w:rPr>
                              <w:rFonts w:ascii="仿宋_GB2312" w:hAnsi="宋体" w:eastAsia="仿宋_GB2312"/>
                            </w:rPr>
                          </w:pPr>
                          <w:r>
                            <w:rPr>
                              <w:rFonts w:hint="eastAsia" w:ascii="宋体" w:hAnsi="宋体" w:cs="宋体"/>
                            </w:rPr>
                            <w:t>泵</w:t>
                          </w:r>
                        </w:p>
                      </w:txbxContent>
                    </v:textbox>
                  </v:rect>
                  <v:rect id="_x0000_s2128" o:spid="_x0000_s2128" o:spt="1" style="position:absolute;left:3932;top:13516;height:457;width:4620;" fillcolor="#FFFFFF" filled="t" stroked="f" coordsize="21600,21600">
                    <v:path/>
                    <v:fill on="t" color2="#FFFFFF" opacity="0f" focussize="0,0"/>
                    <v:stroke on="f"/>
                    <v:imagedata o:title=""/>
                    <o:lock v:ext="edit" aspectratio="f"/>
                    <v:textbox>
                      <w:txbxContent>
                        <w:p>
                          <w:pPr>
                            <w:jc w:val="center"/>
                            <w:rPr>
                              <w:rFonts w:hint="default" w:ascii="宋体" w:hAnsi="宋体" w:eastAsia="宋体" w:cs="宋体"/>
                              <w:b/>
                              <w:sz w:val="24"/>
                              <w:szCs w:val="24"/>
                              <w:lang w:val="en-US" w:eastAsia="zh-CN"/>
                            </w:rPr>
                          </w:pPr>
                          <w:r>
                            <w:rPr>
                              <w:rFonts w:ascii="Times New Roman" w:hAnsi="Times New Roman"/>
                              <w:b/>
                              <w:sz w:val="24"/>
                              <w:szCs w:val="24"/>
                            </w:rPr>
                            <w:t>图</w:t>
                          </w:r>
                          <w:r>
                            <w:rPr>
                              <w:rFonts w:hint="eastAsia" w:ascii="Times New Roman" w:hAnsi="Times New Roman"/>
                              <w:b/>
                              <w:sz w:val="24"/>
                              <w:szCs w:val="24"/>
                              <w:lang w:val="en-US" w:eastAsia="zh-CN"/>
                            </w:rPr>
                            <w:t xml:space="preserve">4-2   </w:t>
                          </w:r>
                          <w:r>
                            <w:rPr>
                              <w:rFonts w:hint="eastAsia" w:ascii="宋体" w:hAnsi="宋体" w:cs="宋体"/>
                              <w:b/>
                              <w:sz w:val="24"/>
                              <w:szCs w:val="24"/>
                            </w:rPr>
                            <w:t>纯水制备</w:t>
                          </w:r>
                          <w:r>
                            <w:rPr>
                              <w:rFonts w:hint="eastAsia" w:ascii="宋体" w:hAnsi="宋体" w:cs="宋体"/>
                              <w:b/>
                              <w:sz w:val="24"/>
                              <w:szCs w:val="24"/>
                              <w:lang w:val="en-US" w:eastAsia="zh-CN"/>
                            </w:rPr>
                            <w:t>工艺流程图</w:t>
                          </w:r>
                        </w:p>
                      </w:txbxContent>
                    </v:textbox>
                  </v:rect>
                  <v:rect id="_x0000_s2129" o:spid="_x0000_s2129" o:spt="1" style="position:absolute;left:4702;top:11299;height:457;width:1819;" filled="f" stroked="t" coordsize="21600,21600">
                    <v:path/>
                    <v:fill on="f" focussize="0,0"/>
                    <v:stroke color="#000000" joinstyle="miter"/>
                    <v:imagedata o:title=""/>
                    <o:lock v:ext="edit" aspectratio="f"/>
                    <v:textbox>
                      <w:txbxContent>
                        <w:p>
                          <w:pPr>
                            <w:jc w:val="center"/>
                            <w:rPr>
                              <w:rFonts w:ascii="宋体" w:hAnsi="宋体" w:cs="宋体"/>
                            </w:rPr>
                          </w:pPr>
                          <w:r>
                            <w:rPr>
                              <w:rFonts w:hint="eastAsia" w:ascii="宋体" w:hAnsi="宋体" w:cs="宋体"/>
                            </w:rPr>
                            <w:t>反渗透</w:t>
                          </w:r>
                        </w:p>
                      </w:txbxContent>
                    </v:textbox>
                  </v:rect>
                  <v:rect id="_x0000_s2130" o:spid="_x0000_s2130" o:spt="1" style="position:absolute;left:4692;top:10465;height:457;width:1820;" filled="f" stroked="t" coordsize="21600,21600">
                    <v:path/>
                    <v:fill on="f" focussize="0,0"/>
                    <v:stroke color="#000000" joinstyle="miter"/>
                    <v:imagedata o:title=""/>
                    <o:lock v:ext="edit" aspectratio="f"/>
                    <v:textbox>
                      <w:txbxContent>
                        <w:p>
                          <w:pPr>
                            <w:jc w:val="center"/>
                            <w:rPr>
                              <w:rFonts w:ascii="宋体" w:hAnsi="宋体" w:cs="宋体"/>
                            </w:rPr>
                          </w:pPr>
                          <w:r>
                            <w:rPr>
                              <w:rFonts w:hint="eastAsia" w:ascii="宋体" w:hAnsi="宋体" w:cs="宋体"/>
                            </w:rPr>
                            <w:t>活性炭系统</w:t>
                          </w:r>
                        </w:p>
                      </w:txbxContent>
                    </v:textbox>
                  </v:rect>
                  <v:line id="_x0000_s2131" o:spid="_x0000_s2131" o:spt="20" style="position:absolute;left:6552;top:11522;height:1;width:990;" filled="f" stroked="t" coordsize="21600,21600">
                    <v:path arrowok="t"/>
                    <v:fill on="f" focussize="0,0"/>
                    <v:stroke color="#000000" dashstyle="dash" endarrow="block"/>
                    <v:imagedata o:title=""/>
                    <o:lock v:ext="edit" aspectratio="f"/>
                  </v:line>
                  <v:rect id="_x0000_s2132" o:spid="_x0000_s2132" o:spt="1" style="position:absolute;left:6510;top:11145;height:461;width:1212;" fillcolor="#FFFFFF" filled="t" stroked="f" coordsize="21600,21600">
                    <v:path/>
                    <v:fill on="t" color2="#FFFFFF" opacity="0f" focussize="0,0"/>
                    <v:stroke on="f"/>
                    <v:imagedata o:title=""/>
                    <o:lock v:ext="edit" aspectratio="f"/>
                    <v:textbox>
                      <w:txbxContent>
                        <w:p>
                          <w:pPr>
                            <w:rPr>
                              <w:rFonts w:hint="eastAsia" w:ascii="宋体" w:hAnsi="宋体" w:eastAsia="宋体" w:cs="宋体"/>
                              <w:lang w:val="en-US" w:eastAsia="zh-CN"/>
                            </w:rPr>
                          </w:pPr>
                          <w:r>
                            <w:rPr>
                              <w:rFonts w:hint="eastAsia" w:ascii="宋体" w:hAnsi="宋体" w:cs="宋体"/>
                            </w:rPr>
                            <w:t>浓水</w:t>
                          </w:r>
                          <w:r>
                            <w:rPr>
                              <w:rFonts w:hint="eastAsia" w:ascii="宋体" w:hAnsi="宋体" w:cs="宋体"/>
                              <w:lang w:val="en-US" w:eastAsia="zh-CN"/>
                            </w:rPr>
                            <w:t>回用</w:t>
                          </w:r>
                        </w:p>
                      </w:txbxContent>
                    </v:textbox>
                  </v:rect>
                  <v:rect id="_x0000_s2133" o:spid="_x0000_s2133" o:spt="1" style="position:absolute;left:7545;top:11321;height:440;width:1800;" filled="f" stroked="t" coordsize="21600,21600">
                    <v:path/>
                    <v:fill on="f" focussize="0,0"/>
                    <v:stroke color="#000000" joinstyle="miter"/>
                    <v:imagedata o:title=""/>
                    <o:lock v:ext="edit" aspectratio="f"/>
                    <v:textbox>
                      <w:txbxContent>
                        <w:p>
                          <w:pPr>
                            <w:jc w:val="center"/>
                            <w:rPr>
                              <w:rFonts w:hint="default" w:ascii="宋体" w:hAnsi="宋体" w:eastAsia="宋体" w:cs="宋体"/>
                              <w:lang w:val="en-US" w:eastAsia="zh-CN"/>
                            </w:rPr>
                          </w:pPr>
                          <w:r>
                            <w:rPr>
                              <w:rFonts w:hint="eastAsia" w:ascii="宋体" w:hAnsi="宋体" w:cs="宋体"/>
                              <w:lang w:val="en-US" w:eastAsia="zh-CN"/>
                            </w:rPr>
                            <w:t>脱脂清洗工段</w:t>
                          </w:r>
                        </w:p>
                      </w:txbxContent>
                    </v:textbox>
                  </v:rect>
                  <w10:wrap type="none"/>
                  <w10:anchorlock/>
                </v:group>
              </w:pict>
            </w:r>
          </w:p>
          <w:p>
            <w:pPr>
              <w:pStyle w:val="7"/>
              <w:ind w:firstLine="960" w:firstLineChars="4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sz w:val="24"/>
              </w:rPr>
              <w:pict>
                <v:group id="_x0000_s2096" o:spid="_x0000_s2096" o:spt="203" style="height:255.5pt;width:342.15pt;" coordorigin="3287,8867" coordsize="6843,5110" editas="canvas">
                  <o:lock v:ext="edit"/>
                  <v:shape id="_x0000_s2097" o:spid="_x0000_s2097" o:spt="75" type="#_x0000_t75" style="position:absolute;left:3287;top:8867;height:5110;width:6843;" filled="f" stroked="f" coordsize="21600,21600">
                    <v:path/>
                    <v:fill on="f" focussize="0,0"/>
                    <v:stroke on="f"/>
                    <v:imagedata o:title=""/>
                    <o:lock v:ext="edit" text="t" aspectratio="t"/>
                  </v:shape>
                  <v:rect id="_x0000_s2098" o:spid="_x0000_s2098" o:spt="1" style="position:absolute;left:5706;top:8867;height:471;width:1380;" fillcolor="#FFFFFF" filled="t" stroked="f" coordsize="21600,21600">
                    <v:path/>
                    <v:fill on="t" color2="#FFFFFF" opacity="0f" focussize="0,0"/>
                    <v:stroke on="f"/>
                    <v:imagedata o:title=""/>
                    <o:lock v:ext="edit" aspectratio="f"/>
                    <v:textbox>
                      <w:txbxContent>
                        <w:p>
                          <w:pPr>
                            <w:jc w:val="center"/>
                            <w:rPr>
                              <w:rFonts w:hint="default" w:ascii="宋体" w:hAnsi="宋体" w:eastAsia="宋体" w:cs="宋体"/>
                              <w:lang w:val="en-US" w:eastAsia="zh-CN"/>
                            </w:rPr>
                          </w:pPr>
                          <w:r>
                            <w:rPr>
                              <w:rFonts w:hint="eastAsia" w:ascii="宋体" w:hAnsi="宋体" w:cs="宋体"/>
                              <w:lang w:val="en-US" w:eastAsia="zh-CN"/>
                            </w:rPr>
                            <w:t>电泳槽液</w:t>
                          </w:r>
                        </w:p>
                      </w:txbxContent>
                    </v:textbox>
                  </v:rect>
                  <v:line id="_x0000_s2099" o:spid="_x0000_s2099" o:spt="20" style="position:absolute;left:6276;top:9248;height:382;width:0;" filled="f" stroked="t" coordsize="21600,21600">
                    <v:path arrowok="t"/>
                    <v:fill on="f" focussize="0,0"/>
                    <v:stroke color="#000000" endarrow="block"/>
                    <v:imagedata o:title=""/>
                    <o:lock v:ext="edit" aspectratio="f"/>
                  </v:line>
                  <v:rect id="_x0000_s2100" o:spid="_x0000_s2100" o:spt="1" style="position:absolute;left:5357;top:9630;height:457;width:1820;" filled="f" stroked="t" coordsize="21600,21600">
                    <v:path/>
                    <v:fill on="f" focussize="0,0"/>
                    <v:stroke color="#000000" joinstyle="miter"/>
                    <v:imagedata o:title=""/>
                    <o:lock v:ext="edit" aspectratio="f"/>
                    <v:textbox>
                      <w:txbxContent>
                        <w:p>
                          <w:pPr>
                            <w:jc w:val="center"/>
                            <w:rPr>
                              <w:rFonts w:ascii="宋体" w:hAnsi="宋体" w:cs="宋体"/>
                            </w:rPr>
                          </w:pPr>
                          <w:r>
                            <w:rPr>
                              <w:rFonts w:hint="eastAsia" w:ascii="宋体" w:hAnsi="宋体" w:cs="宋体"/>
                            </w:rPr>
                            <w:t>砂滤系统</w:t>
                          </w:r>
                        </w:p>
                      </w:txbxContent>
                    </v:textbox>
                  </v:rect>
                  <v:line id="_x0000_s2101" o:spid="_x0000_s2101" o:spt="20" style="position:absolute;left:6269;top:10074;height:381;width:2;" filled="f" stroked="t" coordsize="21600,21600">
                    <v:path arrowok="t"/>
                    <v:fill on="f" focussize="0,0"/>
                    <v:stroke color="#000000" endarrow="block"/>
                    <v:imagedata o:title=""/>
                    <o:lock v:ext="edit" aspectratio="f"/>
                  </v:line>
                  <v:line id="_x0000_s2102" o:spid="_x0000_s2102" o:spt="20" style="position:absolute;left:6277;top:10926;height:381;width:2;" filled="f" stroked="t" coordsize="21600,21600">
                    <v:path arrowok="t"/>
                    <v:fill on="f" focussize="0,0"/>
                    <v:stroke color="#000000" endarrow="block"/>
                    <v:imagedata o:title=""/>
                    <o:lock v:ext="edit" aspectratio="f"/>
                  </v:line>
                  <v:rect id="_x0000_s2103" o:spid="_x0000_s2103" o:spt="1" style="position:absolute;left:4574;top:12762;height:457;width:1135;" filled="f" stroked="t" coordsize="21600,21600">
                    <v:path/>
                    <v:fill on="f" focussize="0,0"/>
                    <v:stroke color="#000000" joinstyle="miter"/>
                    <v:imagedata o:title=""/>
                    <o:lock v:ext="edit" aspectratio="f"/>
                    <v:textbox>
                      <w:txbxContent>
                        <w:p>
                          <w:pPr>
                            <w:jc w:val="center"/>
                            <w:rPr>
                              <w:rFonts w:hint="default" w:ascii="宋体" w:hAnsi="宋体" w:eastAsia="宋体" w:cs="宋体"/>
                              <w:lang w:val="en-US" w:eastAsia="zh-CN"/>
                            </w:rPr>
                          </w:pPr>
                          <w:r>
                            <w:rPr>
                              <w:rFonts w:hint="eastAsia" w:ascii="宋体" w:hAnsi="宋体" w:cs="宋体"/>
                              <w:lang w:val="en-US" w:eastAsia="zh-CN"/>
                            </w:rPr>
                            <w:t>电泳槽</w:t>
                          </w:r>
                        </w:p>
                      </w:txbxContent>
                    </v:textbox>
                  </v:rect>
                  <v:rect id="_x0000_s2104" o:spid="_x0000_s2104" o:spt="1" style="position:absolute;left:6416;top:10055;height:470;width:539;" fillcolor="#FFFFFF" filled="t" stroked="f" coordsize="21600,21600">
                    <v:path/>
                    <v:fill on="t" color2="#FFFFFF" opacity="0f" focussize="0,0"/>
                    <v:stroke on="f"/>
                    <v:imagedata o:title=""/>
                    <o:lock v:ext="edit" aspectratio="f"/>
                    <v:textbox>
                      <w:txbxContent>
                        <w:p>
                          <w:pPr>
                            <w:rPr>
                              <w:rFonts w:ascii="仿宋_GB2312" w:hAnsi="宋体" w:eastAsia="仿宋_GB2312"/>
                            </w:rPr>
                          </w:pPr>
                          <w:r>
                            <w:rPr>
                              <w:rFonts w:hint="eastAsia" w:ascii="宋体" w:hAnsi="宋体" w:cs="宋体"/>
                            </w:rPr>
                            <w:t>泵</w:t>
                          </w:r>
                        </w:p>
                      </w:txbxContent>
                    </v:textbox>
                  </v:rect>
                  <v:rect id="_x0000_s2105" o:spid="_x0000_s2105" o:spt="1" style="position:absolute;left:3932;top:13516;height:457;width:4620;" fillcolor="#FFFFFF" filled="t" stroked="f" coordsize="21600,21600">
                    <v:path/>
                    <v:fill on="t" color2="#FFFFFF" opacity="0f" focussize="0,0"/>
                    <v:stroke on="f"/>
                    <v:imagedata o:title=""/>
                    <o:lock v:ext="edit" aspectratio="f"/>
                    <v:textbox>
                      <w:txbxContent>
                        <w:p>
                          <w:pPr>
                            <w:jc w:val="center"/>
                            <w:rPr>
                              <w:rFonts w:hint="default" w:ascii="宋体" w:hAnsi="宋体" w:eastAsia="宋体" w:cs="宋体"/>
                              <w:b/>
                              <w:sz w:val="24"/>
                              <w:szCs w:val="24"/>
                              <w:lang w:val="en-US" w:eastAsia="zh-CN"/>
                            </w:rPr>
                          </w:pPr>
                          <w:r>
                            <w:rPr>
                              <w:rFonts w:ascii="Times New Roman" w:hAnsi="Times New Roman"/>
                              <w:b/>
                              <w:sz w:val="24"/>
                              <w:szCs w:val="24"/>
                            </w:rPr>
                            <w:t>图</w:t>
                          </w:r>
                          <w:r>
                            <w:rPr>
                              <w:rFonts w:hint="eastAsia" w:ascii="Times New Roman" w:hAnsi="Times New Roman"/>
                              <w:b/>
                              <w:sz w:val="24"/>
                              <w:szCs w:val="24"/>
                              <w:lang w:val="en-US" w:eastAsia="zh-CN"/>
                            </w:rPr>
                            <w:t>4-</w:t>
                          </w:r>
                          <w:r>
                            <w:rPr>
                              <w:rFonts w:hint="eastAsia"/>
                              <w:b/>
                              <w:sz w:val="24"/>
                              <w:szCs w:val="24"/>
                              <w:lang w:val="en-US" w:eastAsia="zh-CN"/>
                            </w:rPr>
                            <w:t>3</w:t>
                          </w:r>
                          <w:r>
                            <w:rPr>
                              <w:rFonts w:hint="eastAsia" w:ascii="Times New Roman" w:hAnsi="Times New Roman"/>
                              <w:b/>
                              <w:sz w:val="24"/>
                              <w:szCs w:val="24"/>
                              <w:lang w:val="en-US" w:eastAsia="zh-CN"/>
                            </w:rPr>
                            <w:t xml:space="preserve">   </w:t>
                          </w:r>
                          <w:r>
                            <w:rPr>
                              <w:rFonts w:hint="eastAsia" w:ascii="宋体" w:hAnsi="宋体" w:cs="宋体"/>
                              <w:b/>
                              <w:sz w:val="24"/>
                              <w:szCs w:val="24"/>
                              <w:lang w:val="en-US" w:eastAsia="zh-CN"/>
                            </w:rPr>
                            <w:t>超滤系统工艺流程图</w:t>
                          </w:r>
                        </w:p>
                      </w:txbxContent>
                    </v:textbox>
                  </v:rect>
                  <v:rect id="_x0000_s2106" o:spid="_x0000_s2106" o:spt="1" style="position:absolute;left:5362;top:11299;height:457;width:1819;" filled="f" stroked="t" coordsize="21600,21600">
                    <v:path/>
                    <v:fill on="f" focussize="0,0"/>
                    <v:stroke color="#000000" joinstyle="miter"/>
                    <v:imagedata o:title=""/>
                    <o:lock v:ext="edit" aspectratio="f"/>
                    <v:textbox>
                      <w:txbxContent>
                        <w:p>
                          <w:pPr>
                            <w:jc w:val="center"/>
                            <w:rPr>
                              <w:rFonts w:hint="eastAsia" w:ascii="宋体" w:hAnsi="宋体" w:eastAsia="宋体" w:cs="宋体"/>
                              <w:lang w:val="en-US" w:eastAsia="zh-CN"/>
                            </w:rPr>
                          </w:pPr>
                          <w:r>
                            <w:rPr>
                              <w:rFonts w:hint="eastAsia" w:ascii="宋体" w:hAnsi="宋体" w:cs="宋体"/>
                              <w:lang w:val="en-US" w:eastAsia="zh-CN"/>
                            </w:rPr>
                            <w:t>超滤膜</w:t>
                          </w:r>
                        </w:p>
                      </w:txbxContent>
                    </v:textbox>
                  </v:rect>
                  <v:rect id="_x0000_s2107" o:spid="_x0000_s2107" o:spt="1" style="position:absolute;left:5336;top:10465;height:457;width:1820;" filled="f" stroked="t" coordsize="21600,21600">
                    <v:path/>
                    <v:fill on="f" focussize="0,0"/>
                    <v:stroke color="#000000" joinstyle="miter"/>
                    <v:imagedata o:title=""/>
                    <o:lock v:ext="edit" aspectratio="f"/>
                    <v:textbox>
                      <w:txbxContent>
                        <w:p>
                          <w:pPr>
                            <w:jc w:val="center"/>
                            <w:rPr>
                              <w:rFonts w:ascii="宋体" w:hAnsi="宋体" w:cs="宋体"/>
                            </w:rPr>
                          </w:pPr>
                          <w:r>
                            <w:rPr>
                              <w:rFonts w:hint="eastAsia" w:ascii="宋体" w:hAnsi="宋体" w:cs="宋体"/>
                            </w:rPr>
                            <w:t>活性炭系统</w:t>
                          </w:r>
                        </w:p>
                      </w:txbxContent>
                    </v:textbox>
                  </v:rect>
                  <v:line id="_x0000_s2108" o:spid="_x0000_s2108" o:spt="20" style="position:absolute;left:7242;top:11522;height:1;width:990;" filled="f" stroked="t" coordsize="21600,21600">
                    <v:path arrowok="t"/>
                    <v:fill on="f" focussize="0,0"/>
                    <v:stroke color="#000000" dashstyle="dash" endarrow="block"/>
                    <v:imagedata o:title=""/>
                    <o:lock v:ext="edit" aspectratio="f"/>
                  </v:line>
                  <v:rect id="_x0000_s2109" o:spid="_x0000_s2109" o:spt="1" style="position:absolute;left:7139;top:11214;height:461;width:1332;" fillcolor="#FFFFFF" filled="t" stroked="f" coordsize="21600,21600">
                    <v:path/>
                    <v:fill on="t" color2="#FFFFFF" opacity="0f" focussize="0,0"/>
                    <v:stroke on="f"/>
                    <v:imagedata o:title=""/>
                    <o:lock v:ext="edit" aspectratio="f"/>
                    <v:textbox>
                      <w:txbxContent>
                        <w:p>
                          <w:pPr>
                            <w:rPr>
                              <w:rFonts w:hint="default" w:ascii="宋体" w:hAnsi="宋体" w:eastAsia="宋体" w:cs="宋体"/>
                              <w:lang w:val="en-US" w:eastAsia="zh-CN"/>
                            </w:rPr>
                          </w:pPr>
                          <w:r>
                            <w:rPr>
                              <w:rFonts w:hint="eastAsia" w:ascii="宋体" w:hAnsi="宋体" w:cs="宋体"/>
                              <w:lang w:val="en-US" w:eastAsia="zh-CN"/>
                            </w:rPr>
                            <w:t>废超滤膜</w:t>
                          </w:r>
                        </w:p>
                      </w:txbxContent>
                    </v:textbox>
                  </v:rect>
                  <v:rect id="_x0000_s2110" o:spid="_x0000_s2110" o:spt="1" style="position:absolute;left:8295;top:11205;height:880;width:1451;" fillcolor="#FFFFFF" filled="t" stroked="f" coordsize="21600,21600">
                    <v:path/>
                    <v:fill on="t" color2="#FFFFFF" opacity="0f" focussize="0,0"/>
                    <v:stroke on="f"/>
                    <v:imagedata o:title=""/>
                    <o:lock v:ext="edit" aspectratio="f"/>
                    <v:textbox>
                      <w:txbxContent>
                        <w:p>
                          <w:pPr>
                            <w:rPr>
                              <w:rFonts w:hint="default" w:ascii="宋体" w:hAnsi="宋体" w:eastAsia="宋体" w:cs="宋体"/>
                              <w:lang w:val="en-US" w:eastAsia="zh-CN"/>
                            </w:rPr>
                          </w:pPr>
                          <w:r>
                            <w:rPr>
                              <w:rFonts w:hint="eastAsia" w:ascii="宋体" w:hAnsi="宋体" w:cs="宋体"/>
                              <w:lang w:val="en-US" w:eastAsia="zh-CN"/>
                            </w:rPr>
                            <w:t>委托有资质单位处置</w:t>
                          </w:r>
                        </w:p>
                      </w:txbxContent>
                    </v:textbox>
                  </v:rect>
                  <v:shape id="_x0000_s2111" o:spid="_x0000_s2111" o:spt="34" type="#_x0000_t34" style="position:absolute;left:5204;top:11694;height:1130;width:1006;rotation:5898240f;" filled="f" stroked="t" coordsize="21600,21600" adj="10800">
                    <v:path arrowok="t"/>
                    <v:fill on="f" focussize="0,0"/>
                    <v:stroke color="#000000" joinstyle="miter" endarrow="open"/>
                    <v:imagedata o:title=""/>
                    <o:lock v:ext="edit" aspectratio="f"/>
                  </v:shape>
                  <v:rect id="_x0000_s2112" o:spid="_x0000_s2112" o:spt="1" style="position:absolute;left:6933;top:12763;height:440;width:1120;" filled="f" stroked="t" coordsize="21600,21600">
                    <v:path/>
                    <v:fill on="f" focussize="0,0"/>
                    <v:stroke color="#000000" joinstyle="miter"/>
                    <v:imagedata o:title=""/>
                    <o:lock v:ext="edit" aspectratio="f"/>
                    <v:textbox>
                      <w:txbxContent>
                        <w:p>
                          <w:pPr>
                            <w:jc w:val="center"/>
                            <w:rPr>
                              <w:rFonts w:hint="default" w:ascii="宋体" w:hAnsi="宋体" w:eastAsia="宋体" w:cs="宋体"/>
                              <w:lang w:val="en-US" w:eastAsia="zh-CN"/>
                            </w:rPr>
                          </w:pPr>
                          <w:r>
                            <w:rPr>
                              <w:rFonts w:hint="eastAsia" w:ascii="宋体" w:hAnsi="宋体" w:cs="宋体"/>
                              <w:lang w:val="en-US" w:eastAsia="zh-CN"/>
                            </w:rPr>
                            <w:t>UF2槽</w:t>
                          </w:r>
                        </w:p>
                      </w:txbxContent>
                    </v:textbox>
                  </v:rect>
                  <v:shape id="_x0000_s2113" o:spid="_x0000_s2113" o:spt="34" type="#_x0000_t34" style="position:absolute;left:6379;top:11649;flip:y;height:1221;width:1007;rotation:-5898240f;" filled="f" stroked="t" coordsize="21600,21600" adj="10811">
                    <v:path arrowok="t"/>
                    <v:fill on="f" focussize="0,0"/>
                    <v:stroke color="#000000" joinstyle="miter" endarrow="open"/>
                    <v:imagedata o:title=""/>
                    <o:lock v:ext="edit" aspectratio="f"/>
                  </v:shape>
                  <v:rect id="_x0000_s2114" o:spid="_x0000_s2114" o:spt="1" style="position:absolute;left:5011;top:11939;height:460;width:1550;" fillcolor="#FFFFFF" filled="t" stroked="f" coordsize="21600,21600">
                    <v:path/>
                    <v:fill on="t" color2="#FFFFFF" opacity="0f" focussize="0,0"/>
                    <v:stroke on="f"/>
                    <v:imagedata o:title=""/>
                    <o:lock v:ext="edit" aspectratio="f"/>
                    <v:textbox>
                      <w:txbxContent>
                        <w:p>
                          <w:pPr>
                            <w:rPr>
                              <w:rFonts w:hint="default" w:ascii="宋体" w:hAnsi="宋体" w:eastAsia="宋体" w:cs="宋体"/>
                              <w:lang w:val="en-US" w:eastAsia="zh-CN"/>
                            </w:rPr>
                          </w:pPr>
                          <w:r>
                            <w:rPr>
                              <w:rFonts w:hint="eastAsia" w:ascii="宋体" w:hAnsi="宋体" w:cs="宋体"/>
                              <w:lang w:val="en-US" w:eastAsia="zh-CN"/>
                            </w:rPr>
                            <w:t>电泳漆浓液</w:t>
                          </w:r>
                        </w:p>
                      </w:txbxContent>
                    </v:textbox>
                  </v:rect>
                  <v:rect id="_x0000_s2115" o:spid="_x0000_s2115" o:spt="1" style="position:absolute;left:6733;top:11933;height:460;width:1320;" fillcolor="#FFFFFF" filled="t" stroked="f" coordsize="21600,21600">
                    <v:path/>
                    <v:fill on="t" color2="#FFFFFF" opacity="0f" focussize="0,0"/>
                    <v:stroke on="f"/>
                    <v:imagedata o:title=""/>
                    <o:lock v:ext="edit" aspectratio="f"/>
                    <v:textbox>
                      <w:txbxContent>
                        <w:p>
                          <w:pPr>
                            <w:rPr>
                              <w:rFonts w:hint="default" w:ascii="宋体" w:hAnsi="宋体" w:eastAsia="宋体" w:cs="宋体"/>
                              <w:lang w:val="en-US" w:eastAsia="zh-CN"/>
                            </w:rPr>
                          </w:pPr>
                          <w:r>
                            <w:rPr>
                              <w:rFonts w:hint="eastAsia" w:ascii="宋体" w:hAnsi="宋体" w:cs="宋体"/>
                              <w:lang w:val="en-US" w:eastAsia="zh-CN"/>
                            </w:rPr>
                            <w:t>超滤水</w:t>
                          </w:r>
                        </w:p>
                      </w:txbxContent>
                    </v:textbox>
                  </v:rect>
                  <w10:wrap type="none"/>
                  <w10:anchorlock/>
                </v:group>
              </w:pict>
            </w:r>
          </w:p>
          <w:p>
            <w:pPr>
              <w:spacing w:line="360" w:lineRule="auto"/>
              <w:ind w:firstLine="480" w:firstLineChars="200"/>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制纯水浓水及超滤水的水质简单，污染物浓度低，制纯水浓水回用于</w:t>
            </w:r>
            <w:r>
              <w:rPr>
                <w:rFonts w:hint="eastAsia" w:cs="Times New Roman"/>
                <w:color w:val="auto"/>
                <w:sz w:val="24"/>
                <w:lang w:val="en-US" w:eastAsia="zh-CN"/>
              </w:rPr>
              <w:t>电泳前的清洗工段</w:t>
            </w:r>
            <w:r>
              <w:rPr>
                <w:rFonts w:hint="default" w:ascii="Times New Roman" w:hAnsi="Times New Roman" w:eastAsia="宋体" w:cs="Times New Roman"/>
                <w:color w:val="auto"/>
                <w:sz w:val="24"/>
                <w:lang w:val="en-US" w:eastAsia="zh-CN"/>
              </w:rPr>
              <w:t>；超滤水回用于</w:t>
            </w:r>
            <w:r>
              <w:rPr>
                <w:rFonts w:hint="eastAsia" w:cs="Times New Roman"/>
                <w:color w:val="auto"/>
                <w:sz w:val="24"/>
                <w:lang w:val="en-US" w:eastAsia="zh-CN"/>
              </w:rPr>
              <w:t>超滤水</w:t>
            </w:r>
            <w:r>
              <w:rPr>
                <w:rFonts w:hint="default" w:ascii="Times New Roman" w:hAnsi="Times New Roman" w:eastAsia="宋体" w:cs="Times New Roman"/>
                <w:color w:val="auto"/>
                <w:sz w:val="24"/>
                <w:lang w:val="en-US" w:eastAsia="zh-CN"/>
              </w:rPr>
              <w:t>清洗工段。</w:t>
            </w:r>
          </w:p>
          <w:p>
            <w:pPr>
              <w:numPr>
                <w:ilvl w:val="0"/>
                <w:numId w:val="2"/>
              </w:numPr>
              <w:spacing w:line="360" w:lineRule="auto"/>
              <w:ind w:firstLine="480" w:firstLineChars="200"/>
              <w:rPr>
                <w:rFonts w:hint="default" w:ascii="Times New Roman" w:hAnsi="Times New Roman" w:eastAsia="宋体" w:cs="Times New Roman"/>
                <w:bCs/>
                <w:color w:val="auto"/>
                <w:sz w:val="24"/>
                <w:lang w:val="en-US" w:eastAsia="zh-CN"/>
              </w:rPr>
            </w:pPr>
            <w:r>
              <w:rPr>
                <w:rFonts w:hint="default" w:ascii="Times New Roman" w:hAnsi="Times New Roman" w:eastAsia="宋体" w:cs="Times New Roman"/>
                <w:bCs/>
                <w:color w:val="auto"/>
                <w:sz w:val="24"/>
                <w:szCs w:val="24"/>
                <w:lang w:val="en-US" w:eastAsia="zh-CN"/>
              </w:rPr>
              <w:t>厂</w:t>
            </w:r>
            <w:r>
              <w:rPr>
                <w:rFonts w:hint="default" w:ascii="Times New Roman" w:hAnsi="Times New Roman" w:eastAsia="宋体" w:cs="Times New Roman"/>
                <w:color w:val="auto"/>
                <w:sz w:val="24"/>
                <w:szCs w:val="24"/>
                <w:lang w:val="en-US" w:eastAsia="zh-CN"/>
              </w:rPr>
              <w:t>内污水处理站可行性分析</w:t>
            </w:r>
          </w:p>
          <w:p>
            <w:pPr>
              <w:spacing w:line="360" w:lineRule="auto"/>
              <w:ind w:firstLine="480" w:firstLineChars="200"/>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企业厂内设置一套污水处理站，清洗废水、脱脂废水经处理达标后排放至武南污水处理厂，采用</w:t>
            </w:r>
            <w:r>
              <w:rPr>
                <w:rFonts w:hint="default" w:ascii="Times New Roman" w:hAnsi="Times New Roman" w:eastAsia="宋体" w:cs="Times New Roman"/>
                <w:color w:val="auto"/>
                <w:sz w:val="24"/>
                <w:lang w:val="en-US" w:eastAsia="zh-CN"/>
              </w:rPr>
              <w:t>曝气中和+化学沉淀+过滤吸附的物化处理工艺</w:t>
            </w:r>
            <w:r>
              <w:rPr>
                <w:rFonts w:hint="eastAsia" w:ascii="Times New Roman" w:hAnsi="Times New Roman" w:eastAsia="宋体" w:cs="Times New Roman"/>
                <w:color w:val="auto"/>
                <w:sz w:val="24"/>
                <w:lang w:val="en-US" w:eastAsia="zh-CN"/>
              </w:rPr>
              <w:t>，污水站设计处理能力为5t/d。项目污水</w:t>
            </w:r>
            <w:r>
              <w:rPr>
                <w:rFonts w:hint="eastAsia" w:cs="Times New Roman"/>
                <w:color w:val="auto"/>
                <w:sz w:val="24"/>
                <w:lang w:val="en-US" w:eastAsia="zh-CN"/>
              </w:rPr>
              <w:t>处理</w:t>
            </w:r>
            <w:r>
              <w:rPr>
                <w:rFonts w:hint="eastAsia" w:ascii="Times New Roman" w:hAnsi="Times New Roman" w:eastAsia="宋体" w:cs="Times New Roman"/>
                <w:color w:val="auto"/>
                <w:sz w:val="24"/>
                <w:lang w:val="en-US" w:eastAsia="zh-CN"/>
              </w:rPr>
              <w:t>站由欧瑞特环保（宜兴）有限公司设计。本项目所采用的污水预处理工艺为已成熟工艺，</w:t>
            </w:r>
            <w:r>
              <w:rPr>
                <w:rFonts w:hint="eastAsia" w:cs="Times New Roman"/>
                <w:color w:val="auto"/>
                <w:sz w:val="24"/>
                <w:lang w:val="en-US" w:eastAsia="zh-CN"/>
              </w:rPr>
              <w:t>生产废水</w:t>
            </w:r>
            <w:r>
              <w:rPr>
                <w:rFonts w:hint="eastAsia" w:ascii="Times New Roman" w:hAnsi="Times New Roman" w:eastAsia="宋体" w:cs="Times New Roman"/>
                <w:color w:val="auto"/>
                <w:sz w:val="24"/>
                <w:lang w:val="en-US" w:eastAsia="zh-CN"/>
              </w:rPr>
              <w:t>经处理后</w:t>
            </w:r>
            <w:r>
              <w:rPr>
                <w:rFonts w:hint="eastAsia" w:cs="Times New Roman"/>
                <w:color w:val="auto"/>
                <w:sz w:val="24"/>
                <w:lang w:val="en-US" w:eastAsia="zh-CN"/>
              </w:rPr>
              <w:t>科达标排放</w:t>
            </w:r>
            <w:r>
              <w:rPr>
                <w:rFonts w:hint="eastAsia" w:ascii="Times New Roman" w:hAnsi="Times New Roman" w:eastAsia="宋体" w:cs="Times New Roman"/>
                <w:color w:val="auto"/>
                <w:sz w:val="24"/>
                <w:lang w:val="en-US" w:eastAsia="zh-CN"/>
              </w:rPr>
              <w:t>。</w:t>
            </w:r>
          </w:p>
          <w:p>
            <w:pPr>
              <w:spacing w:line="360" w:lineRule="auto"/>
              <w:ind w:firstLine="480" w:firstLineChars="200"/>
              <w:rPr>
                <w:rFonts w:hint="eastAsia" w:cs="Times New Roman"/>
                <w:color w:val="auto"/>
                <w:sz w:val="24"/>
                <w:lang w:val="en-US" w:eastAsia="zh-CN"/>
              </w:rPr>
            </w:pPr>
            <w:r>
              <w:rPr>
                <w:rFonts w:hint="eastAsia" w:cs="Times New Roman"/>
                <w:color w:val="auto"/>
                <w:sz w:val="24"/>
                <w:lang w:val="en-US" w:eastAsia="zh-CN"/>
              </w:rPr>
              <w:t>①污水处理工艺流程</w:t>
            </w:r>
          </w:p>
          <w:p>
            <w:pPr>
              <w:spacing w:line="360" w:lineRule="auto"/>
              <w:ind w:firstLine="480" w:firstLineChars="200"/>
              <w:rPr>
                <w:rFonts w:hint="default" w:ascii="Times New Roman" w:hAnsi="Times New Roman" w:eastAsia="宋体" w:cs="Times New Roman"/>
                <w:bCs/>
                <w:color w:val="auto"/>
                <w:sz w:val="24"/>
                <w:lang w:val="en-US" w:eastAsia="zh-CN"/>
              </w:rPr>
            </w:pPr>
            <w:r>
              <w:rPr>
                <w:rFonts w:hint="eastAsia" w:cs="Times New Roman"/>
                <w:color w:val="auto"/>
                <w:sz w:val="24"/>
                <w:lang w:val="en-US" w:eastAsia="zh-CN"/>
              </w:rPr>
              <w:t>污水处理工艺流程见下图。</w:t>
            </w:r>
          </w:p>
          <w:p>
            <w:pPr>
              <w:numPr>
                <w:ilvl w:val="0"/>
                <w:numId w:val="0"/>
              </w:numPr>
              <w:spacing w:line="36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rPr>
              <w:drawing>
                <wp:inline distT="0" distB="0" distL="114300" distR="114300">
                  <wp:extent cx="5371465" cy="2856865"/>
                  <wp:effectExtent l="0" t="0" r="635" b="635"/>
                  <wp:docPr id="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8"/>
                          <pic:cNvPicPr>
                            <a:picLocks noChangeAspect="1"/>
                          </pic:cNvPicPr>
                        </pic:nvPicPr>
                        <pic:blipFill>
                          <a:blip r:embed="rId28"/>
                          <a:stretch>
                            <a:fillRect/>
                          </a:stretch>
                        </pic:blipFill>
                        <pic:spPr>
                          <a:xfrm>
                            <a:off x="0" y="0"/>
                            <a:ext cx="5371465" cy="2856865"/>
                          </a:xfrm>
                          <a:prstGeom prst="rect">
                            <a:avLst/>
                          </a:prstGeom>
                          <a:noFill/>
                          <a:ln>
                            <a:noFill/>
                          </a:ln>
                        </pic:spPr>
                      </pic:pic>
                    </a:graphicData>
                  </a:graphic>
                </wp:inline>
              </w:drawing>
            </w:r>
          </w:p>
          <w:p>
            <w:pPr>
              <w:jc w:val="center"/>
              <w:rPr>
                <w:rFonts w:hint="default" w:ascii="Times New Roman" w:hAnsi="Times New Roman" w:eastAsia="宋体" w:cs="Times New Roman"/>
                <w:b/>
                <w:color w:val="auto"/>
                <w:sz w:val="24"/>
                <w:szCs w:val="24"/>
                <w:lang w:val="en-US" w:eastAsia="zh-CN"/>
              </w:rPr>
            </w:pPr>
            <w:r>
              <w:rPr>
                <w:rFonts w:hint="default" w:ascii="Times New Roman" w:hAnsi="Times New Roman" w:eastAsia="宋体" w:cs="Times New Roman"/>
                <w:b/>
                <w:color w:val="auto"/>
                <w:sz w:val="24"/>
                <w:szCs w:val="24"/>
              </w:rPr>
              <w:t>图</w:t>
            </w:r>
            <w:r>
              <w:rPr>
                <w:rFonts w:hint="default" w:ascii="Times New Roman" w:hAnsi="Times New Roman" w:eastAsia="宋体" w:cs="Times New Roman"/>
                <w:b/>
                <w:color w:val="auto"/>
                <w:sz w:val="24"/>
                <w:szCs w:val="24"/>
                <w:lang w:val="en-US" w:eastAsia="zh-CN"/>
              </w:rPr>
              <w:t>4-4</w:t>
            </w:r>
            <w:r>
              <w:rPr>
                <w:rFonts w:hint="default" w:ascii="Times New Roman" w:hAnsi="Times New Roman" w:eastAsia="宋体" w:cs="Times New Roman"/>
                <w:b/>
                <w:color w:val="auto"/>
                <w:sz w:val="24"/>
                <w:szCs w:val="24"/>
              </w:rPr>
              <w:t xml:space="preserve">  </w:t>
            </w:r>
            <w:r>
              <w:rPr>
                <w:rFonts w:hint="default" w:ascii="Times New Roman" w:hAnsi="Times New Roman" w:eastAsia="宋体" w:cs="Times New Roman"/>
                <w:b/>
                <w:color w:val="auto"/>
                <w:sz w:val="24"/>
                <w:szCs w:val="24"/>
                <w:lang w:val="en-US" w:eastAsia="zh-CN"/>
              </w:rPr>
              <w:t>厂内污水处理站污水处理工艺流程</w:t>
            </w:r>
          </w:p>
          <w:p>
            <w:pPr>
              <w:spacing w:line="360" w:lineRule="auto"/>
              <w:ind w:firstLine="480" w:firstLineChars="200"/>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②污水站主要构筑物</w:t>
            </w:r>
          </w:p>
          <w:p>
            <w:pPr>
              <w:spacing w:line="360" w:lineRule="auto"/>
              <w:ind w:firstLine="480" w:firstLineChars="200"/>
              <w:rPr>
                <w:rFonts w:hint="default"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污水处理站主要构筑物参数详见</w:t>
            </w:r>
            <w:r>
              <w:rPr>
                <w:rFonts w:hint="eastAsia" w:cs="Times New Roman"/>
                <w:color w:val="auto"/>
                <w:sz w:val="24"/>
                <w:lang w:val="en-US" w:eastAsia="zh-CN"/>
              </w:rPr>
              <w:t>下表</w:t>
            </w:r>
            <w:r>
              <w:rPr>
                <w:rFonts w:hint="default" w:ascii="Times New Roman" w:hAnsi="Times New Roman" w:eastAsia="宋体" w:cs="Times New Roman"/>
                <w:color w:val="auto"/>
                <w:sz w:val="24"/>
                <w:lang w:val="en-US" w:eastAsia="zh-CN"/>
              </w:rPr>
              <w:t>。</w:t>
            </w:r>
          </w:p>
          <w:p>
            <w:pPr>
              <w:pStyle w:val="79"/>
              <w:spacing w:beforeLines="0" w:line="240" w:lineRule="auto"/>
              <w:ind w:firstLine="0" w:firstLineChars="0"/>
              <w:jc w:val="center"/>
              <w:rPr>
                <w:rFonts w:hint="default" w:ascii="Times New Roman" w:hAnsi="Times New Roman" w:eastAsia="宋体" w:cs="Times New Roman"/>
                <w:b/>
                <w:bCs w:val="0"/>
                <w:color w:val="auto"/>
                <w:lang w:val="en-US" w:eastAsia="zh-CN"/>
              </w:rPr>
            </w:pPr>
            <w:r>
              <w:rPr>
                <w:rFonts w:hint="default" w:ascii="Times New Roman" w:hAnsi="Times New Roman" w:eastAsia="宋体" w:cs="Times New Roman"/>
                <w:b/>
                <w:color w:val="auto"/>
              </w:rPr>
              <w:t>表</w:t>
            </w:r>
            <w:r>
              <w:rPr>
                <w:rFonts w:hint="default" w:ascii="Times New Roman" w:hAnsi="Times New Roman" w:eastAsia="宋体" w:cs="Times New Roman"/>
                <w:b/>
                <w:bCs w:val="0"/>
                <w:color w:val="auto"/>
              </w:rPr>
              <w:t>4-1</w:t>
            </w:r>
            <w:r>
              <w:rPr>
                <w:rFonts w:hint="eastAsia" w:cs="Times New Roman"/>
                <w:b/>
                <w:bCs w:val="0"/>
                <w:color w:val="auto"/>
                <w:lang w:val="en-US" w:eastAsia="zh-CN"/>
              </w:rPr>
              <w:t>6</w:t>
            </w:r>
            <w:r>
              <w:rPr>
                <w:rFonts w:hint="default" w:ascii="Times New Roman" w:hAnsi="Times New Roman" w:eastAsia="宋体" w:cs="Times New Roman"/>
                <w:b/>
                <w:bCs w:val="0"/>
                <w:color w:val="auto"/>
              </w:rPr>
              <w:t xml:space="preserve"> </w:t>
            </w:r>
            <w:r>
              <w:rPr>
                <w:rFonts w:hint="eastAsia" w:ascii="Times New Roman" w:hAnsi="Times New Roman" w:eastAsia="宋体" w:cs="Times New Roman"/>
                <w:b/>
                <w:bCs w:val="0"/>
                <w:color w:val="auto"/>
                <w:sz w:val="24"/>
                <w:lang w:val="en-US" w:eastAsia="zh-CN"/>
              </w:rPr>
              <w:t>污水</w:t>
            </w:r>
            <w:r>
              <w:rPr>
                <w:rFonts w:hint="eastAsia" w:cs="Times New Roman"/>
                <w:b/>
                <w:bCs w:val="0"/>
                <w:color w:val="auto"/>
                <w:sz w:val="24"/>
                <w:lang w:val="en-US" w:eastAsia="zh-CN"/>
              </w:rPr>
              <w:t>处理</w:t>
            </w:r>
            <w:r>
              <w:rPr>
                <w:rFonts w:hint="eastAsia" w:ascii="Times New Roman" w:hAnsi="Times New Roman" w:eastAsia="宋体" w:cs="Times New Roman"/>
                <w:b/>
                <w:bCs w:val="0"/>
                <w:color w:val="auto"/>
                <w:sz w:val="24"/>
                <w:lang w:val="en-US" w:eastAsia="zh-CN"/>
              </w:rPr>
              <w:t>站主要构筑物</w:t>
            </w:r>
            <w:r>
              <w:rPr>
                <w:rFonts w:hint="eastAsia" w:cs="Times New Roman"/>
                <w:b/>
                <w:bCs w:val="0"/>
                <w:color w:val="auto"/>
                <w:sz w:val="24"/>
                <w:lang w:val="en-US" w:eastAsia="zh-CN"/>
              </w:rPr>
              <w:t>参数情况表</w:t>
            </w:r>
          </w:p>
          <w:tbl>
            <w:tblPr>
              <w:tblStyle w:val="22"/>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37"/>
              <w:gridCol w:w="2181"/>
              <w:gridCol w:w="2326"/>
              <w:gridCol w:w="775"/>
              <w:gridCol w:w="714"/>
              <w:gridCol w:w="150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7" w:type="pct"/>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eastAsia" w:cs="Times New Roman"/>
                      <w:b/>
                      <w:bCs/>
                      <w:color w:val="auto"/>
                      <w:szCs w:val="21"/>
                      <w:lang w:val="en-US" w:eastAsia="zh-CN"/>
                    </w:rPr>
                    <w:t>序号</w:t>
                  </w:r>
                </w:p>
              </w:tc>
              <w:tc>
                <w:tcPr>
                  <w:tcW w:w="1322" w:type="pct"/>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eastAsia" w:cs="Times New Roman"/>
                      <w:b/>
                      <w:bCs/>
                      <w:color w:val="auto"/>
                      <w:szCs w:val="21"/>
                      <w:lang w:val="en-US" w:eastAsia="zh-CN"/>
                    </w:rPr>
                    <w:t>主要构筑物</w:t>
                  </w:r>
                </w:p>
              </w:tc>
              <w:tc>
                <w:tcPr>
                  <w:tcW w:w="1410" w:type="pct"/>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eastAsia" w:cs="Times New Roman"/>
                      <w:b/>
                      <w:bCs/>
                      <w:color w:val="auto"/>
                      <w:szCs w:val="21"/>
                      <w:lang w:val="en-US" w:eastAsia="zh-CN"/>
                    </w:rPr>
                    <w:t>规格</w:t>
                  </w:r>
                </w:p>
              </w:tc>
              <w:tc>
                <w:tcPr>
                  <w:tcW w:w="470" w:type="pct"/>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eastAsia" w:cs="Times New Roman"/>
                      <w:b/>
                      <w:bCs/>
                      <w:color w:val="auto"/>
                      <w:szCs w:val="21"/>
                      <w:lang w:val="en-US" w:eastAsia="zh-CN"/>
                    </w:rPr>
                    <w:t>数量</w:t>
                  </w:r>
                </w:p>
              </w:tc>
              <w:tc>
                <w:tcPr>
                  <w:tcW w:w="433" w:type="pct"/>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eastAsia" w:cs="Times New Roman"/>
                      <w:b/>
                      <w:bCs/>
                      <w:color w:val="auto"/>
                      <w:szCs w:val="21"/>
                      <w:lang w:val="en-US" w:eastAsia="zh-CN"/>
                    </w:rPr>
                    <w:t>单位</w:t>
                  </w:r>
                </w:p>
              </w:tc>
              <w:tc>
                <w:tcPr>
                  <w:tcW w:w="914" w:type="pct"/>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eastAsia" w:cs="Times New Roman"/>
                      <w:b/>
                      <w:bCs/>
                      <w:color w:val="auto"/>
                      <w:szCs w:val="21"/>
                      <w:lang w:val="en-US" w:eastAsia="zh-CN"/>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47"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w:t>
                  </w:r>
                </w:p>
              </w:tc>
              <w:tc>
                <w:tcPr>
                  <w:tcW w:w="1322"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脱脂清洗液调节池</w:t>
                  </w:r>
                </w:p>
              </w:tc>
              <w:tc>
                <w:tcPr>
                  <w:tcW w:w="1410"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3000×1000×2500mm</w:t>
                  </w:r>
                </w:p>
              </w:tc>
              <w:tc>
                <w:tcPr>
                  <w:tcW w:w="470"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w:t>
                  </w:r>
                </w:p>
              </w:tc>
              <w:tc>
                <w:tcPr>
                  <w:tcW w:w="433"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座</w:t>
                  </w:r>
                </w:p>
              </w:tc>
              <w:tc>
                <w:tcPr>
                  <w:tcW w:w="914"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玻璃钢防腐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47"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2</w:t>
                  </w:r>
                </w:p>
              </w:tc>
              <w:tc>
                <w:tcPr>
                  <w:tcW w:w="1322" w:type="pct"/>
                  <w:vAlign w:val="center"/>
                </w:tcPr>
                <w:p>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漂洗水调节池</w:t>
                  </w:r>
                </w:p>
              </w:tc>
              <w:tc>
                <w:tcPr>
                  <w:tcW w:w="1410" w:type="pct"/>
                  <w:vAlign w:val="center"/>
                </w:tcPr>
                <w:p>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3000×1300×2500mm</w:t>
                  </w:r>
                </w:p>
              </w:tc>
              <w:tc>
                <w:tcPr>
                  <w:tcW w:w="470"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w:t>
                  </w:r>
                </w:p>
              </w:tc>
              <w:tc>
                <w:tcPr>
                  <w:tcW w:w="433"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座</w:t>
                  </w:r>
                </w:p>
              </w:tc>
              <w:tc>
                <w:tcPr>
                  <w:tcW w:w="914"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玻璃钢防腐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47"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3</w:t>
                  </w:r>
                </w:p>
              </w:tc>
              <w:tc>
                <w:tcPr>
                  <w:tcW w:w="1322" w:type="pct"/>
                  <w:vAlign w:val="center"/>
                </w:tcPr>
                <w:p>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中和池</w:t>
                  </w:r>
                </w:p>
              </w:tc>
              <w:tc>
                <w:tcPr>
                  <w:tcW w:w="1410" w:type="pct"/>
                  <w:vAlign w:val="center"/>
                </w:tcPr>
                <w:p>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1000×2500×2500mm</w:t>
                  </w:r>
                </w:p>
              </w:tc>
              <w:tc>
                <w:tcPr>
                  <w:tcW w:w="470"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w:t>
                  </w:r>
                </w:p>
              </w:tc>
              <w:tc>
                <w:tcPr>
                  <w:tcW w:w="433"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座</w:t>
                  </w:r>
                </w:p>
              </w:tc>
              <w:tc>
                <w:tcPr>
                  <w:tcW w:w="914"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玻璃钢防腐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47"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4</w:t>
                  </w:r>
                </w:p>
              </w:tc>
              <w:tc>
                <w:tcPr>
                  <w:tcW w:w="1322"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中间水池</w:t>
                  </w:r>
                </w:p>
              </w:tc>
              <w:tc>
                <w:tcPr>
                  <w:tcW w:w="1410" w:type="pct"/>
                  <w:vAlign w:val="center"/>
                </w:tcPr>
                <w:p>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1000×2500×2500mm</w:t>
                  </w:r>
                </w:p>
              </w:tc>
              <w:tc>
                <w:tcPr>
                  <w:tcW w:w="470"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w:t>
                  </w:r>
                </w:p>
              </w:tc>
              <w:tc>
                <w:tcPr>
                  <w:tcW w:w="433"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座</w:t>
                  </w:r>
                </w:p>
              </w:tc>
              <w:tc>
                <w:tcPr>
                  <w:tcW w:w="914"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47"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5</w:t>
                  </w:r>
                </w:p>
              </w:tc>
              <w:tc>
                <w:tcPr>
                  <w:tcW w:w="1322"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污泥池</w:t>
                  </w:r>
                </w:p>
              </w:tc>
              <w:tc>
                <w:tcPr>
                  <w:tcW w:w="1410" w:type="pct"/>
                  <w:vAlign w:val="center"/>
                </w:tcPr>
                <w:p>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1000×2500×2500mm</w:t>
                  </w:r>
                </w:p>
              </w:tc>
              <w:tc>
                <w:tcPr>
                  <w:tcW w:w="470"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w:t>
                  </w:r>
                </w:p>
              </w:tc>
              <w:tc>
                <w:tcPr>
                  <w:tcW w:w="433"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座</w:t>
                  </w:r>
                </w:p>
              </w:tc>
              <w:tc>
                <w:tcPr>
                  <w:tcW w:w="914"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47"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6</w:t>
                  </w:r>
                </w:p>
              </w:tc>
              <w:tc>
                <w:tcPr>
                  <w:tcW w:w="1322"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排放水池</w:t>
                  </w:r>
                </w:p>
              </w:tc>
              <w:tc>
                <w:tcPr>
                  <w:tcW w:w="1410" w:type="pct"/>
                  <w:vAlign w:val="center"/>
                </w:tcPr>
                <w:p>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1600×2500×2500mm</w:t>
                  </w:r>
                </w:p>
              </w:tc>
              <w:tc>
                <w:tcPr>
                  <w:tcW w:w="470"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w:t>
                  </w:r>
                </w:p>
              </w:tc>
              <w:tc>
                <w:tcPr>
                  <w:tcW w:w="433"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座</w:t>
                  </w:r>
                </w:p>
              </w:tc>
              <w:tc>
                <w:tcPr>
                  <w:tcW w:w="914"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w:t>
                  </w:r>
                </w:p>
              </w:tc>
            </w:tr>
          </w:tbl>
          <w:p>
            <w:pPr>
              <w:spacing w:line="360" w:lineRule="auto"/>
              <w:ind w:firstLine="480" w:firstLineChars="200"/>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③</w:t>
            </w:r>
            <w:r>
              <w:rPr>
                <w:rFonts w:hint="eastAsia" w:ascii="Times New Roman" w:hAnsi="Times New Roman" w:eastAsia="宋体" w:cs="Times New Roman"/>
                <w:color w:val="auto"/>
                <w:sz w:val="24"/>
                <w:lang w:val="en-US" w:eastAsia="zh-CN"/>
              </w:rPr>
              <w:t>污水</w:t>
            </w:r>
            <w:r>
              <w:rPr>
                <w:rFonts w:hint="eastAsia" w:cs="Times New Roman"/>
                <w:color w:val="auto"/>
                <w:sz w:val="24"/>
                <w:lang w:val="en-US" w:eastAsia="zh-CN"/>
              </w:rPr>
              <w:t>处理站工艺流程说明</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lang w:val="en-US" w:eastAsia="zh-CN"/>
              </w:rPr>
              <w:t>本工艺采用曝气中和+化学沉淀+过滤吸附的物化处理的工艺，使其能稳定达到排放要求，具体说明如</w:t>
            </w:r>
            <w:r>
              <w:rPr>
                <w:rFonts w:hint="default" w:ascii="Times New Roman" w:hAnsi="Times New Roman" w:eastAsia="宋体" w:cs="Times New Roman"/>
                <w:bCs/>
                <w:color w:val="auto"/>
                <w:sz w:val="24"/>
              </w:rPr>
              <w:t>下：</w:t>
            </w:r>
          </w:p>
          <w:p>
            <w:pPr>
              <w:spacing w:line="360" w:lineRule="auto"/>
              <w:ind w:firstLine="480" w:firstLineChars="200"/>
              <w:rPr>
                <w:rFonts w:hint="eastAsia" w:ascii="Times New Roman" w:hAnsi="Times New Roman" w:eastAsia="宋体" w:cs="Times New Roman"/>
                <w:bCs/>
                <w:color w:val="auto"/>
                <w:sz w:val="24"/>
                <w:lang w:eastAsia="zh-CN"/>
              </w:rPr>
            </w:pPr>
            <w:r>
              <w:rPr>
                <w:rFonts w:hint="default" w:ascii="Times New Roman" w:hAnsi="Times New Roman" w:eastAsia="宋体" w:cs="Times New Roman"/>
                <w:bCs/>
                <w:color w:val="auto"/>
                <w:sz w:val="24"/>
                <w:lang w:val="en-US" w:eastAsia="zh-CN"/>
              </w:rPr>
              <w:t>1、</w:t>
            </w:r>
            <w:r>
              <w:rPr>
                <w:rFonts w:hint="default" w:ascii="Times New Roman" w:hAnsi="Times New Roman" w:eastAsia="宋体" w:cs="Times New Roman"/>
                <w:bCs/>
                <w:color w:val="auto"/>
                <w:sz w:val="24"/>
              </w:rPr>
              <w:t>脱脂清洗液调节池脱脂清洗液首先进入调节池，由于在不同的时间段内，废水排放的水量、水质很不均匀，为保证后续设备的连续运行，因此设计一废水调节池来贮存废水和均匀水质。调节池设立废水定量泵1台，将废液提升入进入漂洗水调节池混合处理。水池采用混凝土结构，水池玻璃钢防腐</w:t>
            </w:r>
            <w:r>
              <w:rPr>
                <w:rFonts w:hint="eastAsia" w:cs="Times New Roman"/>
                <w:bCs/>
                <w:color w:val="auto"/>
                <w:sz w:val="24"/>
                <w:lang w:eastAsia="zh-CN"/>
              </w:rPr>
              <w:t>。</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2、漂洗水调节池漂洗水首先进入调节池，由于在不同的时间段内，废水排放的水量、水质很不均匀，为保证后续设备的连续运行，因此设计一废水调节池来贮存废水和均匀水质。调节池设立废水一级提升泵1台，提升泵将废水提升入中和池。调节池采用混凝土结构，水池玻璃钢防腐。</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3、中和池废水由提升泵提升进入中和池中，中和池的作用是使碱和废水中的酸性物质和金属离子进行充分的反应，调整PH值至废水最佳沉淀值，PH调整加药采用片酸，采用空气搅拌充氧中和的方式。中和池采用二座，调整反应结束后采用提升泵提升至混凝反应池。中和池采用混凝土结构，水池玻璃钢防腐。</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4、混凝反应池在废水中投加絮凝剂、助凝剂，使废水中的固体悬浮物形成胶羽状物体，加快固液分离的速度及效果。反应池采用搅拌机搅拌提高反应速度，同是利于矾花的形成。反应后出水自流进入斜管沉淀池。混凝反应池采用钢制结构，内部采用环氧煤沥青涂料防腐三道以上。</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5、沉淀池反应后出水经管道均匀分布进入沉淀池中，沉淀池采用斜管沉淀池结构，以提高沉淀面积；沉淀池下部布水采用支母多孔管小阻力布水方式,保证布水均匀，尽量减少对下沉悬浮物及池底污泥的干扰；上部集水设置可调节液位的齿形集水槽，以充分保证集水均匀；沉淀池集泥斗倾角为55度以上，保证污泥顺利沉入池底。通过一系列的周详设计，极大地提高沉淀池的沉淀效果及处理效率。并使沉淀池抗冲击能力得到很大的增强。斜管沉淀池采用钢制结构，内部采用环氧煤沥青涂料防腐三道以上，沉淀池填料采用聚丙烯材质，比重轻且使用寿命长。</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6、中间水池该水池起到贮存沉淀出水的作用，以满足后级锰砂过滤器吸附连续进水的要求。中间水池设过滤泵2台（兼反冲泵）。</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7、锰砂过滤器过滤泵将中间水池中的水提升入锰砂过滤器，锰砂过滤器内装有天然优质锰砂滤料，锰砂滤料一是起到拦截水中悬浮颗料，再是进行进一步过滤和吸附，当水经过锰砂滤层过滤时，由于滤料的化学作用和表面的铁（锰）细菌（多芽胞锈细菌、含铁嘉氏铁杆菌，单细胞铁细菌及锈色披毛菌等）的生物化学作用，在滤料层发生生物化学反应，大大加快水中铁的氧化，固化和去除，经过过滤后的水进入活性碳过滤器。锰砂过滤器设置一台，钢制结构，内部采用环氧煤沥青涂料防腐三道以上。</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8、活性碳过滤器锰砂过滤器的出水直接进入活性炭过滤器，目的是为了利用活性炭的吸附能力，对水中的残存的有机质、表面活性剂、油类及金属离子等作彻底的去除，确保出水达到后级处理标准。活性碳过滤器出水进入排放管网。活性炭过滤器设置一台，钢制结构，内部采用环氧煤沥青涂料防腐三道以上。</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9、污泥池用于贮存沉淀池排出的污泥,以利于后续压滤机进行污泥干化处理。</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10、压滤机对污泥进行压滤，系统使用螺杆泵将污泥池中泥浆提升进入板框压滤机进行压滤后滤饼外运，滤出液回调节池再次进行处理。压滤机采用电动液压式。</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11、加药系统该废水处理部分投加的药品有酸、PAC、PAM。加药系统除碱或石灰投加外，其余均采用计量泵投加的方式，每套含加药搅拌箱1个，加药泵根据用药点的需要，一个用药点采用一台计量泵单独供药，以利于控制，加药泵出口均设置流量控制器，以保证加药准确。</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12、风机系统中PH的调整均采用空气搅拌的方式，本系统采用回转式风机一台，可连续运行。</w:t>
            </w:r>
          </w:p>
          <w:p>
            <w:pPr>
              <w:spacing w:line="360" w:lineRule="auto"/>
              <w:ind w:firstLine="480" w:firstLineChars="200"/>
              <w:rPr>
                <w:rFonts w:hint="eastAsia" w:ascii="Times New Roman" w:hAnsi="Times New Roman" w:eastAsia="宋体" w:cs="Times New Roman"/>
                <w:bCs/>
                <w:color w:val="auto"/>
                <w:sz w:val="24"/>
              </w:rPr>
            </w:pPr>
            <w:r>
              <w:rPr>
                <w:rFonts w:hint="eastAsia" w:ascii="Times New Roman" w:hAnsi="Times New Roman" w:eastAsia="宋体" w:cs="Times New Roman"/>
                <w:bCs/>
                <w:color w:val="auto"/>
                <w:sz w:val="24"/>
              </w:rPr>
              <w:t>废水经过处理后，污染物浓度大幅降低，出水完全能够达到</w:t>
            </w:r>
            <w:r>
              <w:rPr>
                <w:rFonts w:hint="eastAsia" w:cs="Times New Roman"/>
                <w:bCs/>
                <w:color w:val="auto"/>
                <w:sz w:val="24"/>
                <w:lang w:val="en-US" w:eastAsia="zh-CN"/>
              </w:rPr>
              <w:t>排放标准</w:t>
            </w:r>
            <w:r>
              <w:rPr>
                <w:rFonts w:hint="eastAsia" w:ascii="Times New Roman" w:hAnsi="Times New Roman" w:eastAsia="宋体" w:cs="Times New Roman"/>
                <w:bCs/>
                <w:color w:val="auto"/>
                <w:sz w:val="24"/>
              </w:rPr>
              <w:t>。</w:t>
            </w:r>
          </w:p>
          <w:p>
            <w:pPr>
              <w:spacing w:line="360" w:lineRule="auto"/>
              <w:ind w:firstLine="480" w:firstLineChars="200"/>
              <w:rPr>
                <w:rFonts w:hint="default" w:cs="Times New Roman"/>
                <w:bCs/>
                <w:color w:val="auto"/>
                <w:sz w:val="24"/>
                <w:lang w:val="en-US" w:eastAsia="zh-CN"/>
              </w:rPr>
            </w:pPr>
            <w:r>
              <w:rPr>
                <w:rFonts w:hint="eastAsia" w:cs="Times New Roman"/>
                <w:bCs/>
                <w:color w:val="auto"/>
                <w:sz w:val="24"/>
                <w:lang w:val="en-US" w:eastAsia="zh-CN"/>
              </w:rPr>
              <w:t>④污水处理效果</w:t>
            </w:r>
          </w:p>
          <w:p>
            <w:pPr>
              <w:spacing w:line="360" w:lineRule="auto"/>
              <w:ind w:firstLine="480" w:firstLineChars="200"/>
              <w:rPr>
                <w:rFonts w:hint="eastAsia" w:ascii="Times New Roman" w:hAnsi="Times New Roman" w:eastAsia="宋体" w:cs="Times New Roman"/>
                <w:bCs/>
                <w:color w:val="auto"/>
                <w:sz w:val="24"/>
              </w:rPr>
            </w:pPr>
            <w:r>
              <w:rPr>
                <w:rFonts w:hint="eastAsia" w:ascii="Times New Roman" w:hAnsi="Times New Roman" w:eastAsia="宋体" w:cs="Times New Roman"/>
                <w:bCs/>
                <w:color w:val="auto"/>
                <w:sz w:val="24"/>
              </w:rPr>
              <w:t>企业进污水预处理站的废水主要为</w:t>
            </w:r>
            <w:r>
              <w:rPr>
                <w:rFonts w:hint="eastAsia" w:cs="Times New Roman"/>
                <w:bCs/>
                <w:color w:val="auto"/>
                <w:sz w:val="24"/>
                <w:lang w:val="en-US" w:eastAsia="zh-CN"/>
              </w:rPr>
              <w:t>清洗</w:t>
            </w:r>
            <w:r>
              <w:rPr>
                <w:rFonts w:hint="eastAsia" w:ascii="Times New Roman" w:hAnsi="Times New Roman" w:eastAsia="宋体" w:cs="Times New Roman"/>
                <w:bCs/>
                <w:color w:val="auto"/>
                <w:sz w:val="24"/>
              </w:rPr>
              <w:t>废水</w:t>
            </w:r>
            <w:r>
              <w:rPr>
                <w:rFonts w:hint="eastAsia" w:cs="Times New Roman"/>
                <w:bCs/>
                <w:color w:val="auto"/>
                <w:sz w:val="24"/>
                <w:lang w:val="en-US" w:eastAsia="zh-CN"/>
              </w:rPr>
              <w:t>和脱脂废水</w:t>
            </w:r>
            <w:r>
              <w:rPr>
                <w:rFonts w:hint="eastAsia" w:ascii="Times New Roman" w:hAnsi="Times New Roman" w:eastAsia="宋体" w:cs="Times New Roman"/>
                <w:bCs/>
                <w:color w:val="auto"/>
                <w:sz w:val="24"/>
              </w:rPr>
              <w:t>，废水量为</w:t>
            </w:r>
            <w:r>
              <w:rPr>
                <w:rFonts w:hint="eastAsia" w:cs="Times New Roman"/>
                <w:bCs/>
                <w:color w:val="auto"/>
                <w:sz w:val="24"/>
                <w:lang w:val="en-US" w:eastAsia="zh-CN"/>
              </w:rPr>
              <w:t>1261.9</w:t>
            </w:r>
            <w:r>
              <w:rPr>
                <w:rFonts w:hint="eastAsia" w:ascii="Times New Roman" w:hAnsi="Times New Roman" w:eastAsia="宋体" w:cs="Times New Roman"/>
                <w:bCs/>
                <w:color w:val="auto"/>
                <w:sz w:val="24"/>
              </w:rPr>
              <w:t>m</w:t>
            </w:r>
            <w:r>
              <w:rPr>
                <w:rFonts w:hint="eastAsia" w:ascii="Times New Roman" w:hAnsi="Times New Roman" w:eastAsia="宋体" w:cs="Times New Roman"/>
                <w:bCs/>
                <w:color w:val="auto"/>
                <w:sz w:val="24"/>
                <w:vertAlign w:val="superscript"/>
              </w:rPr>
              <w:t>3</w:t>
            </w:r>
            <w:r>
              <w:rPr>
                <w:rFonts w:hint="eastAsia" w:ascii="Times New Roman" w:hAnsi="Times New Roman" w:eastAsia="宋体" w:cs="Times New Roman"/>
                <w:bCs/>
                <w:color w:val="auto"/>
                <w:sz w:val="24"/>
              </w:rPr>
              <w:t>/a。经本项目污水站处理后，污水站进出水水质前后对比见表4-</w:t>
            </w:r>
            <w:r>
              <w:rPr>
                <w:rFonts w:hint="eastAsia" w:cs="Times New Roman"/>
                <w:bCs/>
                <w:color w:val="auto"/>
                <w:sz w:val="24"/>
                <w:lang w:val="en-US" w:eastAsia="zh-CN"/>
              </w:rPr>
              <w:t>17</w:t>
            </w:r>
            <w:r>
              <w:rPr>
                <w:rFonts w:hint="eastAsia" w:ascii="Times New Roman" w:hAnsi="Times New Roman" w:eastAsia="宋体" w:cs="Times New Roman"/>
                <w:bCs/>
                <w:color w:val="auto"/>
                <w:sz w:val="24"/>
              </w:rPr>
              <w:t>。</w:t>
            </w:r>
          </w:p>
          <w:p>
            <w:pPr>
              <w:pStyle w:val="79"/>
              <w:spacing w:beforeLines="0" w:line="240" w:lineRule="auto"/>
              <w:ind w:firstLine="0" w:firstLineChars="0"/>
              <w:jc w:val="center"/>
              <w:rPr>
                <w:rFonts w:hint="eastAsia" w:ascii="Times New Roman" w:hAnsi="Times New Roman" w:eastAsia="宋体" w:cs="Times New Roman"/>
                <w:b/>
                <w:color w:val="auto"/>
              </w:rPr>
            </w:pPr>
          </w:p>
          <w:p>
            <w:pPr>
              <w:pStyle w:val="79"/>
              <w:spacing w:beforeLines="0" w:line="240" w:lineRule="auto"/>
              <w:ind w:firstLine="0" w:firstLineChars="0"/>
              <w:jc w:val="center"/>
              <w:rPr>
                <w:rFonts w:hint="eastAsia" w:ascii="Times New Roman" w:hAnsi="Times New Roman" w:eastAsia="宋体" w:cs="Times New Roman"/>
                <w:b/>
                <w:color w:val="auto"/>
              </w:rPr>
            </w:pPr>
          </w:p>
          <w:p>
            <w:pPr>
              <w:pStyle w:val="79"/>
              <w:spacing w:beforeLines="0" w:line="240" w:lineRule="auto"/>
              <w:ind w:firstLine="0" w:firstLineChars="0"/>
              <w:jc w:val="center"/>
              <w:rPr>
                <w:rFonts w:hint="eastAsia" w:ascii="Times New Roman" w:hAnsi="Times New Roman" w:eastAsia="宋体" w:cs="Times New Roman"/>
                <w:b/>
                <w:color w:val="auto"/>
              </w:rPr>
            </w:pPr>
          </w:p>
          <w:p>
            <w:pPr>
              <w:pStyle w:val="79"/>
              <w:spacing w:beforeLines="0" w:line="240" w:lineRule="auto"/>
              <w:ind w:firstLine="0" w:firstLineChars="0"/>
              <w:jc w:val="center"/>
              <w:rPr>
                <w:rFonts w:hint="eastAsia" w:ascii="Times New Roman" w:hAnsi="Times New Roman" w:eastAsia="宋体" w:cs="Times New Roman"/>
                <w:b/>
                <w:color w:val="auto"/>
              </w:rPr>
            </w:pPr>
          </w:p>
          <w:p>
            <w:pPr>
              <w:pStyle w:val="79"/>
              <w:spacing w:beforeLines="0" w:line="240" w:lineRule="auto"/>
              <w:ind w:firstLine="0" w:firstLineChars="0"/>
              <w:jc w:val="center"/>
              <w:rPr>
                <w:rFonts w:hint="eastAsia" w:ascii="Times New Roman" w:hAnsi="Times New Roman" w:eastAsia="宋体" w:cs="Times New Roman"/>
                <w:b/>
                <w:color w:val="auto"/>
              </w:rPr>
            </w:pPr>
          </w:p>
          <w:p>
            <w:pPr>
              <w:pStyle w:val="79"/>
              <w:spacing w:beforeLines="0" w:line="240" w:lineRule="auto"/>
              <w:ind w:firstLine="0" w:firstLineChars="0"/>
              <w:jc w:val="center"/>
              <w:rPr>
                <w:rFonts w:hint="eastAsia" w:ascii="Times New Roman" w:hAnsi="Times New Roman" w:eastAsia="宋体" w:cs="Times New Roman"/>
                <w:b/>
                <w:color w:val="auto"/>
              </w:rPr>
            </w:pPr>
          </w:p>
          <w:p>
            <w:pPr>
              <w:pStyle w:val="79"/>
              <w:spacing w:beforeLines="0" w:line="240" w:lineRule="auto"/>
              <w:ind w:firstLine="0" w:firstLineChars="0"/>
              <w:jc w:val="center"/>
              <w:rPr>
                <w:rFonts w:hint="eastAsia" w:ascii="Times New Roman" w:hAnsi="Times New Roman" w:eastAsia="宋体" w:cs="Times New Roman"/>
                <w:b/>
                <w:color w:val="auto"/>
              </w:rPr>
            </w:pPr>
            <w:r>
              <w:rPr>
                <w:rFonts w:hint="eastAsia" w:ascii="Times New Roman" w:hAnsi="Times New Roman" w:eastAsia="宋体" w:cs="Times New Roman"/>
                <w:b/>
                <w:color w:val="auto"/>
              </w:rPr>
              <w:t>表4-</w:t>
            </w:r>
            <w:r>
              <w:rPr>
                <w:rFonts w:hint="eastAsia" w:cs="Times New Roman"/>
                <w:b/>
                <w:color w:val="auto"/>
                <w:lang w:val="en-US" w:eastAsia="zh-CN"/>
              </w:rPr>
              <w:t>17</w:t>
            </w:r>
            <w:r>
              <w:rPr>
                <w:rFonts w:hint="eastAsia" w:ascii="Times New Roman" w:hAnsi="Times New Roman" w:eastAsia="宋体" w:cs="Times New Roman"/>
                <w:b/>
                <w:color w:val="auto"/>
              </w:rPr>
              <w:t xml:space="preserve"> 污水</w:t>
            </w:r>
            <w:r>
              <w:rPr>
                <w:rFonts w:hint="eastAsia" w:cs="Times New Roman"/>
                <w:b/>
                <w:color w:val="auto"/>
                <w:lang w:val="en-US" w:eastAsia="zh-CN"/>
              </w:rPr>
              <w:t>处理</w:t>
            </w:r>
            <w:r>
              <w:rPr>
                <w:rFonts w:hint="eastAsia" w:ascii="Times New Roman" w:hAnsi="Times New Roman" w:eastAsia="宋体" w:cs="Times New Roman"/>
                <w:b/>
                <w:color w:val="auto"/>
              </w:rPr>
              <w:t>站进出水水质前后对比</w:t>
            </w:r>
          </w:p>
          <w:tbl>
            <w:tblPr>
              <w:tblStyle w:val="22"/>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37"/>
              <w:gridCol w:w="2182"/>
              <w:gridCol w:w="2325"/>
              <w:gridCol w:w="299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7" w:type="pct"/>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eastAsia" w:cs="Times New Roman"/>
                      <w:b/>
                      <w:bCs/>
                      <w:color w:val="auto"/>
                      <w:szCs w:val="21"/>
                      <w:lang w:val="en-US" w:eastAsia="zh-CN"/>
                    </w:rPr>
                    <w:t>生产废水</w:t>
                  </w:r>
                </w:p>
              </w:tc>
              <w:tc>
                <w:tcPr>
                  <w:tcW w:w="1323" w:type="pct"/>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eastAsia" w:cs="Times New Roman"/>
                      <w:b/>
                      <w:bCs/>
                      <w:color w:val="auto"/>
                      <w:szCs w:val="21"/>
                      <w:lang w:val="en-US" w:eastAsia="zh-CN"/>
                    </w:rPr>
                    <w:t>污染物种类</w:t>
                  </w:r>
                </w:p>
              </w:tc>
              <w:tc>
                <w:tcPr>
                  <w:tcW w:w="1410" w:type="pct"/>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eastAsia" w:cs="Times New Roman"/>
                      <w:b/>
                      <w:bCs/>
                      <w:color w:val="auto"/>
                      <w:szCs w:val="21"/>
                      <w:lang w:val="en-US" w:eastAsia="zh-CN"/>
                    </w:rPr>
                    <w:t>污水站进水水质（mg/L，pH无量纲）</w:t>
                  </w:r>
                </w:p>
              </w:tc>
              <w:tc>
                <w:tcPr>
                  <w:tcW w:w="1818" w:type="pct"/>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eastAsia" w:cs="Times New Roman"/>
                      <w:b/>
                      <w:bCs/>
                      <w:color w:val="auto"/>
                      <w:szCs w:val="21"/>
                      <w:lang w:val="en-US" w:eastAsia="zh-CN"/>
                    </w:rPr>
                    <w:t>污水站出水水质（mg/L，pH无量纲）</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47" w:type="pct"/>
                  <w:vMerge w:val="restar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清洗废水</w:t>
                  </w:r>
                </w:p>
              </w:tc>
              <w:tc>
                <w:tcPr>
                  <w:tcW w:w="1323"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pH</w:t>
                  </w:r>
                </w:p>
              </w:tc>
              <w:tc>
                <w:tcPr>
                  <w:tcW w:w="1410"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9</w:t>
                  </w:r>
                </w:p>
              </w:tc>
              <w:tc>
                <w:tcPr>
                  <w:tcW w:w="1818"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6.5~9.5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47" w:type="pct"/>
                  <w:vMerge w:val="continue"/>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p>
              </w:tc>
              <w:tc>
                <w:tcPr>
                  <w:tcW w:w="1323" w:type="pct"/>
                  <w:vAlign w:val="center"/>
                </w:tcPr>
                <w:p>
                  <w:pPr>
                    <w:adjustRightInd w:val="0"/>
                    <w:snapToGrid w:val="0"/>
                    <w:jc w:val="center"/>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COD</w:t>
                  </w:r>
                </w:p>
              </w:tc>
              <w:tc>
                <w:tcPr>
                  <w:tcW w:w="1410" w:type="pct"/>
                  <w:vAlign w:val="center"/>
                </w:tcPr>
                <w:p>
                  <w:pPr>
                    <w:adjustRightInd w:val="0"/>
                    <w:snapToGrid w:val="0"/>
                    <w:jc w:val="center"/>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≤800</w:t>
                  </w:r>
                </w:p>
              </w:tc>
              <w:tc>
                <w:tcPr>
                  <w:tcW w:w="1818"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kern w:val="2"/>
                      <w:sz w:val="21"/>
                      <w:szCs w:val="21"/>
                      <w:lang w:val="en-US" w:eastAsia="zh-CN" w:bidi="ar-SA"/>
                    </w:rPr>
                    <w:t>≤500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47" w:type="pct"/>
                  <w:vMerge w:val="continue"/>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p>
              </w:tc>
              <w:tc>
                <w:tcPr>
                  <w:tcW w:w="1323"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SS</w:t>
                  </w:r>
                </w:p>
              </w:tc>
              <w:tc>
                <w:tcPr>
                  <w:tcW w:w="1410"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≤300</w:t>
                  </w:r>
                </w:p>
              </w:tc>
              <w:tc>
                <w:tcPr>
                  <w:tcW w:w="1818"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kern w:val="2"/>
                      <w:sz w:val="21"/>
                      <w:szCs w:val="21"/>
                      <w:lang w:val="en-US" w:eastAsia="zh-CN" w:bidi="ar-SA"/>
                    </w:rPr>
                    <w:t>≤300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47" w:type="pct"/>
                  <w:vMerge w:val="restar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脱脂废水</w:t>
                  </w:r>
                </w:p>
              </w:tc>
              <w:tc>
                <w:tcPr>
                  <w:tcW w:w="1323" w:type="pct"/>
                  <w:vAlign w:val="center"/>
                </w:tcPr>
                <w:p>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pH</w:t>
                  </w:r>
                </w:p>
              </w:tc>
              <w:tc>
                <w:tcPr>
                  <w:tcW w:w="1410"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12</w:t>
                  </w:r>
                </w:p>
              </w:tc>
              <w:tc>
                <w:tcPr>
                  <w:tcW w:w="1818"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6.5~9.5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47" w:type="pct"/>
                  <w:vMerge w:val="continue"/>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p>
              </w:tc>
              <w:tc>
                <w:tcPr>
                  <w:tcW w:w="1323" w:type="pct"/>
                  <w:vAlign w:val="center"/>
                </w:tcPr>
                <w:p>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COD</w:t>
                  </w:r>
                </w:p>
              </w:tc>
              <w:tc>
                <w:tcPr>
                  <w:tcW w:w="1410" w:type="pct"/>
                  <w:vAlign w:val="center"/>
                </w:tcPr>
                <w:p>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≤3000</w:t>
                  </w:r>
                </w:p>
              </w:tc>
              <w:tc>
                <w:tcPr>
                  <w:tcW w:w="1818"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≤500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47" w:type="pct"/>
                  <w:vMerge w:val="continue"/>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p>
              </w:tc>
              <w:tc>
                <w:tcPr>
                  <w:tcW w:w="1323" w:type="pct"/>
                  <w:vAlign w:val="center"/>
                </w:tcPr>
                <w:p>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SS</w:t>
                  </w:r>
                </w:p>
              </w:tc>
              <w:tc>
                <w:tcPr>
                  <w:tcW w:w="1410" w:type="pct"/>
                  <w:vAlign w:val="center"/>
                </w:tcPr>
                <w:p>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≤600</w:t>
                  </w:r>
                </w:p>
              </w:tc>
              <w:tc>
                <w:tcPr>
                  <w:tcW w:w="1818"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47" w:type="pct"/>
                  <w:vMerge w:val="continue"/>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p>
              </w:tc>
              <w:tc>
                <w:tcPr>
                  <w:tcW w:w="1323"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石油类</w:t>
                  </w:r>
                </w:p>
              </w:tc>
              <w:tc>
                <w:tcPr>
                  <w:tcW w:w="1410"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≤80</w:t>
                  </w:r>
                </w:p>
              </w:tc>
              <w:tc>
                <w:tcPr>
                  <w:tcW w:w="1818"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kern w:val="2"/>
                      <w:sz w:val="21"/>
                      <w:szCs w:val="21"/>
                      <w:lang w:val="en-US" w:eastAsia="zh-CN" w:bidi="ar-SA"/>
                    </w:rPr>
                    <w:t>≤15</w:t>
                  </w:r>
                </w:p>
              </w:tc>
            </w:tr>
          </w:tbl>
          <w:p>
            <w:pPr>
              <w:spacing w:line="360" w:lineRule="auto"/>
              <w:ind w:firstLine="480" w:firstLineChars="200"/>
              <w:rPr>
                <w:rFonts w:hint="eastAsia" w:ascii="Times New Roman" w:hAnsi="Times New Roman" w:eastAsia="宋体" w:cs="Times New Roman"/>
                <w:bCs/>
                <w:color w:val="auto"/>
                <w:sz w:val="24"/>
              </w:rPr>
            </w:pPr>
            <w:r>
              <w:rPr>
                <w:rFonts w:hint="eastAsia" w:ascii="Times New Roman" w:hAnsi="Times New Roman" w:eastAsia="宋体" w:cs="Times New Roman"/>
                <w:bCs/>
                <w:color w:val="auto"/>
                <w:sz w:val="24"/>
              </w:rPr>
              <w:t>由上表可知，项目废水经污水站处理后各污染物浓度均较低，完全可以达到</w:t>
            </w:r>
            <w:r>
              <w:rPr>
                <w:rFonts w:hint="eastAsia" w:cs="Times New Roman"/>
                <w:bCs/>
                <w:color w:val="auto"/>
                <w:sz w:val="24"/>
                <w:lang w:val="en-US" w:eastAsia="zh-CN"/>
              </w:rPr>
              <w:t>武南污水处理厂的接管标准</w:t>
            </w:r>
            <w:r>
              <w:rPr>
                <w:rFonts w:hint="eastAsia" w:ascii="Times New Roman" w:hAnsi="Times New Roman" w:eastAsia="宋体" w:cs="Times New Roman"/>
                <w:bCs/>
                <w:color w:val="auto"/>
                <w:sz w:val="24"/>
              </w:rPr>
              <w:t>。</w:t>
            </w:r>
          </w:p>
          <w:p>
            <w:pPr>
              <w:spacing w:line="360" w:lineRule="auto"/>
              <w:ind w:firstLine="480" w:firstLineChars="200"/>
              <w:rPr>
                <w:rFonts w:hint="eastAsia" w:ascii="Times New Roman" w:hAnsi="Times New Roman" w:eastAsia="宋体" w:cs="Times New Roman"/>
                <w:bCs/>
                <w:color w:val="auto"/>
                <w:sz w:val="24"/>
              </w:rPr>
            </w:pPr>
            <w:r>
              <w:rPr>
                <w:rFonts w:hint="eastAsia" w:ascii="Times New Roman" w:hAnsi="Times New Roman" w:eastAsia="宋体" w:cs="Times New Roman"/>
                <w:bCs/>
                <w:color w:val="auto"/>
                <w:sz w:val="24"/>
                <w:lang w:val="en-US" w:eastAsia="zh-CN"/>
              </w:rPr>
              <w:t>⑤</w:t>
            </w:r>
            <w:r>
              <w:rPr>
                <w:rFonts w:hint="eastAsia" w:ascii="Times New Roman" w:hAnsi="Times New Roman" w:eastAsia="宋体" w:cs="Times New Roman"/>
                <w:bCs/>
                <w:color w:val="auto"/>
                <w:sz w:val="24"/>
              </w:rPr>
              <w:t>项目废水处理措施经济、</w:t>
            </w:r>
            <w:r>
              <w:rPr>
                <w:rFonts w:hint="eastAsia" w:cs="Times New Roman"/>
                <w:bCs/>
                <w:color w:val="auto"/>
                <w:sz w:val="24"/>
                <w:lang w:val="en-US" w:eastAsia="zh-CN"/>
              </w:rPr>
              <w:t>处理能力</w:t>
            </w:r>
            <w:r>
              <w:rPr>
                <w:rFonts w:hint="eastAsia" w:ascii="Times New Roman" w:hAnsi="Times New Roman" w:eastAsia="宋体" w:cs="Times New Roman"/>
                <w:bCs/>
                <w:color w:val="auto"/>
                <w:sz w:val="24"/>
              </w:rPr>
              <w:t>可行性分析</w:t>
            </w:r>
          </w:p>
          <w:p>
            <w:pPr>
              <w:spacing w:line="360" w:lineRule="auto"/>
              <w:ind w:firstLine="480" w:firstLineChars="200"/>
              <w:rPr>
                <w:rFonts w:hint="eastAsia" w:ascii="Times New Roman" w:hAnsi="Times New Roman" w:eastAsia="宋体" w:cs="Times New Roman"/>
                <w:bCs/>
                <w:color w:val="auto"/>
                <w:sz w:val="24"/>
              </w:rPr>
            </w:pPr>
            <w:r>
              <w:rPr>
                <w:rFonts w:hint="eastAsia" w:ascii="Times New Roman" w:hAnsi="Times New Roman" w:eastAsia="宋体" w:cs="Times New Roman"/>
                <w:bCs/>
                <w:color w:val="auto"/>
                <w:sz w:val="24"/>
              </w:rPr>
              <w:t>项目废水预处理站总投资约为</w:t>
            </w:r>
            <w:r>
              <w:rPr>
                <w:rFonts w:hint="eastAsia" w:cs="Times New Roman"/>
                <w:bCs/>
                <w:color w:val="auto"/>
                <w:sz w:val="24"/>
                <w:lang w:val="en-US" w:eastAsia="zh-CN"/>
              </w:rPr>
              <w:t>2</w:t>
            </w:r>
            <w:r>
              <w:rPr>
                <w:rFonts w:hint="eastAsia" w:ascii="Times New Roman" w:hAnsi="Times New Roman" w:eastAsia="宋体" w:cs="Times New Roman"/>
                <w:bCs/>
                <w:color w:val="auto"/>
                <w:sz w:val="24"/>
              </w:rPr>
              <w:t>0万元，废水达到全部</w:t>
            </w:r>
            <w:r>
              <w:rPr>
                <w:rFonts w:hint="eastAsia" w:cs="Times New Roman"/>
                <w:bCs/>
                <w:color w:val="auto"/>
                <w:sz w:val="24"/>
                <w:lang w:val="en-US" w:eastAsia="zh-CN"/>
              </w:rPr>
              <w:t>排放标准</w:t>
            </w:r>
            <w:r>
              <w:rPr>
                <w:rFonts w:hint="eastAsia" w:ascii="Times New Roman" w:hAnsi="Times New Roman" w:eastAsia="宋体" w:cs="Times New Roman"/>
                <w:bCs/>
                <w:color w:val="auto"/>
                <w:sz w:val="24"/>
              </w:rPr>
              <w:t>时每吨水的处理成本为</w:t>
            </w:r>
            <w:r>
              <w:rPr>
                <w:rFonts w:hint="eastAsia" w:cs="Times New Roman"/>
                <w:bCs/>
                <w:color w:val="auto"/>
                <w:sz w:val="24"/>
                <w:lang w:val="en-US" w:eastAsia="zh-CN"/>
              </w:rPr>
              <w:t>37</w:t>
            </w:r>
            <w:r>
              <w:rPr>
                <w:rFonts w:hint="eastAsia" w:ascii="Times New Roman" w:hAnsi="Times New Roman" w:eastAsia="宋体" w:cs="Times New Roman"/>
                <w:bCs/>
                <w:color w:val="auto"/>
                <w:sz w:val="24"/>
              </w:rPr>
              <w:t>元，</w:t>
            </w:r>
            <w:r>
              <w:rPr>
                <w:rFonts w:hint="eastAsia" w:cs="Times New Roman"/>
                <w:bCs/>
                <w:color w:val="auto"/>
                <w:sz w:val="24"/>
                <w:lang w:val="en-US" w:eastAsia="zh-CN"/>
              </w:rPr>
              <w:t>企业</w:t>
            </w:r>
            <w:r>
              <w:rPr>
                <w:rFonts w:hint="eastAsia" w:ascii="Times New Roman" w:hAnsi="Times New Roman" w:eastAsia="宋体" w:cs="Times New Roman"/>
                <w:bCs/>
                <w:color w:val="auto"/>
                <w:sz w:val="24"/>
              </w:rPr>
              <w:t>可以承受，同时减少环境污染，创造较大的环境效益，企业效益较好，有能力运行该设施，在经济上是可行的。</w:t>
            </w:r>
          </w:p>
          <w:p>
            <w:pPr>
              <w:spacing w:line="360" w:lineRule="auto"/>
              <w:ind w:firstLine="480" w:firstLineChars="200"/>
              <w:rPr>
                <w:rFonts w:hint="default" w:ascii="Times New Roman" w:hAnsi="Times New Roman" w:eastAsia="宋体" w:cs="Times New Roman"/>
                <w:bCs/>
                <w:color w:val="auto"/>
                <w:sz w:val="24"/>
              </w:rPr>
            </w:pPr>
            <w:r>
              <w:rPr>
                <w:rFonts w:hint="eastAsia" w:cs="Times New Roman"/>
                <w:bCs/>
                <w:color w:val="auto"/>
                <w:sz w:val="24"/>
                <w:lang w:val="en-US" w:eastAsia="zh-CN"/>
              </w:rPr>
              <w:t>本项目</w:t>
            </w:r>
            <w:r>
              <w:rPr>
                <w:rFonts w:hint="default" w:ascii="Times New Roman" w:hAnsi="Times New Roman" w:eastAsia="宋体" w:cs="Times New Roman"/>
                <w:bCs/>
                <w:color w:val="auto"/>
                <w:sz w:val="24"/>
              </w:rPr>
              <w:t>废水处理设施日最大处理能力约</w:t>
            </w:r>
            <w:r>
              <w:rPr>
                <w:rFonts w:hint="default" w:ascii="Times New Roman" w:hAnsi="Times New Roman" w:eastAsia="宋体" w:cs="Times New Roman"/>
                <w:bCs/>
                <w:color w:val="auto"/>
                <w:sz w:val="24"/>
                <w:lang w:val="en-US" w:eastAsia="zh-CN"/>
              </w:rPr>
              <w:t>5t</w:t>
            </w:r>
            <w:r>
              <w:rPr>
                <w:rFonts w:hint="default" w:ascii="Times New Roman" w:hAnsi="Times New Roman" w:eastAsia="宋体" w:cs="Times New Roman"/>
                <w:bCs/>
                <w:color w:val="auto"/>
                <w:sz w:val="24"/>
              </w:rPr>
              <w:t>/d，</w:t>
            </w:r>
            <w:r>
              <w:rPr>
                <w:rFonts w:hint="eastAsia" w:cs="Times New Roman"/>
                <w:bCs/>
                <w:color w:val="auto"/>
                <w:sz w:val="24"/>
                <w:lang w:val="en-US" w:eastAsia="zh-CN"/>
              </w:rPr>
              <w:t>企业年生产300天，</w:t>
            </w:r>
            <w:r>
              <w:rPr>
                <w:rFonts w:hint="default" w:ascii="Times New Roman" w:hAnsi="Times New Roman" w:eastAsia="宋体" w:cs="Times New Roman"/>
                <w:bCs/>
                <w:color w:val="auto"/>
                <w:sz w:val="24"/>
                <w:lang w:val="en-US" w:eastAsia="zh-CN"/>
              </w:rPr>
              <w:t>则最大可处理1</w:t>
            </w:r>
            <w:r>
              <w:rPr>
                <w:rFonts w:hint="eastAsia" w:cs="Times New Roman"/>
                <w:bCs/>
                <w:color w:val="auto"/>
                <w:sz w:val="24"/>
                <w:lang w:val="en-US" w:eastAsia="zh-CN"/>
              </w:rPr>
              <w:t>500</w:t>
            </w:r>
            <w:r>
              <w:rPr>
                <w:rFonts w:hint="default" w:ascii="Times New Roman" w:hAnsi="Times New Roman" w:eastAsia="宋体" w:cs="Times New Roman"/>
                <w:bCs/>
                <w:color w:val="auto"/>
                <w:sz w:val="24"/>
                <w:lang w:val="en-US" w:eastAsia="zh-CN"/>
              </w:rPr>
              <w:t>t/a废水，</w:t>
            </w:r>
            <w:r>
              <w:rPr>
                <w:rFonts w:hint="default" w:ascii="Times New Roman" w:hAnsi="Times New Roman" w:eastAsia="宋体" w:cs="Times New Roman"/>
                <w:bCs/>
                <w:color w:val="auto"/>
                <w:sz w:val="24"/>
              </w:rPr>
              <w:t>本次电泳件加工项目投产后，</w:t>
            </w:r>
            <w:r>
              <w:rPr>
                <w:rFonts w:hint="default" w:ascii="Times New Roman" w:hAnsi="Times New Roman" w:eastAsia="宋体" w:cs="Times New Roman"/>
                <w:bCs/>
                <w:color w:val="auto"/>
                <w:sz w:val="24"/>
                <w:lang w:val="en-US" w:eastAsia="zh-CN"/>
              </w:rPr>
              <w:t>共需处理废水</w:t>
            </w:r>
            <w:r>
              <w:rPr>
                <w:rFonts w:hint="eastAsia" w:ascii="Times New Roman" w:hAnsi="Times New Roman" w:eastAsia="宋体" w:cs="Times New Roman"/>
                <w:bCs/>
                <w:color w:val="auto"/>
                <w:sz w:val="24"/>
                <w:lang w:val="en-US" w:eastAsia="zh-CN"/>
              </w:rPr>
              <w:t>1261.9</w:t>
            </w:r>
            <w:r>
              <w:rPr>
                <w:rFonts w:hint="default" w:ascii="Times New Roman" w:hAnsi="Times New Roman" w:eastAsia="宋体" w:cs="Times New Roman"/>
                <w:bCs/>
                <w:color w:val="auto"/>
                <w:sz w:val="24"/>
                <w:lang w:val="en-US" w:eastAsia="zh-CN"/>
              </w:rPr>
              <w:t>t</w:t>
            </w:r>
            <w:r>
              <w:rPr>
                <w:rFonts w:hint="default" w:ascii="Times New Roman" w:hAnsi="Times New Roman" w:eastAsia="宋体" w:cs="Times New Roman"/>
                <w:bCs/>
                <w:color w:val="auto"/>
                <w:sz w:val="24"/>
              </w:rPr>
              <w:t>/</w:t>
            </w:r>
            <w:r>
              <w:rPr>
                <w:rFonts w:hint="default" w:ascii="Times New Roman" w:hAnsi="Times New Roman" w:eastAsia="宋体" w:cs="Times New Roman"/>
                <w:bCs/>
                <w:color w:val="auto"/>
                <w:sz w:val="24"/>
                <w:lang w:val="en-US" w:eastAsia="zh-CN"/>
              </w:rPr>
              <w:t>a</w:t>
            </w:r>
            <w:r>
              <w:rPr>
                <w:rFonts w:hint="default" w:ascii="Times New Roman" w:hAnsi="Times New Roman" w:eastAsia="宋体" w:cs="Times New Roman"/>
                <w:bCs/>
                <w:color w:val="auto"/>
                <w:sz w:val="24"/>
              </w:rPr>
              <w:t>，</w:t>
            </w:r>
            <w:r>
              <w:rPr>
                <w:rFonts w:hint="default" w:ascii="Times New Roman" w:hAnsi="Times New Roman" w:eastAsia="宋体" w:cs="Times New Roman"/>
                <w:bCs/>
                <w:color w:val="auto"/>
                <w:sz w:val="24"/>
                <w:lang w:val="en-US" w:eastAsia="zh-CN"/>
              </w:rPr>
              <w:t>因此</w:t>
            </w:r>
            <w:r>
              <w:rPr>
                <w:rFonts w:hint="default" w:ascii="Times New Roman" w:hAnsi="Times New Roman" w:eastAsia="宋体" w:cs="Times New Roman"/>
                <w:bCs/>
                <w:color w:val="auto"/>
                <w:sz w:val="24"/>
              </w:rPr>
              <w:t>厂内污水处理站可满足处理需求。</w:t>
            </w:r>
          </w:p>
          <w:p>
            <w:pPr>
              <w:spacing w:line="360" w:lineRule="auto"/>
              <w:ind w:firstLine="480" w:firstLineChars="200"/>
              <w:rPr>
                <w:rFonts w:hint="default"/>
                <w:color w:val="auto"/>
              </w:rPr>
            </w:pPr>
            <w:r>
              <w:rPr>
                <w:rFonts w:hint="eastAsia" w:ascii="Times New Roman" w:hAnsi="Times New Roman" w:eastAsia="宋体" w:cs="Times New Roman"/>
                <w:bCs/>
                <w:color w:val="auto"/>
                <w:sz w:val="24"/>
              </w:rPr>
              <w:t>综上所述，项目产生的</w:t>
            </w:r>
            <w:r>
              <w:rPr>
                <w:rFonts w:hint="eastAsia" w:cs="Times New Roman"/>
                <w:bCs/>
                <w:color w:val="auto"/>
                <w:sz w:val="24"/>
                <w:lang w:val="en-US" w:eastAsia="zh-CN"/>
              </w:rPr>
              <w:t>清洗废水、脱脂废水</w:t>
            </w:r>
            <w:r>
              <w:rPr>
                <w:rFonts w:hint="eastAsia" w:ascii="Times New Roman" w:hAnsi="Times New Roman" w:eastAsia="宋体" w:cs="Times New Roman"/>
                <w:bCs/>
                <w:color w:val="auto"/>
                <w:sz w:val="24"/>
              </w:rPr>
              <w:t>经</w:t>
            </w:r>
            <w:r>
              <w:rPr>
                <w:rFonts w:hint="eastAsia" w:cs="Times New Roman"/>
                <w:bCs/>
                <w:color w:val="auto"/>
                <w:sz w:val="24"/>
                <w:lang w:val="en-US" w:eastAsia="zh-CN"/>
              </w:rPr>
              <w:t>厂内污水处理站处理后排放是可行的</w:t>
            </w:r>
            <w:r>
              <w:rPr>
                <w:rFonts w:hint="eastAsia" w:ascii="Times New Roman" w:hAnsi="Times New Roman" w:eastAsia="宋体" w:cs="Times New Roman"/>
                <w:bCs/>
                <w:color w:val="auto"/>
                <w:sz w:val="24"/>
              </w:rPr>
              <w:t>。</w:t>
            </w:r>
          </w:p>
          <w:p>
            <w:pPr>
              <w:numPr>
                <w:ilvl w:val="0"/>
                <w:numId w:val="2"/>
              </w:numPr>
              <w:spacing w:line="360" w:lineRule="auto"/>
              <w:ind w:firstLine="480" w:firstLineChars="200"/>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lang w:val="en-US" w:eastAsia="zh-CN"/>
              </w:rPr>
              <w:t>武南污水处理厂</w:t>
            </w:r>
          </w:p>
          <w:p>
            <w:pPr>
              <w:numPr>
                <w:ilvl w:val="0"/>
                <w:numId w:val="0"/>
              </w:numPr>
              <w:spacing w:line="360" w:lineRule="auto"/>
              <w:ind w:firstLine="480" w:firstLineChars="200"/>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lang w:val="en-US" w:eastAsia="zh-CN"/>
              </w:rPr>
              <w:t>武南污水处理厂占地16.8hm</w:t>
            </w:r>
            <w:r>
              <w:rPr>
                <w:rFonts w:hint="default" w:ascii="Times New Roman" w:hAnsi="Times New Roman" w:eastAsia="宋体" w:cs="Times New Roman"/>
                <w:bCs/>
                <w:color w:val="auto"/>
                <w:sz w:val="24"/>
                <w:vertAlign w:val="superscript"/>
                <w:lang w:val="en-US" w:eastAsia="zh-CN"/>
              </w:rPr>
              <w:t>2</w:t>
            </w:r>
            <w:r>
              <w:rPr>
                <w:rFonts w:hint="default" w:ascii="Times New Roman" w:hAnsi="Times New Roman" w:eastAsia="宋体" w:cs="Times New Roman"/>
                <w:bCs/>
                <w:color w:val="auto"/>
                <w:sz w:val="24"/>
                <w:lang w:val="en-US" w:eastAsia="zh-CN"/>
              </w:rPr>
              <w:t>，总设计规模12万m</w:t>
            </w:r>
            <w:r>
              <w:rPr>
                <w:rFonts w:hint="default" w:ascii="Times New Roman" w:hAnsi="Times New Roman" w:eastAsia="宋体" w:cs="Times New Roman"/>
                <w:bCs/>
                <w:color w:val="auto"/>
                <w:sz w:val="24"/>
                <w:vertAlign w:val="superscript"/>
                <w:lang w:val="en-US" w:eastAsia="zh-CN"/>
              </w:rPr>
              <w:t>3</w:t>
            </w:r>
            <w:r>
              <w:rPr>
                <w:rFonts w:hint="default" w:ascii="Times New Roman" w:hAnsi="Times New Roman" w:eastAsia="宋体" w:cs="Times New Roman"/>
                <w:bCs/>
                <w:color w:val="auto"/>
                <w:sz w:val="24"/>
                <w:lang w:val="en-US" w:eastAsia="zh-CN"/>
              </w:rPr>
              <w:t>/d，分三期实施：一期工程规模4万m</w:t>
            </w:r>
            <w:r>
              <w:rPr>
                <w:rFonts w:hint="default" w:ascii="Times New Roman" w:hAnsi="Times New Roman" w:eastAsia="宋体" w:cs="Times New Roman"/>
                <w:bCs/>
                <w:color w:val="auto"/>
                <w:sz w:val="24"/>
                <w:vertAlign w:val="superscript"/>
                <w:lang w:val="en-US" w:eastAsia="zh-CN"/>
              </w:rPr>
              <w:t>3</w:t>
            </w:r>
            <w:r>
              <w:rPr>
                <w:rFonts w:hint="default" w:ascii="Times New Roman" w:hAnsi="Times New Roman" w:eastAsia="宋体" w:cs="Times New Roman"/>
                <w:bCs/>
                <w:color w:val="auto"/>
                <w:sz w:val="24"/>
                <w:lang w:val="en-US" w:eastAsia="zh-CN"/>
              </w:rPr>
              <w:t>/d，采用卡鲁塞尔氧化沟工艺，按GB18918-2002一级A出水水质标准执行。一期工程于2007年</w:t>
            </w:r>
            <w:r>
              <w:rPr>
                <w:rFonts w:hint="default" w:ascii="Times New Roman" w:hAnsi="Times New Roman" w:eastAsia="宋体" w:cs="Times New Roman"/>
                <w:color w:val="auto"/>
                <w:sz w:val="24"/>
                <w:szCs w:val="24"/>
              </w:rPr>
              <w:t>12月开工建设，2009年5月19正式进水投运（武环管复﹝2007﹞4号）。2012年，随着武进区水环境整治投资力度的加大，城镇污水管网建设的大力推进，污水收集覆盖面积的不断扩大，同年12月7日，江苏省环境保护厅对武南污水处</w:t>
            </w:r>
            <w:r>
              <w:rPr>
                <w:rFonts w:hint="default" w:ascii="Times New Roman" w:hAnsi="Times New Roman" w:eastAsia="宋体" w:cs="Times New Roman"/>
                <w:bCs/>
                <w:color w:val="auto"/>
                <w:sz w:val="24"/>
                <w:szCs w:val="24"/>
              </w:rPr>
              <w:t>理厂扩建及改造二期工程（扩建6万m</w:t>
            </w:r>
            <w:r>
              <w:rPr>
                <w:rFonts w:hint="default" w:ascii="Times New Roman" w:hAnsi="Times New Roman" w:eastAsia="宋体" w:cs="Times New Roman"/>
                <w:bCs/>
                <w:color w:val="auto"/>
                <w:sz w:val="24"/>
                <w:szCs w:val="24"/>
                <w:vertAlign w:val="superscript"/>
              </w:rPr>
              <w:t>3</w:t>
            </w:r>
            <w:r>
              <w:rPr>
                <w:rFonts w:hint="default" w:ascii="Times New Roman" w:hAnsi="Times New Roman" w:eastAsia="宋体" w:cs="Times New Roman"/>
                <w:bCs/>
                <w:color w:val="auto"/>
                <w:sz w:val="24"/>
                <w:szCs w:val="24"/>
              </w:rPr>
              <w:t>/d，改造6万m</w:t>
            </w:r>
            <w:r>
              <w:rPr>
                <w:rFonts w:hint="default" w:ascii="Times New Roman" w:hAnsi="Times New Roman" w:eastAsia="宋体" w:cs="Times New Roman"/>
                <w:bCs/>
                <w:color w:val="auto"/>
                <w:sz w:val="24"/>
                <w:szCs w:val="24"/>
                <w:vertAlign w:val="superscript"/>
              </w:rPr>
              <w:t>3</w:t>
            </w:r>
            <w:r>
              <w:rPr>
                <w:rFonts w:hint="default" w:ascii="Times New Roman" w:hAnsi="Times New Roman" w:eastAsia="宋体" w:cs="Times New Roman"/>
                <w:bCs/>
                <w:color w:val="auto"/>
                <w:sz w:val="24"/>
                <w:szCs w:val="24"/>
              </w:rPr>
              <w:t>/d）环境影响报告书进行了批复（苏环审﹝2012﹞245号）。目前，武南污水处理厂一期4万m</w:t>
            </w:r>
            <w:r>
              <w:rPr>
                <w:rFonts w:hint="default" w:ascii="Times New Roman" w:hAnsi="Times New Roman" w:eastAsia="宋体" w:cs="Times New Roman"/>
                <w:bCs/>
                <w:color w:val="auto"/>
                <w:sz w:val="24"/>
                <w:szCs w:val="24"/>
                <w:vertAlign w:val="superscript"/>
              </w:rPr>
              <w:t>3</w:t>
            </w:r>
            <w:r>
              <w:rPr>
                <w:rFonts w:hint="default" w:ascii="Times New Roman" w:hAnsi="Times New Roman" w:eastAsia="宋体" w:cs="Times New Roman"/>
                <w:bCs/>
                <w:color w:val="auto"/>
                <w:sz w:val="24"/>
                <w:szCs w:val="24"/>
              </w:rPr>
              <w:t>/d工程正常运行，实际处理量约为3.7万m</w:t>
            </w:r>
            <w:r>
              <w:rPr>
                <w:rFonts w:hint="default" w:ascii="Times New Roman" w:hAnsi="Times New Roman" w:eastAsia="宋体" w:cs="Times New Roman"/>
                <w:bCs/>
                <w:color w:val="auto"/>
                <w:sz w:val="24"/>
                <w:szCs w:val="24"/>
                <w:vertAlign w:val="superscript"/>
              </w:rPr>
              <w:t>3</w:t>
            </w:r>
            <w:r>
              <w:rPr>
                <w:rFonts w:hint="default" w:ascii="Times New Roman" w:hAnsi="Times New Roman" w:eastAsia="宋体" w:cs="Times New Roman"/>
                <w:bCs/>
                <w:color w:val="auto"/>
                <w:sz w:val="24"/>
                <w:szCs w:val="24"/>
              </w:rPr>
              <w:t>，尚有余量3000t/d；二期扩建6万m</w:t>
            </w:r>
            <w:r>
              <w:rPr>
                <w:rFonts w:hint="default" w:ascii="Times New Roman" w:hAnsi="Times New Roman" w:eastAsia="宋体" w:cs="Times New Roman"/>
                <w:bCs/>
                <w:color w:val="auto"/>
                <w:sz w:val="24"/>
                <w:szCs w:val="24"/>
                <w:vertAlign w:val="superscript"/>
              </w:rPr>
              <w:t>3</w:t>
            </w:r>
            <w:r>
              <w:rPr>
                <w:rFonts w:hint="default" w:ascii="Times New Roman" w:hAnsi="Times New Roman" w:eastAsia="宋体" w:cs="Times New Roman"/>
                <w:bCs/>
                <w:color w:val="auto"/>
                <w:sz w:val="24"/>
                <w:szCs w:val="24"/>
              </w:rPr>
              <w:t>/d，改造6万m</w:t>
            </w:r>
            <w:r>
              <w:rPr>
                <w:rFonts w:hint="default" w:ascii="Times New Roman" w:hAnsi="Times New Roman" w:eastAsia="宋体" w:cs="Times New Roman"/>
                <w:bCs/>
                <w:color w:val="auto"/>
                <w:sz w:val="24"/>
                <w:szCs w:val="24"/>
                <w:vertAlign w:val="superscript"/>
              </w:rPr>
              <w:t>3</w:t>
            </w:r>
            <w:r>
              <w:rPr>
                <w:rFonts w:hint="default" w:ascii="Times New Roman" w:hAnsi="Times New Roman" w:eastAsia="宋体" w:cs="Times New Roman"/>
                <w:bCs/>
                <w:color w:val="auto"/>
                <w:sz w:val="24"/>
                <w:szCs w:val="24"/>
              </w:rPr>
              <w:t>/d，二期项目完工后，武南污水处理厂总建成处理能力10万m</w:t>
            </w:r>
            <w:r>
              <w:rPr>
                <w:rFonts w:hint="default" w:ascii="Times New Roman" w:hAnsi="Times New Roman" w:eastAsia="宋体" w:cs="Times New Roman"/>
                <w:bCs/>
                <w:color w:val="auto"/>
                <w:sz w:val="24"/>
                <w:szCs w:val="24"/>
                <w:vertAlign w:val="superscript"/>
              </w:rPr>
              <w:t>3</w:t>
            </w:r>
            <w:r>
              <w:rPr>
                <w:rFonts w:hint="default" w:ascii="Times New Roman" w:hAnsi="Times New Roman" w:eastAsia="宋体" w:cs="Times New Roman"/>
                <w:bCs/>
                <w:color w:val="auto"/>
                <w:sz w:val="24"/>
                <w:szCs w:val="24"/>
              </w:rPr>
              <w:t>/d。目前，武南污水厂二期工程已投入试运行，待正式投运后，废水处理能力将达10万m</w:t>
            </w:r>
            <w:r>
              <w:rPr>
                <w:rFonts w:hint="default" w:ascii="Times New Roman" w:hAnsi="Times New Roman" w:eastAsia="宋体" w:cs="Times New Roman"/>
                <w:bCs/>
                <w:color w:val="auto"/>
                <w:sz w:val="24"/>
                <w:szCs w:val="24"/>
                <w:vertAlign w:val="superscript"/>
              </w:rPr>
              <w:t>3</w:t>
            </w:r>
            <w:r>
              <w:rPr>
                <w:rFonts w:hint="default" w:ascii="Times New Roman" w:hAnsi="Times New Roman" w:eastAsia="宋体" w:cs="Times New Roman"/>
                <w:bCs/>
                <w:color w:val="auto"/>
                <w:sz w:val="24"/>
                <w:szCs w:val="24"/>
              </w:rPr>
              <w:t>/d。</w:t>
            </w:r>
          </w:p>
          <w:p>
            <w:pPr>
              <w:pStyle w:val="5"/>
              <w:spacing w:line="360" w:lineRule="auto"/>
              <w:ind w:firstLine="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drawing>
                <wp:inline distT="0" distB="0" distL="114300" distR="114300">
                  <wp:extent cx="5200015" cy="2438400"/>
                  <wp:effectExtent l="0" t="0" r="635" b="0"/>
                  <wp:docPr id="1" name="图片 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1"/>
                          <pic:cNvPicPr>
                            <a:picLocks noChangeAspect="1"/>
                          </pic:cNvPicPr>
                        </pic:nvPicPr>
                        <pic:blipFill>
                          <a:blip r:embed="rId29"/>
                          <a:stretch>
                            <a:fillRect/>
                          </a:stretch>
                        </pic:blipFill>
                        <pic:spPr>
                          <a:xfrm>
                            <a:off x="0" y="0"/>
                            <a:ext cx="5200015" cy="2438400"/>
                          </a:xfrm>
                          <a:prstGeom prst="rect">
                            <a:avLst/>
                          </a:prstGeom>
                        </pic:spPr>
                      </pic:pic>
                    </a:graphicData>
                  </a:graphic>
                </wp:inline>
              </w:drawing>
            </w:r>
            <w:r>
              <w:rPr>
                <w:rFonts w:hint="default" w:ascii="Times New Roman" w:hAnsi="Times New Roman" w:eastAsia="宋体" w:cs="Times New Roman"/>
                <w:b/>
                <w:color w:val="auto"/>
                <w:sz w:val="24"/>
                <w:highlight w:val="none"/>
              </w:rPr>
              <w:t>图4-</w:t>
            </w:r>
            <w:r>
              <w:rPr>
                <w:rFonts w:hint="default" w:ascii="Times New Roman" w:hAnsi="Times New Roman" w:eastAsia="宋体" w:cs="Times New Roman"/>
                <w:b/>
                <w:color w:val="auto"/>
                <w:sz w:val="24"/>
                <w:highlight w:val="none"/>
                <w:lang w:val="en-US" w:eastAsia="zh-CN"/>
              </w:rPr>
              <w:t>5</w:t>
            </w:r>
            <w:r>
              <w:rPr>
                <w:rFonts w:hint="default" w:ascii="Times New Roman" w:hAnsi="Times New Roman" w:eastAsia="宋体" w:cs="Times New Roman"/>
                <w:b/>
                <w:color w:val="auto"/>
                <w:sz w:val="24"/>
                <w:highlight w:val="none"/>
              </w:rPr>
              <w:t xml:space="preserve">  武南污水处理厂处理工艺流程图</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color w:val="auto"/>
                <w:sz w:val="24"/>
                <w:highlight w:val="none"/>
              </w:rPr>
              <w:t>（3）</w:t>
            </w:r>
            <w:r>
              <w:rPr>
                <w:rFonts w:hint="default" w:ascii="Times New Roman" w:hAnsi="Times New Roman" w:eastAsia="宋体" w:cs="Times New Roman"/>
                <w:bCs/>
                <w:color w:val="auto"/>
                <w:sz w:val="24"/>
                <w:highlight w:val="none"/>
              </w:rPr>
              <w:t>污水接管可行性分</w:t>
            </w:r>
            <w:r>
              <w:rPr>
                <w:rFonts w:hint="default" w:ascii="Times New Roman" w:hAnsi="Times New Roman" w:eastAsia="宋体" w:cs="Times New Roman"/>
                <w:bCs/>
                <w:color w:val="auto"/>
                <w:sz w:val="24"/>
              </w:rPr>
              <w:t>析</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武南污水处理厂总设计规模为10万t/d，本项目建成后</w:t>
            </w:r>
            <w:r>
              <w:rPr>
                <w:rFonts w:hint="default" w:ascii="Times New Roman" w:hAnsi="Times New Roman" w:eastAsia="宋体" w:cs="Times New Roman"/>
                <w:bCs/>
                <w:color w:val="auto"/>
                <w:sz w:val="24"/>
                <w:lang w:val="en-US" w:eastAsia="zh-CN"/>
              </w:rPr>
              <w:t>生产废水及生活污水</w:t>
            </w:r>
            <w:r>
              <w:rPr>
                <w:rFonts w:hint="default" w:ascii="Times New Roman" w:hAnsi="Times New Roman" w:eastAsia="宋体" w:cs="Times New Roman"/>
                <w:bCs/>
                <w:color w:val="auto"/>
                <w:sz w:val="24"/>
              </w:rPr>
              <w:t>污水排放量为</w:t>
            </w:r>
            <w:r>
              <w:rPr>
                <w:rFonts w:hint="eastAsia" w:cs="Times New Roman"/>
                <w:bCs/>
                <w:color w:val="auto"/>
                <w:sz w:val="24"/>
                <w:lang w:val="en-US" w:eastAsia="zh-CN"/>
              </w:rPr>
              <w:t>6.54</w:t>
            </w:r>
            <w:r>
              <w:rPr>
                <w:rFonts w:hint="default" w:ascii="Times New Roman" w:hAnsi="Times New Roman" w:eastAsia="宋体" w:cs="Times New Roman"/>
                <w:bCs/>
                <w:color w:val="auto"/>
                <w:sz w:val="24"/>
              </w:rPr>
              <w:t>t/d，武南污水处理厂尚有能力接纳本项目污水，从接管量上接管可行。</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综合考虑污水管网铺设情况、污水处理厂接纳能力及水质浓度达标情况等因素，项目污水接入武南污水处理厂集中处理是可行的。</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出租方已取得《</w:t>
            </w:r>
            <w:r>
              <w:rPr>
                <w:rFonts w:hint="default" w:ascii="Times New Roman" w:hAnsi="Times New Roman" w:eastAsia="宋体" w:cs="Times New Roman"/>
                <w:bCs/>
                <w:color w:val="auto"/>
                <w:sz w:val="24"/>
                <w:lang w:val="en-US" w:eastAsia="zh-CN"/>
              </w:rPr>
              <w:t>城镇污水排入排水</w:t>
            </w:r>
            <w:r>
              <w:rPr>
                <w:rFonts w:hint="eastAsia" w:cs="Times New Roman"/>
                <w:bCs/>
                <w:color w:val="auto"/>
                <w:sz w:val="24"/>
                <w:lang w:val="en-US" w:eastAsia="zh-CN"/>
              </w:rPr>
              <w:t>管网</w:t>
            </w:r>
            <w:r>
              <w:rPr>
                <w:rFonts w:hint="default" w:ascii="Times New Roman" w:hAnsi="Times New Roman" w:eastAsia="宋体" w:cs="Times New Roman"/>
                <w:bCs/>
                <w:color w:val="auto"/>
                <w:sz w:val="24"/>
                <w:lang w:val="en-US" w:eastAsia="zh-CN"/>
              </w:rPr>
              <w:t>许可证</w:t>
            </w:r>
            <w:r>
              <w:rPr>
                <w:rFonts w:hint="default" w:ascii="Times New Roman" w:hAnsi="Times New Roman" w:eastAsia="宋体" w:cs="Times New Roman"/>
                <w:bCs/>
                <w:color w:val="auto"/>
                <w:sz w:val="24"/>
              </w:rPr>
              <w:t>》（见附件7），具备接入污水管网的条件。</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（4）废水监测计划</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监测点位：本项目生活污水排放口。</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监测频次：按照《</w:t>
            </w:r>
            <w:r>
              <w:rPr>
                <w:rFonts w:hint="default" w:ascii="Times New Roman" w:hAnsi="Times New Roman" w:eastAsia="宋体" w:cs="Times New Roman"/>
                <w:color w:val="auto"/>
                <w:sz w:val="24"/>
                <w:lang w:val="en-US" w:eastAsia="zh-CN"/>
              </w:rPr>
              <w:t>排污单位自行监测技术指南 总则</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val="en-US" w:eastAsia="zh-CN"/>
              </w:rPr>
              <w:t>HJ 819-2017</w:t>
            </w:r>
            <w:r>
              <w:rPr>
                <w:rFonts w:hint="default" w:ascii="Times New Roman" w:hAnsi="Times New Roman" w:eastAsia="宋体" w:cs="Times New Roman"/>
                <w:color w:val="auto"/>
                <w:sz w:val="24"/>
              </w:rPr>
              <w:t>）中相关要求。</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监测因子：COD、SS、氨氮、总磷、总氮</w:t>
            </w:r>
            <w:r>
              <w:rPr>
                <w:rFonts w:hint="eastAsia" w:cs="Times New Roman"/>
                <w:color w:val="auto"/>
                <w:sz w:val="24"/>
                <w:lang w:eastAsia="zh-CN"/>
              </w:rPr>
              <w:t>、</w:t>
            </w:r>
            <w:r>
              <w:rPr>
                <w:rFonts w:hint="eastAsia" w:cs="Times New Roman"/>
                <w:color w:val="auto"/>
                <w:sz w:val="24"/>
                <w:lang w:val="en-US" w:eastAsia="zh-CN"/>
              </w:rPr>
              <w:t>石油类</w:t>
            </w:r>
            <w:r>
              <w:rPr>
                <w:rFonts w:hint="default" w:ascii="Times New Roman" w:hAnsi="Times New Roman" w:eastAsia="宋体" w:cs="Times New Roman"/>
                <w:color w:val="auto"/>
                <w:sz w:val="24"/>
              </w:rPr>
              <w:t>。</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废水监测位置、监测因子、频率等详见表4-1</w:t>
            </w:r>
            <w:r>
              <w:rPr>
                <w:rFonts w:hint="eastAsia" w:cs="Times New Roman"/>
                <w:color w:val="auto"/>
                <w:sz w:val="24"/>
                <w:lang w:val="en-US" w:eastAsia="zh-CN"/>
              </w:rPr>
              <w:t>8</w:t>
            </w:r>
            <w:r>
              <w:rPr>
                <w:rFonts w:hint="default" w:ascii="Times New Roman" w:hAnsi="Times New Roman" w:eastAsia="宋体" w:cs="Times New Roman"/>
                <w:color w:val="auto"/>
                <w:sz w:val="24"/>
              </w:rPr>
              <w:t>。</w:t>
            </w:r>
          </w:p>
          <w:p>
            <w:pPr>
              <w:pStyle w:val="79"/>
              <w:spacing w:beforeLines="0" w:line="240" w:lineRule="auto"/>
              <w:ind w:firstLine="0" w:firstLineChars="0"/>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表4-1</w:t>
            </w:r>
            <w:r>
              <w:rPr>
                <w:rFonts w:hint="eastAsia" w:cs="Times New Roman"/>
                <w:b/>
                <w:color w:val="auto"/>
                <w:lang w:val="en-US" w:eastAsia="zh-CN"/>
              </w:rPr>
              <w:t>8</w:t>
            </w:r>
            <w:r>
              <w:rPr>
                <w:rFonts w:hint="default" w:ascii="Times New Roman" w:hAnsi="Times New Roman" w:eastAsia="宋体" w:cs="Times New Roman"/>
                <w:b/>
                <w:color w:val="auto"/>
                <w:lang w:val="en-US" w:eastAsia="zh-CN"/>
              </w:rPr>
              <w:t xml:space="preserve"> </w:t>
            </w:r>
            <w:r>
              <w:rPr>
                <w:rFonts w:hint="default" w:ascii="Times New Roman" w:hAnsi="Times New Roman" w:eastAsia="宋体" w:cs="Times New Roman"/>
                <w:b/>
                <w:color w:val="auto"/>
              </w:rPr>
              <w:t>废水监测因子及频次表</w:t>
            </w:r>
          </w:p>
          <w:tbl>
            <w:tblPr>
              <w:tblStyle w:val="22"/>
              <w:tblW w:w="860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59"/>
              <w:gridCol w:w="2091"/>
              <w:gridCol w:w="3457"/>
              <w:gridCol w:w="180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9" w:type="dxa"/>
                  <w:vAlign w:val="center"/>
                </w:tcPr>
                <w:p>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污染种类</w:t>
                  </w:r>
                </w:p>
              </w:tc>
              <w:tc>
                <w:tcPr>
                  <w:tcW w:w="2091" w:type="dxa"/>
                  <w:vAlign w:val="center"/>
                </w:tcPr>
                <w:p>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监测点位</w:t>
                  </w:r>
                </w:p>
              </w:tc>
              <w:tc>
                <w:tcPr>
                  <w:tcW w:w="3457" w:type="dxa"/>
                  <w:vAlign w:val="center"/>
                </w:tcPr>
                <w:p>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监测项目</w:t>
                  </w:r>
                </w:p>
              </w:tc>
              <w:tc>
                <w:tcPr>
                  <w:tcW w:w="1802" w:type="dxa"/>
                  <w:vAlign w:val="center"/>
                </w:tcPr>
                <w:p>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监测频率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9"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废水</w:t>
                  </w:r>
                </w:p>
              </w:tc>
              <w:tc>
                <w:tcPr>
                  <w:tcW w:w="2091"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污水排放口</w:t>
                  </w:r>
                </w:p>
              </w:tc>
              <w:tc>
                <w:tcPr>
                  <w:tcW w:w="3457"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rPr>
                    <w:t>COD、SS、氨氮、TP、TN</w:t>
                  </w:r>
                  <w:r>
                    <w:rPr>
                      <w:rFonts w:hint="eastAsia" w:cs="Times New Roman"/>
                      <w:color w:val="auto"/>
                      <w:lang w:eastAsia="zh-CN"/>
                    </w:rPr>
                    <w:t>、</w:t>
                  </w:r>
                  <w:r>
                    <w:rPr>
                      <w:rFonts w:hint="eastAsia" w:cs="Times New Roman"/>
                      <w:color w:val="auto"/>
                      <w:lang w:val="en-US" w:eastAsia="zh-CN"/>
                    </w:rPr>
                    <w:t>石油类</w:t>
                  </w:r>
                </w:p>
              </w:tc>
              <w:tc>
                <w:tcPr>
                  <w:tcW w:w="1802"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1次/年</w:t>
                  </w:r>
                </w:p>
              </w:tc>
            </w:tr>
          </w:tbl>
          <w:p>
            <w:pPr>
              <w:adjustRightInd w:val="0"/>
              <w:snapToGrid w:val="0"/>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（5）小结</w:t>
            </w:r>
          </w:p>
          <w:p>
            <w:pPr>
              <w:autoSpaceDE w:val="0"/>
              <w:snapToGrid w:val="0"/>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综上，本项目废水产生量较小，</w:t>
            </w:r>
            <w:r>
              <w:rPr>
                <w:rFonts w:hint="eastAsia" w:cs="Times New Roman"/>
                <w:color w:val="auto"/>
                <w:sz w:val="24"/>
                <w:lang w:val="en-US" w:eastAsia="zh-CN"/>
              </w:rPr>
              <w:t>生产废水</w:t>
            </w:r>
            <w:r>
              <w:rPr>
                <w:rFonts w:hint="default" w:ascii="Times New Roman" w:hAnsi="Times New Roman" w:eastAsia="宋体" w:cs="Times New Roman"/>
                <w:color w:val="auto"/>
                <w:sz w:val="24"/>
                <w:szCs w:val="24"/>
              </w:rPr>
              <w:t>经厂内污水处理</w:t>
            </w:r>
            <w:r>
              <w:rPr>
                <w:rFonts w:hint="default" w:ascii="Times New Roman" w:hAnsi="Times New Roman" w:eastAsia="宋体" w:cs="Times New Roman"/>
                <w:color w:val="auto"/>
                <w:sz w:val="24"/>
                <w:szCs w:val="24"/>
                <w:lang w:val="en-US" w:eastAsia="zh-CN"/>
              </w:rPr>
              <w:t>站</w:t>
            </w:r>
            <w:r>
              <w:rPr>
                <w:rFonts w:hint="default" w:ascii="Times New Roman" w:hAnsi="Times New Roman" w:eastAsia="宋体" w:cs="Times New Roman"/>
                <w:color w:val="auto"/>
                <w:sz w:val="24"/>
                <w:szCs w:val="24"/>
              </w:rPr>
              <w:t>处理</w:t>
            </w:r>
            <w:r>
              <w:rPr>
                <w:rFonts w:hint="default" w:ascii="Times New Roman" w:hAnsi="Times New Roman" w:eastAsia="宋体" w:cs="Times New Roman"/>
                <w:color w:val="auto"/>
                <w:sz w:val="24"/>
                <w:szCs w:val="24"/>
                <w:lang w:val="en-US" w:eastAsia="zh-CN"/>
              </w:rPr>
              <w:t>达标后与生活污水</w:t>
            </w:r>
            <w:r>
              <w:rPr>
                <w:rFonts w:hint="default" w:ascii="Times New Roman" w:hAnsi="Times New Roman" w:eastAsia="宋体" w:cs="Times New Roman"/>
                <w:color w:val="auto"/>
                <w:sz w:val="24"/>
                <w:szCs w:val="24"/>
              </w:rPr>
              <w:t>一并接管至</w:t>
            </w:r>
            <w:r>
              <w:rPr>
                <w:rFonts w:hint="default" w:ascii="Times New Roman" w:hAnsi="Times New Roman" w:eastAsia="宋体" w:cs="Times New Roman"/>
                <w:color w:val="auto"/>
                <w:sz w:val="24"/>
                <w:szCs w:val="24"/>
                <w:lang w:val="en-US" w:eastAsia="zh-CN"/>
              </w:rPr>
              <w:t>武南污水处理厂</w:t>
            </w:r>
            <w:r>
              <w:rPr>
                <w:rFonts w:hint="default" w:ascii="Times New Roman" w:hAnsi="Times New Roman" w:eastAsia="宋体" w:cs="Times New Roman"/>
                <w:bCs/>
                <w:color w:val="auto"/>
                <w:sz w:val="24"/>
              </w:rPr>
              <w:t>，尾水排入武南河。因此，本项目废水对周围环境影响较小。</w:t>
            </w:r>
          </w:p>
          <w:bookmarkEnd w:id="2"/>
          <w:bookmarkEnd w:id="3"/>
          <w:bookmarkEnd w:id="4"/>
          <w:p>
            <w:pPr>
              <w:adjustRightInd w:val="0"/>
              <w:snapToGrid w:val="0"/>
              <w:spacing w:line="360" w:lineRule="auto"/>
              <w:rPr>
                <w:rFonts w:hint="default" w:ascii="Times New Roman" w:hAnsi="Times New Roman" w:eastAsia="宋体" w:cs="Times New Roman"/>
                <w:b/>
                <w:bCs/>
                <w:color w:val="auto"/>
                <w:sz w:val="24"/>
              </w:rPr>
            </w:pPr>
            <w:r>
              <w:rPr>
                <w:rFonts w:hint="default" w:ascii="Times New Roman" w:hAnsi="Times New Roman" w:eastAsia="宋体" w:cs="Times New Roman"/>
                <w:b/>
                <w:color w:val="auto"/>
                <w:sz w:val="24"/>
              </w:rPr>
              <w:t>3、噪声</w:t>
            </w:r>
          </w:p>
          <w:p>
            <w:pPr>
              <w:adjustRightInd w:val="0"/>
              <w:snapToGrid w:val="0"/>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（1）源强分析</w:t>
            </w:r>
          </w:p>
          <w:p>
            <w:pPr>
              <w:adjustRightInd w:val="0"/>
              <w:snapToGrid w:val="0"/>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本项目建成运营</w:t>
            </w:r>
            <w:r>
              <w:rPr>
                <w:rFonts w:hint="default" w:ascii="Times New Roman" w:hAnsi="Times New Roman" w:eastAsia="宋体" w:cs="Times New Roman"/>
                <w:bCs/>
                <w:color w:val="auto"/>
                <w:sz w:val="24"/>
                <w:szCs w:val="22"/>
              </w:rPr>
              <w:t>后，噪声源主要来自设备</w:t>
            </w:r>
            <w:r>
              <w:rPr>
                <w:rFonts w:hint="default" w:ascii="Times New Roman" w:hAnsi="Times New Roman" w:eastAsia="宋体" w:cs="Times New Roman"/>
                <w:bCs/>
                <w:color w:val="auto"/>
                <w:sz w:val="24"/>
              </w:rPr>
              <w:t>运转时产生的机械噪声，噪声源强约为</w:t>
            </w:r>
            <w:r>
              <w:rPr>
                <w:rFonts w:hint="default" w:ascii="Times New Roman" w:hAnsi="Times New Roman" w:eastAsia="宋体" w:cs="Times New Roman"/>
                <w:bCs/>
                <w:color w:val="auto"/>
                <w:sz w:val="24"/>
                <w:lang w:val="en-US" w:eastAsia="zh-CN"/>
              </w:rPr>
              <w:t>75-</w:t>
            </w:r>
            <w:r>
              <w:rPr>
                <w:rFonts w:hint="default" w:ascii="Times New Roman" w:hAnsi="Times New Roman" w:eastAsia="宋体" w:cs="Times New Roman"/>
                <w:bCs/>
                <w:color w:val="auto"/>
                <w:sz w:val="24"/>
              </w:rPr>
              <w:t>85dB（A）。主要噪声源见下表：</w:t>
            </w:r>
          </w:p>
          <w:p>
            <w:pPr>
              <w:snapToGrid w:val="0"/>
              <w:jc w:val="center"/>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表4-1</w:t>
            </w:r>
            <w:r>
              <w:rPr>
                <w:rFonts w:hint="eastAsia" w:cs="Times New Roman"/>
                <w:b/>
                <w:bCs/>
                <w:color w:val="auto"/>
                <w:sz w:val="24"/>
                <w:lang w:val="en-US" w:eastAsia="zh-CN"/>
              </w:rPr>
              <w:t>9</w:t>
            </w:r>
            <w:r>
              <w:rPr>
                <w:rFonts w:hint="default" w:ascii="Times New Roman" w:hAnsi="Times New Roman" w:eastAsia="宋体" w:cs="Times New Roman"/>
                <w:b/>
                <w:bCs/>
                <w:color w:val="auto"/>
                <w:sz w:val="24"/>
              </w:rPr>
              <w:t xml:space="preserve"> 本项目噪声排放一览表</w:t>
            </w:r>
          </w:p>
          <w:tbl>
            <w:tblPr>
              <w:tblStyle w:val="22"/>
              <w:tblW w:w="5000" w:type="pct"/>
              <w:jc w:val="center"/>
              <w:tblBorders>
                <w:top w:val="single" w:color="000000" w:sz="12" w:space="0"/>
                <w:left w:val="none" w:color="auto" w:sz="0" w:space="0"/>
                <w:bottom w:val="single" w:color="000000" w:sz="12"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041"/>
              <w:gridCol w:w="2059"/>
              <w:gridCol w:w="1747"/>
              <w:gridCol w:w="1774"/>
              <w:gridCol w:w="1616"/>
            </w:tblGrid>
            <w:tr>
              <w:tblPrEx>
                <w:tblBorders>
                  <w:top w:val="single" w:color="000000" w:sz="12" w:space="0"/>
                  <w:left w:val="none" w:color="auto" w:sz="0" w:space="0"/>
                  <w:bottom w:val="single" w:color="000000" w:sz="12"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32" w:type="pc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序号</w:t>
                  </w:r>
                </w:p>
              </w:tc>
              <w:tc>
                <w:tcPr>
                  <w:tcW w:w="1250" w:type="pc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设备名称</w:t>
                  </w:r>
                </w:p>
              </w:tc>
              <w:tc>
                <w:tcPr>
                  <w:tcW w:w="1060" w:type="pc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源强dB(A)</w:t>
                  </w:r>
                </w:p>
              </w:tc>
              <w:tc>
                <w:tcPr>
                  <w:tcW w:w="1077" w:type="pct"/>
                  <w:vAlign w:val="center"/>
                </w:tcPr>
                <w:p>
                  <w:pPr>
                    <w:adjustRightInd w:val="0"/>
                    <w:snapToGrid w:val="0"/>
                    <w:ind w:left="218" w:leftChars="104"/>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数量(套)</w:t>
                  </w:r>
                </w:p>
              </w:tc>
              <w:tc>
                <w:tcPr>
                  <w:tcW w:w="981" w:type="pc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备注</w:t>
                  </w:r>
                </w:p>
              </w:tc>
            </w:tr>
            <w:tr>
              <w:tblPrEx>
                <w:tblBorders>
                  <w:top w:val="single" w:color="000000" w:sz="12" w:space="0"/>
                  <w:left w:val="none" w:color="auto" w:sz="0" w:space="0"/>
                  <w:bottom w:val="single" w:color="000000" w:sz="12"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32"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2125"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lang w:val="en-US" w:eastAsia="zh-CN"/>
                    </w:rPr>
                    <w:t>电泳涂装线</w:t>
                  </w:r>
                </w:p>
              </w:tc>
              <w:tc>
                <w:tcPr>
                  <w:tcW w:w="1060"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85</w:t>
                  </w:r>
                </w:p>
              </w:tc>
              <w:tc>
                <w:tcPr>
                  <w:tcW w:w="1077" w:type="pct"/>
                  <w:vAlign w:val="center"/>
                </w:tcPr>
                <w:p>
                  <w:pPr>
                    <w:wordWrap w:val="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val="en-US" w:eastAsia="zh-CN"/>
                    </w:rPr>
                    <w:t>1</w:t>
                  </w:r>
                </w:p>
              </w:tc>
              <w:tc>
                <w:tcPr>
                  <w:tcW w:w="981"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室内，点源</w:t>
                  </w:r>
                </w:p>
              </w:tc>
            </w:tr>
            <w:tr>
              <w:tblPrEx>
                <w:tblBorders>
                  <w:top w:val="single" w:color="000000" w:sz="12" w:space="0"/>
                  <w:left w:val="none" w:color="auto" w:sz="0" w:space="0"/>
                  <w:bottom w:val="single" w:color="000000" w:sz="12"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32"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2</w:t>
                  </w:r>
                </w:p>
              </w:tc>
              <w:tc>
                <w:tcPr>
                  <w:tcW w:w="2125"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超滤系统</w:t>
                  </w:r>
                </w:p>
              </w:tc>
              <w:tc>
                <w:tcPr>
                  <w:tcW w:w="1060"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80</w:t>
                  </w:r>
                </w:p>
              </w:tc>
              <w:tc>
                <w:tcPr>
                  <w:tcW w:w="1077" w:type="pct"/>
                  <w:vAlign w:val="center"/>
                </w:tcPr>
                <w:p>
                  <w:pPr>
                    <w:wordWrap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w:t>
                  </w:r>
                </w:p>
              </w:tc>
              <w:tc>
                <w:tcPr>
                  <w:tcW w:w="981"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室内，点源</w:t>
                  </w:r>
                </w:p>
              </w:tc>
            </w:tr>
            <w:tr>
              <w:tblPrEx>
                <w:tblBorders>
                  <w:top w:val="single" w:color="000000" w:sz="12" w:space="0"/>
                  <w:left w:val="none" w:color="auto" w:sz="0" w:space="0"/>
                  <w:bottom w:val="single" w:color="000000" w:sz="12"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32"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3</w:t>
                  </w:r>
                </w:p>
              </w:tc>
              <w:tc>
                <w:tcPr>
                  <w:tcW w:w="2125"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纯水制备系统</w:t>
                  </w:r>
                </w:p>
              </w:tc>
              <w:tc>
                <w:tcPr>
                  <w:tcW w:w="1060"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75</w:t>
                  </w:r>
                </w:p>
              </w:tc>
              <w:tc>
                <w:tcPr>
                  <w:tcW w:w="1077" w:type="pct"/>
                  <w:vAlign w:val="center"/>
                </w:tcPr>
                <w:p>
                  <w:pPr>
                    <w:wordWrap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w:t>
                  </w:r>
                </w:p>
              </w:tc>
              <w:tc>
                <w:tcPr>
                  <w:tcW w:w="981"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室内，点源</w:t>
                  </w:r>
                </w:p>
              </w:tc>
            </w:tr>
          </w:tbl>
          <w:p>
            <w:pPr>
              <w:pStyle w:val="5"/>
              <w:adjustRightInd w:val="0"/>
              <w:spacing w:line="360" w:lineRule="auto"/>
              <w:ind w:firstLine="506" w:firstLineChars="211"/>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（2）防治措施</w:t>
            </w:r>
          </w:p>
          <w:p>
            <w:pPr>
              <w:pStyle w:val="5"/>
              <w:adjustRightInd w:val="0"/>
              <w:spacing w:line="360" w:lineRule="auto"/>
              <w:ind w:firstLine="506" w:firstLineChars="211"/>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本项目对各噪声源拟采取减振、厂房隔声的措施，并利用车间的厂房对噪声进行隔声。采取的具体噪声措施如下：</w:t>
            </w:r>
          </w:p>
          <w:p>
            <w:pPr>
              <w:pStyle w:val="5"/>
              <w:adjustRightInd w:val="0"/>
              <w:spacing w:line="360" w:lineRule="auto"/>
              <w:ind w:firstLine="506" w:firstLineChars="211"/>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①充分利用厂区建筑物隔声、降噪，有利于减少生产噪声对厂外声环境的影响。</w:t>
            </w:r>
          </w:p>
          <w:p>
            <w:pPr>
              <w:pStyle w:val="5"/>
              <w:adjustRightInd w:val="0"/>
              <w:spacing w:line="360" w:lineRule="auto"/>
              <w:ind w:firstLine="506" w:firstLineChars="211"/>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②合理布局，闹静分开，使高噪声设备尽量远离敏感点。</w:t>
            </w:r>
          </w:p>
          <w:p>
            <w:pPr>
              <w:pStyle w:val="5"/>
              <w:adjustRightInd w:val="0"/>
              <w:spacing w:line="360" w:lineRule="auto"/>
              <w:ind w:firstLine="506" w:firstLineChars="211"/>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3 \* GB3 \* MERGEFORMAT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③</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项目设备应加强日常的维护，确保设备的正常运行，避免产生异常噪声。</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（3）达标情况分析</w:t>
            </w:r>
          </w:p>
          <w:p>
            <w:pPr>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bCs/>
                <w:color w:val="auto"/>
                <w:sz w:val="24"/>
              </w:rPr>
              <w:t>本项目噪声主要为设备运行时产生，噪声源强约</w:t>
            </w:r>
            <w:r>
              <w:rPr>
                <w:rFonts w:hint="default" w:ascii="Times New Roman" w:hAnsi="Times New Roman" w:eastAsia="宋体" w:cs="Times New Roman"/>
                <w:bCs/>
                <w:color w:val="auto"/>
                <w:sz w:val="24"/>
                <w:lang w:val="en-US" w:eastAsia="zh-CN"/>
              </w:rPr>
              <w:t>75-</w:t>
            </w:r>
            <w:r>
              <w:rPr>
                <w:rFonts w:hint="default" w:ascii="Times New Roman" w:hAnsi="Times New Roman" w:eastAsia="宋体" w:cs="Times New Roman"/>
                <w:bCs/>
                <w:color w:val="auto"/>
                <w:sz w:val="24"/>
              </w:rPr>
              <w:t>85dB(A)。设备安置在</w:t>
            </w:r>
            <w:r>
              <w:rPr>
                <w:rFonts w:hint="default" w:ascii="Times New Roman" w:hAnsi="Times New Roman" w:eastAsia="宋体" w:cs="Times New Roman"/>
                <w:color w:val="auto"/>
                <w:sz w:val="24"/>
              </w:rPr>
              <w:t>车间内，采取防振等降噪措施及厂房的隔声和距离衰减，根据环保部颁发的《环境影响评价技术导则 声环境》（HJ2.4-2009）中噪声预测模式进行预测（公式如下）</w:t>
            </w:r>
          </w:p>
          <w:p>
            <w:pPr>
              <w:spacing w:line="360" w:lineRule="auto"/>
              <w:ind w:left="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①户外声传播衰减计算</w:t>
            </w:r>
          </w:p>
          <w:p>
            <w:pPr>
              <w:autoSpaceDE w:val="0"/>
              <w:autoSpaceDN w:val="0"/>
              <w:spacing w:line="360" w:lineRule="auto"/>
              <w:jc w:val="center"/>
              <w:rPr>
                <w:rFonts w:hint="default" w:ascii="Times New Roman" w:hAnsi="Times New Roman" w:eastAsia="宋体" w:cs="Times New Roman"/>
                <w:color w:val="auto"/>
                <w:szCs w:val="28"/>
                <w:lang w:val="zh-CN"/>
              </w:rPr>
            </w:pPr>
            <w:r>
              <w:rPr>
                <w:rFonts w:hint="default" w:ascii="Times New Roman" w:hAnsi="Times New Roman" w:eastAsia="宋体" w:cs="Times New Roman"/>
                <w:color w:val="auto"/>
                <w:szCs w:val="28"/>
              </w:rPr>
              <w:drawing>
                <wp:inline distT="0" distB="0" distL="0" distR="0">
                  <wp:extent cx="3701415" cy="409575"/>
                  <wp:effectExtent l="19050" t="0" r="0" b="0"/>
                  <wp:docPr id="1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pic:cNvPicPr>
                            <a:picLocks noChangeAspect="1" noChangeArrowheads="1"/>
                          </pic:cNvPicPr>
                        </pic:nvPicPr>
                        <pic:blipFill>
                          <a:blip r:embed="rId30" cstate="print"/>
                          <a:srcRect/>
                          <a:stretch>
                            <a:fillRect/>
                          </a:stretch>
                        </pic:blipFill>
                        <pic:spPr>
                          <a:xfrm>
                            <a:off x="0" y="0"/>
                            <a:ext cx="3701415" cy="409575"/>
                          </a:xfrm>
                          <a:prstGeom prst="rect">
                            <a:avLst/>
                          </a:prstGeom>
                          <a:noFill/>
                          <a:ln w="9525" cmpd="sng">
                            <a:noFill/>
                            <a:miter lim="800000"/>
                            <a:headEnd/>
                            <a:tailEnd/>
                          </a:ln>
                        </pic:spPr>
                      </pic:pic>
                    </a:graphicData>
                  </a:graphic>
                </wp:inline>
              </w:drawing>
            </w:r>
          </w:p>
          <w:p>
            <w:pPr>
              <w:autoSpaceDE w:val="0"/>
              <w:autoSpaceDN w:val="0"/>
              <w:spacing w:line="360" w:lineRule="auto"/>
              <w:ind w:leftChars="-95" w:hanging="199" w:hangingChars="95"/>
              <w:jc w:val="center"/>
              <w:rPr>
                <w:rFonts w:hint="default" w:ascii="Times New Roman" w:hAnsi="Times New Roman" w:eastAsia="宋体" w:cs="Times New Roman"/>
                <w:color w:val="auto"/>
                <w:kern w:val="0"/>
                <w:sz w:val="24"/>
                <w:lang w:val="zh-CN"/>
              </w:rPr>
            </w:pPr>
            <w:r>
              <w:rPr>
                <w:rFonts w:hint="default" w:ascii="Times New Roman" w:hAnsi="Times New Roman" w:eastAsia="宋体" w:cs="Times New Roman"/>
                <w:color w:val="auto"/>
                <w:szCs w:val="28"/>
              </w:rPr>
              <w:drawing>
                <wp:inline distT="0" distB="0" distL="0" distR="0">
                  <wp:extent cx="5401310" cy="657225"/>
                  <wp:effectExtent l="19050" t="0" r="8686" b="0"/>
                  <wp:docPr id="1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6"/>
                          <pic:cNvPicPr>
                            <a:picLocks noChangeAspect="1" noChangeArrowheads="1"/>
                          </pic:cNvPicPr>
                        </pic:nvPicPr>
                        <pic:blipFill>
                          <a:blip r:embed="rId31" cstate="print"/>
                          <a:srcRect/>
                          <a:stretch>
                            <a:fillRect/>
                          </a:stretch>
                        </pic:blipFill>
                        <pic:spPr>
                          <a:xfrm>
                            <a:off x="0" y="0"/>
                            <a:ext cx="5401702" cy="657594"/>
                          </a:xfrm>
                          <a:prstGeom prst="rect">
                            <a:avLst/>
                          </a:prstGeom>
                          <a:noFill/>
                          <a:ln w="9525" cmpd="sng">
                            <a:noFill/>
                            <a:miter lim="800000"/>
                            <a:headEnd/>
                            <a:tailEnd/>
                          </a:ln>
                        </pic:spPr>
                      </pic:pic>
                    </a:graphicData>
                  </a:graphic>
                </wp:inline>
              </w:drawing>
            </w:r>
          </w:p>
          <w:p>
            <w:pPr>
              <w:autoSpaceDE w:val="0"/>
              <w:autoSpaceDN w:val="0"/>
              <w:spacing w:line="360" w:lineRule="auto"/>
              <w:ind w:firstLine="480" w:firstLineChars="200"/>
              <w:rPr>
                <w:rFonts w:hint="default" w:ascii="Times New Roman" w:hAnsi="Times New Roman" w:eastAsia="宋体" w:cs="Times New Roman"/>
                <w:color w:val="auto"/>
                <w:sz w:val="24"/>
                <w:lang w:val="zh-CN"/>
              </w:rPr>
            </w:pPr>
            <w:r>
              <w:rPr>
                <w:rFonts w:hint="default" w:ascii="Times New Roman" w:hAnsi="Times New Roman" w:eastAsia="宋体" w:cs="Times New Roman"/>
                <w:color w:val="auto"/>
                <w:sz w:val="24"/>
                <w:lang w:val="zh-CN"/>
              </w:rPr>
              <w:t>预测点的A声压级LA（r），可利用500HZ倍频带的声压级公示计算：</w:t>
            </w:r>
          </w:p>
          <w:p>
            <w:pPr>
              <w:autoSpaceDE w:val="0"/>
              <w:autoSpaceDN w:val="0"/>
              <w:spacing w:line="360" w:lineRule="auto"/>
              <w:jc w:val="center"/>
              <w:rPr>
                <w:rFonts w:hint="default" w:ascii="Times New Roman" w:hAnsi="Times New Roman" w:eastAsia="宋体" w:cs="Times New Roman"/>
                <w:color w:val="auto"/>
                <w:szCs w:val="28"/>
                <w:lang w:val="zh-CN"/>
              </w:rPr>
            </w:pPr>
            <w:r>
              <w:rPr>
                <w:rFonts w:hint="default" w:ascii="Times New Roman" w:hAnsi="Times New Roman" w:eastAsia="宋体" w:cs="Times New Roman"/>
                <w:color w:val="auto"/>
                <w:szCs w:val="28"/>
              </w:rPr>
              <w:drawing>
                <wp:inline distT="0" distB="0" distL="0" distR="0">
                  <wp:extent cx="5284470" cy="1016000"/>
                  <wp:effectExtent l="19050" t="0" r="0" b="0"/>
                  <wp:docPr id="1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
                          <pic:cNvPicPr>
                            <a:picLocks noChangeAspect="1" noChangeArrowheads="1"/>
                          </pic:cNvPicPr>
                        </pic:nvPicPr>
                        <pic:blipFill>
                          <a:blip r:embed="rId32" cstate="print"/>
                          <a:srcRect b="18129"/>
                          <a:stretch>
                            <a:fillRect/>
                          </a:stretch>
                        </pic:blipFill>
                        <pic:spPr>
                          <a:xfrm>
                            <a:off x="0" y="0"/>
                            <a:ext cx="5284722" cy="1016572"/>
                          </a:xfrm>
                          <a:prstGeom prst="rect">
                            <a:avLst/>
                          </a:prstGeom>
                          <a:noFill/>
                          <a:ln w="9525" cmpd="sng">
                            <a:noFill/>
                            <a:miter lim="800000"/>
                            <a:headEnd/>
                            <a:tailEnd/>
                          </a:ln>
                        </pic:spPr>
                      </pic:pic>
                    </a:graphicData>
                  </a:graphic>
                </wp:inline>
              </w:drawing>
            </w:r>
          </w:p>
          <w:p>
            <w:pPr>
              <w:pStyle w:val="2"/>
              <w:ind w:left="1470" w:right="1470"/>
              <w:rPr>
                <w:rFonts w:hint="default" w:ascii="Times New Roman" w:hAnsi="Times New Roman" w:eastAsia="宋体" w:cs="Times New Roman"/>
                <w:color w:val="auto"/>
                <w:lang w:val="zh-CN"/>
              </w:rPr>
            </w:pPr>
            <w:r>
              <w:rPr>
                <w:rFonts w:hint="default" w:ascii="Times New Roman" w:hAnsi="Times New Roman" w:eastAsia="宋体" w:cs="Times New Roman"/>
                <w:color w:val="auto"/>
              </w:rPr>
              <w:drawing>
                <wp:anchor distT="0" distB="0" distL="114300" distR="114300" simplePos="0" relativeHeight="251660288" behindDoc="0" locked="0" layoutInCell="1" allowOverlap="1">
                  <wp:simplePos x="0" y="0"/>
                  <wp:positionH relativeFrom="column">
                    <wp:posOffset>912495</wp:posOffset>
                  </wp:positionH>
                  <wp:positionV relativeFrom="paragraph">
                    <wp:posOffset>152400</wp:posOffset>
                  </wp:positionV>
                  <wp:extent cx="2599690" cy="212090"/>
                  <wp:effectExtent l="19050" t="0" r="0" b="0"/>
                  <wp:wrapNone/>
                  <wp:docPr id="1710" name="图片 2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0" name="图片 2188"/>
                          <pic:cNvPicPr>
                            <a:picLocks noChangeAspect="1" noChangeArrowheads="1"/>
                          </pic:cNvPicPr>
                        </pic:nvPicPr>
                        <pic:blipFill>
                          <a:blip r:embed="rId33" cstate="print"/>
                          <a:srcRect/>
                          <a:stretch>
                            <a:fillRect/>
                          </a:stretch>
                        </pic:blipFill>
                        <pic:spPr>
                          <a:xfrm>
                            <a:off x="0" y="0"/>
                            <a:ext cx="2599690" cy="212090"/>
                          </a:xfrm>
                          <a:prstGeom prst="rect">
                            <a:avLst/>
                          </a:prstGeom>
                          <a:noFill/>
                          <a:ln w="9525" cmpd="sng">
                            <a:noFill/>
                            <a:miter lim="800000"/>
                            <a:headEnd/>
                            <a:tailEnd/>
                          </a:ln>
                        </pic:spPr>
                      </pic:pic>
                    </a:graphicData>
                  </a:graphic>
                </wp:anchor>
              </w:drawing>
            </w:r>
          </w:p>
          <w:p>
            <w:pPr>
              <w:pStyle w:val="2"/>
              <w:ind w:left="1470" w:right="1470"/>
              <w:rPr>
                <w:rFonts w:hint="default" w:ascii="Times New Roman" w:hAnsi="Times New Roman" w:eastAsia="宋体" w:cs="Times New Roman"/>
                <w:color w:val="auto"/>
                <w:lang w:val="zh-CN"/>
              </w:rPr>
            </w:pP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②点源噪声叠加公式：</w:t>
            </w:r>
          </w:p>
          <w:p>
            <w:pPr>
              <w:autoSpaceDE w:val="0"/>
              <w:autoSpaceDN w:val="0"/>
              <w:spacing w:line="360" w:lineRule="auto"/>
              <w:ind w:firstLine="720" w:firstLineChars="300"/>
              <w:rPr>
                <w:rFonts w:hint="default" w:ascii="Times New Roman" w:hAnsi="Times New Roman" w:eastAsia="宋体" w:cs="Times New Roman"/>
                <w:color w:val="auto"/>
                <w:sz w:val="24"/>
                <w:lang w:val="zh-CN"/>
              </w:rPr>
            </w:pPr>
          </w:p>
          <w:p>
            <w:pPr>
              <w:adjustRightInd w:val="0"/>
              <w:snapToGrid w:val="0"/>
              <w:jc w:val="center"/>
              <w:rPr>
                <w:rFonts w:hint="default" w:ascii="Times New Roman" w:hAnsi="Times New Roman" w:eastAsia="宋体" w:cs="Times New Roman"/>
                <w:color w:val="auto"/>
                <w:sz w:val="24"/>
              </w:rPr>
            </w:pPr>
          </w:p>
          <w:p>
            <w:pPr>
              <w:adjustRightInd w:val="0"/>
              <w:snapToGrid w:val="0"/>
              <w:jc w:val="center"/>
              <w:rPr>
                <w:rFonts w:hint="default" w:ascii="Times New Roman" w:hAnsi="Times New Roman" w:eastAsia="宋体" w:cs="Times New Roman"/>
                <w:color w:val="auto"/>
                <w:sz w:val="24"/>
              </w:rPr>
            </w:pPr>
          </w:p>
          <w:p>
            <w:pPr>
              <w:adjustRightInd w:val="0"/>
              <w:snapToGrid w:val="0"/>
              <w:jc w:val="center"/>
              <w:rPr>
                <w:rFonts w:hint="default" w:ascii="Times New Roman" w:hAnsi="Times New Roman" w:eastAsia="宋体" w:cs="Times New Roman"/>
                <w:color w:val="auto"/>
                <w:sz w:val="24"/>
              </w:rPr>
            </w:pPr>
          </w:p>
          <w:p>
            <w:pPr>
              <w:adjustRightInd w:val="0"/>
              <w:snapToGrid w:val="0"/>
              <w:jc w:val="center"/>
              <w:rPr>
                <w:rFonts w:hint="default" w:ascii="Times New Roman" w:hAnsi="Times New Roman" w:eastAsia="宋体" w:cs="Times New Roman"/>
                <w:color w:val="auto"/>
                <w:sz w:val="24"/>
              </w:rPr>
            </w:pPr>
          </w:p>
          <w:p>
            <w:pPr>
              <w:adjustRightInd w:val="0"/>
              <w:snapToGrid w:val="0"/>
              <w:jc w:val="center"/>
              <w:rPr>
                <w:rFonts w:hint="default" w:ascii="Times New Roman" w:hAnsi="Times New Roman" w:eastAsia="宋体" w:cs="Times New Roman"/>
                <w:color w:val="auto"/>
                <w:sz w:val="24"/>
              </w:rPr>
            </w:pPr>
          </w:p>
          <w:p>
            <w:pPr>
              <w:adjustRightInd w:val="0"/>
              <w:snapToGrid w:val="0"/>
              <w:jc w:val="center"/>
              <w:rPr>
                <w:rFonts w:hint="default" w:ascii="Times New Roman" w:hAnsi="Times New Roman" w:eastAsia="宋体" w:cs="Times New Roman"/>
                <w:color w:val="auto"/>
                <w:sz w:val="24"/>
              </w:rPr>
            </w:pPr>
          </w:p>
          <w:p>
            <w:pPr>
              <w:adjustRightInd w:val="0"/>
              <w:snapToGrid w:val="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drawing>
                <wp:anchor distT="0" distB="0" distL="114300" distR="114300" simplePos="0" relativeHeight="251661312" behindDoc="0" locked="0" layoutInCell="1" allowOverlap="1">
                  <wp:simplePos x="0" y="0"/>
                  <wp:positionH relativeFrom="column">
                    <wp:posOffset>422275</wp:posOffset>
                  </wp:positionH>
                  <wp:positionV relativeFrom="paragraph">
                    <wp:posOffset>-1308100</wp:posOffset>
                  </wp:positionV>
                  <wp:extent cx="4713605" cy="1323975"/>
                  <wp:effectExtent l="19050" t="0" r="0" b="0"/>
                  <wp:wrapSquare wrapText="bothSides"/>
                  <wp:docPr id="1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8"/>
                          <pic:cNvPicPr>
                            <a:picLocks noChangeAspect="1" noChangeArrowheads="1"/>
                          </pic:cNvPicPr>
                        </pic:nvPicPr>
                        <pic:blipFill>
                          <a:blip r:embed="rId34" cstate="print"/>
                          <a:srcRect/>
                          <a:stretch>
                            <a:fillRect/>
                          </a:stretch>
                        </pic:blipFill>
                        <pic:spPr>
                          <a:xfrm>
                            <a:off x="0" y="0"/>
                            <a:ext cx="4713605" cy="1323975"/>
                          </a:xfrm>
                          <a:prstGeom prst="rect">
                            <a:avLst/>
                          </a:prstGeom>
                          <a:noFill/>
                          <a:ln w="9525" cmpd="sng">
                            <a:noFill/>
                            <a:miter lim="800000"/>
                            <a:headEnd/>
                            <a:tailEnd/>
                          </a:ln>
                        </pic:spPr>
                      </pic:pic>
                    </a:graphicData>
                  </a:graphic>
                </wp:anchor>
              </w:drawing>
            </w:r>
          </w:p>
          <w:p>
            <w:pPr>
              <w:adjustRightInd w:val="0"/>
              <w:snapToGrid w:val="0"/>
              <w:spacing w:line="360" w:lineRule="auto"/>
              <w:ind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经合理布局、减振、厂房隔声、距离衰减后，项目各厂界噪声预测情况见下表：</w:t>
            </w:r>
          </w:p>
          <w:p>
            <w:pPr>
              <w:adjustRightInd w:val="0"/>
              <w:snapToGrid w:val="0"/>
              <w:jc w:val="center"/>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表4-</w:t>
            </w:r>
            <w:r>
              <w:rPr>
                <w:rFonts w:hint="eastAsia" w:cs="Times New Roman"/>
                <w:b/>
                <w:bCs/>
                <w:color w:val="auto"/>
                <w:sz w:val="24"/>
                <w:lang w:val="en-US" w:eastAsia="zh-CN"/>
              </w:rPr>
              <w:t>20</w:t>
            </w:r>
            <w:r>
              <w:rPr>
                <w:rFonts w:hint="default" w:ascii="Times New Roman" w:hAnsi="Times New Roman" w:eastAsia="宋体" w:cs="Times New Roman"/>
                <w:b/>
                <w:bCs/>
                <w:color w:val="auto"/>
                <w:sz w:val="24"/>
              </w:rPr>
              <w:t xml:space="preserve"> 本项目各厂界噪声预测结果</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903"/>
              <w:gridCol w:w="365"/>
              <w:gridCol w:w="1639"/>
              <w:gridCol w:w="674"/>
              <w:gridCol w:w="664"/>
              <w:gridCol w:w="662"/>
              <w:gridCol w:w="664"/>
              <w:gridCol w:w="662"/>
              <w:gridCol w:w="664"/>
              <w:gridCol w:w="662"/>
              <w:gridCol w:w="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1767" w:type="pct"/>
                  <w:gridSpan w:val="3"/>
                  <w:tcBorders>
                    <w:top w:val="single" w:color="auto" w:sz="12" w:space="0"/>
                    <w:left w:val="nil"/>
                    <w:tl2br w:val="single" w:color="auto" w:sz="4" w:space="0"/>
                  </w:tcBorders>
                  <w:vAlign w:val="center"/>
                </w:tcPr>
                <w:p>
                  <w:pPr>
                    <w:snapToGrid w:val="0"/>
                    <w:jc w:val="right"/>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预测点</w:t>
                  </w:r>
                </w:p>
                <w:p>
                  <w:pPr>
                    <w:snapToGrid w:val="0"/>
                    <w:jc w:val="left"/>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本项目（声源）</w:t>
                  </w:r>
                </w:p>
              </w:tc>
              <w:tc>
                <w:tcPr>
                  <w:tcW w:w="812" w:type="pct"/>
                  <w:gridSpan w:val="2"/>
                  <w:tcBorders>
                    <w:top w:val="single" w:color="auto" w:sz="12" w:space="0"/>
                  </w:tcBorders>
                  <w:vAlign w:val="center"/>
                </w:tcPr>
                <w:p>
                  <w:pPr>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东厂界</w:t>
                  </w:r>
                </w:p>
              </w:tc>
              <w:tc>
                <w:tcPr>
                  <w:tcW w:w="805" w:type="pct"/>
                  <w:gridSpan w:val="2"/>
                  <w:tcBorders>
                    <w:top w:val="single" w:color="auto" w:sz="12" w:space="0"/>
                  </w:tcBorders>
                  <w:vAlign w:val="center"/>
                </w:tcPr>
                <w:p>
                  <w:pPr>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南厂界</w:t>
                  </w:r>
                </w:p>
              </w:tc>
              <w:tc>
                <w:tcPr>
                  <w:tcW w:w="805" w:type="pct"/>
                  <w:gridSpan w:val="2"/>
                  <w:tcBorders>
                    <w:top w:val="single" w:color="auto" w:sz="12" w:space="0"/>
                  </w:tcBorders>
                  <w:vAlign w:val="center"/>
                </w:tcPr>
                <w:p>
                  <w:pPr>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西厂界</w:t>
                  </w:r>
                </w:p>
              </w:tc>
              <w:tc>
                <w:tcPr>
                  <w:tcW w:w="811" w:type="pct"/>
                  <w:gridSpan w:val="2"/>
                  <w:tcBorders>
                    <w:top w:val="single" w:color="auto" w:sz="12" w:space="0"/>
                    <w:right w:val="nil"/>
                  </w:tcBorders>
                  <w:vAlign w:val="center"/>
                </w:tcPr>
                <w:p>
                  <w:pPr>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北厂界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1767" w:type="pct"/>
                  <w:gridSpan w:val="3"/>
                  <w:tcBorders>
                    <w:left w:val="nil"/>
                  </w:tcBorders>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声压级LP(ro)，dB（A）</w:t>
                  </w:r>
                </w:p>
              </w:tc>
              <w:tc>
                <w:tcPr>
                  <w:tcW w:w="3233" w:type="pct"/>
                  <w:gridSpan w:val="8"/>
                  <w:tcBorders>
                    <w:right w:val="nil"/>
                  </w:tcBorders>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549" w:type="pct"/>
                  <w:vMerge w:val="restart"/>
                  <w:tcBorders>
                    <w:left w:val="nil"/>
                  </w:tcBorders>
                  <w:vAlign w:val="center"/>
                </w:tcPr>
                <w:p>
                  <w:pPr>
                    <w:snapToGrid w:val="0"/>
                    <w:jc w:val="center"/>
                    <w:rPr>
                      <w:rFonts w:hint="default" w:ascii="Times New Roman" w:hAnsi="Times New Roman" w:eastAsia="宋体" w:cs="Times New Roman"/>
                      <w:bCs/>
                      <w:color w:val="auto"/>
                      <w:szCs w:val="21"/>
                    </w:rPr>
                  </w:pPr>
                  <w:bookmarkStart w:id="5" w:name="_Hlk405534900"/>
                  <w:bookmarkStart w:id="6" w:name="OLE_LINK12" w:colFirst="2" w:colLast="5"/>
                  <w:r>
                    <w:rPr>
                      <w:rFonts w:hint="default" w:ascii="Times New Roman" w:hAnsi="Times New Roman" w:eastAsia="宋体" w:cs="Times New Roman"/>
                      <w:bCs/>
                      <w:color w:val="auto"/>
                      <w:szCs w:val="21"/>
                    </w:rPr>
                    <w:t>声源自参考点（ro）到预测点（r）</w:t>
                  </w:r>
                  <w:r>
                    <w:rPr>
                      <w:rFonts w:hint="default" w:ascii="Times New Roman" w:hAnsi="Times New Roman" w:eastAsia="宋体" w:cs="Times New Roman"/>
                      <w:color w:val="auto"/>
                      <w:szCs w:val="21"/>
                    </w:rPr>
                    <w:t>传播衰减，</w:t>
                  </w:r>
                  <w:r>
                    <w:rPr>
                      <w:rFonts w:hint="default" w:ascii="Times New Roman" w:hAnsi="Times New Roman" w:eastAsia="宋体" w:cs="Times New Roman"/>
                      <w:bCs/>
                      <w:color w:val="auto"/>
                      <w:szCs w:val="21"/>
                    </w:rPr>
                    <w:t>dB</w:t>
                  </w:r>
                </w:p>
              </w:tc>
              <w:tc>
                <w:tcPr>
                  <w:tcW w:w="1218" w:type="pct"/>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几何发散A</w:t>
                  </w:r>
                  <w:r>
                    <w:rPr>
                      <w:rFonts w:hint="default" w:ascii="Times New Roman" w:hAnsi="Times New Roman" w:eastAsia="宋体" w:cs="Times New Roman"/>
                      <w:bCs/>
                      <w:color w:val="auto"/>
                      <w:szCs w:val="21"/>
                      <w:vertAlign w:val="subscript"/>
                    </w:rPr>
                    <w:t>div</w:t>
                  </w:r>
                </w:p>
              </w:tc>
              <w:tc>
                <w:tcPr>
                  <w:tcW w:w="812" w:type="pct"/>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16.90</w:t>
                  </w:r>
                </w:p>
              </w:tc>
              <w:tc>
                <w:tcPr>
                  <w:tcW w:w="805" w:type="pct"/>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18.06</w:t>
                  </w:r>
                </w:p>
              </w:tc>
              <w:tc>
                <w:tcPr>
                  <w:tcW w:w="805" w:type="pct"/>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17.03</w:t>
                  </w:r>
                </w:p>
              </w:tc>
              <w:tc>
                <w:tcPr>
                  <w:tcW w:w="811" w:type="pct"/>
                  <w:gridSpan w:val="2"/>
                  <w:tcBorders>
                    <w:right w:val="nil"/>
                  </w:tcBorders>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18.12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549" w:type="pct"/>
                  <w:vMerge w:val="continue"/>
                  <w:tcBorders>
                    <w:left w:val="nil"/>
                  </w:tcBorders>
                  <w:vAlign w:val="center"/>
                </w:tcPr>
                <w:p>
                  <w:pPr>
                    <w:snapToGrid w:val="0"/>
                    <w:jc w:val="center"/>
                    <w:rPr>
                      <w:rFonts w:hint="default" w:ascii="Times New Roman" w:hAnsi="Times New Roman" w:eastAsia="宋体" w:cs="Times New Roman"/>
                      <w:bCs/>
                      <w:color w:val="auto"/>
                      <w:szCs w:val="21"/>
                    </w:rPr>
                  </w:pPr>
                </w:p>
              </w:tc>
              <w:tc>
                <w:tcPr>
                  <w:tcW w:w="1218" w:type="pct"/>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大气吸收A</w:t>
                  </w:r>
                  <w:r>
                    <w:rPr>
                      <w:rFonts w:hint="default" w:ascii="Times New Roman" w:hAnsi="Times New Roman" w:eastAsia="宋体" w:cs="Times New Roman"/>
                      <w:bCs/>
                      <w:color w:val="auto"/>
                      <w:szCs w:val="21"/>
                      <w:vertAlign w:val="subscript"/>
                    </w:rPr>
                    <w:t>atm</w:t>
                  </w:r>
                </w:p>
              </w:tc>
              <w:tc>
                <w:tcPr>
                  <w:tcW w:w="812" w:type="pct"/>
                  <w:gridSpan w:val="2"/>
                  <w:vAlign w:val="center"/>
                </w:tcPr>
                <w:p>
                  <w:pPr>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0.02</w:t>
                  </w:r>
                </w:p>
              </w:tc>
              <w:tc>
                <w:tcPr>
                  <w:tcW w:w="805" w:type="pct"/>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0.02</w:t>
                  </w:r>
                </w:p>
              </w:tc>
              <w:tc>
                <w:tcPr>
                  <w:tcW w:w="805" w:type="pct"/>
                  <w:gridSpan w:val="2"/>
                  <w:vAlign w:val="center"/>
                </w:tcPr>
                <w:p>
                  <w:pPr>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0.02</w:t>
                  </w:r>
                </w:p>
              </w:tc>
              <w:tc>
                <w:tcPr>
                  <w:tcW w:w="811" w:type="pct"/>
                  <w:gridSpan w:val="2"/>
                  <w:tcBorders>
                    <w:right w:val="nil"/>
                  </w:tcBorders>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549" w:type="pct"/>
                  <w:vMerge w:val="continue"/>
                  <w:tcBorders>
                    <w:left w:val="nil"/>
                  </w:tcBorders>
                  <w:vAlign w:val="center"/>
                </w:tcPr>
                <w:p>
                  <w:pPr>
                    <w:snapToGrid w:val="0"/>
                    <w:jc w:val="center"/>
                    <w:rPr>
                      <w:rFonts w:hint="default" w:ascii="Times New Roman" w:hAnsi="Times New Roman" w:eastAsia="宋体" w:cs="Times New Roman"/>
                      <w:bCs/>
                      <w:color w:val="auto"/>
                      <w:szCs w:val="21"/>
                    </w:rPr>
                  </w:pPr>
                </w:p>
              </w:tc>
              <w:tc>
                <w:tcPr>
                  <w:tcW w:w="1218" w:type="pct"/>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地面效应A</w:t>
                  </w:r>
                  <w:r>
                    <w:rPr>
                      <w:rFonts w:hint="default" w:ascii="Times New Roman" w:hAnsi="Times New Roman" w:eastAsia="宋体" w:cs="Times New Roman"/>
                      <w:bCs/>
                      <w:color w:val="auto"/>
                      <w:szCs w:val="21"/>
                      <w:vertAlign w:val="subscript"/>
                    </w:rPr>
                    <w:t>gr</w:t>
                  </w:r>
                </w:p>
              </w:tc>
              <w:tc>
                <w:tcPr>
                  <w:tcW w:w="812" w:type="pct"/>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w:t>
                  </w:r>
                </w:p>
              </w:tc>
              <w:tc>
                <w:tcPr>
                  <w:tcW w:w="805" w:type="pct"/>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w:t>
                  </w:r>
                </w:p>
              </w:tc>
              <w:tc>
                <w:tcPr>
                  <w:tcW w:w="805" w:type="pct"/>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w:t>
                  </w:r>
                </w:p>
              </w:tc>
              <w:tc>
                <w:tcPr>
                  <w:tcW w:w="811" w:type="pct"/>
                  <w:gridSpan w:val="2"/>
                  <w:tcBorders>
                    <w:right w:val="nil"/>
                  </w:tcBorders>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549" w:type="pct"/>
                  <w:vMerge w:val="continue"/>
                  <w:tcBorders>
                    <w:left w:val="nil"/>
                  </w:tcBorders>
                  <w:vAlign w:val="center"/>
                </w:tcPr>
                <w:p>
                  <w:pPr>
                    <w:snapToGrid w:val="0"/>
                    <w:jc w:val="center"/>
                    <w:rPr>
                      <w:rFonts w:hint="default" w:ascii="Times New Roman" w:hAnsi="Times New Roman" w:eastAsia="宋体" w:cs="Times New Roman"/>
                      <w:bCs/>
                      <w:color w:val="auto"/>
                      <w:szCs w:val="21"/>
                    </w:rPr>
                  </w:pPr>
                </w:p>
              </w:tc>
              <w:tc>
                <w:tcPr>
                  <w:tcW w:w="1218" w:type="pct"/>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屏障屏蔽A</w:t>
                  </w:r>
                  <w:r>
                    <w:rPr>
                      <w:rFonts w:hint="default" w:ascii="Times New Roman" w:hAnsi="Times New Roman" w:eastAsia="宋体" w:cs="Times New Roman"/>
                      <w:bCs/>
                      <w:color w:val="auto"/>
                      <w:szCs w:val="21"/>
                      <w:vertAlign w:val="subscript"/>
                    </w:rPr>
                    <w:t>bar</w:t>
                  </w:r>
                </w:p>
              </w:tc>
              <w:tc>
                <w:tcPr>
                  <w:tcW w:w="812" w:type="pct"/>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29.5</w:t>
                  </w:r>
                </w:p>
              </w:tc>
              <w:tc>
                <w:tcPr>
                  <w:tcW w:w="805" w:type="pct"/>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28.5</w:t>
                  </w:r>
                </w:p>
              </w:tc>
              <w:tc>
                <w:tcPr>
                  <w:tcW w:w="805" w:type="pct"/>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29.6</w:t>
                  </w:r>
                </w:p>
              </w:tc>
              <w:tc>
                <w:tcPr>
                  <w:tcW w:w="811" w:type="pct"/>
                  <w:gridSpan w:val="2"/>
                  <w:tcBorders>
                    <w:right w:val="nil"/>
                  </w:tcBorders>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28.8</w:t>
                  </w:r>
                </w:p>
              </w:tc>
            </w:tr>
            <w:bookmarkEnd w:id="5"/>
            <w:bookmarkEnd w:id="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549" w:type="pct"/>
                  <w:vMerge w:val="continue"/>
                  <w:tcBorders>
                    <w:left w:val="nil"/>
                  </w:tcBorders>
                  <w:vAlign w:val="center"/>
                </w:tcPr>
                <w:p>
                  <w:pPr>
                    <w:snapToGrid w:val="0"/>
                    <w:jc w:val="center"/>
                    <w:rPr>
                      <w:rFonts w:hint="default" w:ascii="Times New Roman" w:hAnsi="Times New Roman" w:eastAsia="宋体" w:cs="Times New Roman"/>
                      <w:bCs/>
                      <w:color w:val="auto"/>
                      <w:szCs w:val="21"/>
                    </w:rPr>
                  </w:pPr>
                </w:p>
              </w:tc>
              <w:tc>
                <w:tcPr>
                  <w:tcW w:w="222" w:type="pct"/>
                  <w:vMerge w:val="restart"/>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其它</w:t>
                  </w:r>
                </w:p>
              </w:tc>
              <w:tc>
                <w:tcPr>
                  <w:tcW w:w="996" w:type="pct"/>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树林Afoli</w:t>
                  </w:r>
                </w:p>
              </w:tc>
              <w:tc>
                <w:tcPr>
                  <w:tcW w:w="812" w:type="pct"/>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0</w:t>
                  </w:r>
                </w:p>
              </w:tc>
              <w:tc>
                <w:tcPr>
                  <w:tcW w:w="805" w:type="pct"/>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0</w:t>
                  </w:r>
                </w:p>
              </w:tc>
              <w:tc>
                <w:tcPr>
                  <w:tcW w:w="805" w:type="pct"/>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0</w:t>
                  </w:r>
                </w:p>
              </w:tc>
              <w:tc>
                <w:tcPr>
                  <w:tcW w:w="811" w:type="pct"/>
                  <w:gridSpan w:val="2"/>
                  <w:tcBorders>
                    <w:right w:val="nil"/>
                  </w:tcBorders>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549" w:type="pct"/>
                  <w:vMerge w:val="continue"/>
                  <w:tcBorders>
                    <w:left w:val="nil"/>
                  </w:tcBorders>
                  <w:vAlign w:val="center"/>
                </w:tcPr>
                <w:p>
                  <w:pPr>
                    <w:snapToGrid w:val="0"/>
                    <w:jc w:val="center"/>
                    <w:rPr>
                      <w:rFonts w:hint="default" w:ascii="Times New Roman" w:hAnsi="Times New Roman" w:eastAsia="宋体" w:cs="Times New Roman"/>
                      <w:bCs/>
                      <w:color w:val="auto"/>
                      <w:szCs w:val="21"/>
                    </w:rPr>
                  </w:pPr>
                </w:p>
              </w:tc>
              <w:tc>
                <w:tcPr>
                  <w:tcW w:w="222" w:type="pct"/>
                  <w:vMerge w:val="continue"/>
                  <w:vAlign w:val="center"/>
                </w:tcPr>
                <w:p>
                  <w:pPr>
                    <w:snapToGrid w:val="0"/>
                    <w:jc w:val="center"/>
                    <w:rPr>
                      <w:rFonts w:hint="default" w:ascii="Times New Roman" w:hAnsi="Times New Roman" w:eastAsia="宋体" w:cs="Times New Roman"/>
                      <w:bCs/>
                      <w:color w:val="auto"/>
                      <w:szCs w:val="21"/>
                    </w:rPr>
                  </w:pPr>
                </w:p>
              </w:tc>
              <w:tc>
                <w:tcPr>
                  <w:tcW w:w="996" w:type="pct"/>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工业场所Asitei</w:t>
                  </w:r>
                </w:p>
              </w:tc>
              <w:tc>
                <w:tcPr>
                  <w:tcW w:w="812" w:type="pct"/>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0</w:t>
                  </w:r>
                </w:p>
              </w:tc>
              <w:tc>
                <w:tcPr>
                  <w:tcW w:w="805" w:type="pct"/>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0</w:t>
                  </w:r>
                </w:p>
              </w:tc>
              <w:tc>
                <w:tcPr>
                  <w:tcW w:w="805" w:type="pct"/>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0</w:t>
                  </w:r>
                </w:p>
              </w:tc>
              <w:tc>
                <w:tcPr>
                  <w:tcW w:w="811" w:type="pct"/>
                  <w:gridSpan w:val="2"/>
                  <w:tcBorders>
                    <w:right w:val="nil"/>
                  </w:tcBorders>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549" w:type="pct"/>
                  <w:vMerge w:val="continue"/>
                  <w:tcBorders>
                    <w:left w:val="nil"/>
                  </w:tcBorders>
                  <w:vAlign w:val="center"/>
                </w:tcPr>
                <w:p>
                  <w:pPr>
                    <w:snapToGrid w:val="0"/>
                    <w:jc w:val="center"/>
                    <w:rPr>
                      <w:rFonts w:hint="default" w:ascii="Times New Roman" w:hAnsi="Times New Roman" w:eastAsia="宋体" w:cs="Times New Roman"/>
                      <w:bCs/>
                      <w:color w:val="auto"/>
                      <w:szCs w:val="21"/>
                    </w:rPr>
                  </w:pPr>
                </w:p>
              </w:tc>
              <w:tc>
                <w:tcPr>
                  <w:tcW w:w="222" w:type="pct"/>
                  <w:vMerge w:val="continue"/>
                  <w:vAlign w:val="center"/>
                </w:tcPr>
                <w:p>
                  <w:pPr>
                    <w:snapToGrid w:val="0"/>
                    <w:jc w:val="center"/>
                    <w:rPr>
                      <w:rFonts w:hint="default" w:ascii="Times New Roman" w:hAnsi="Times New Roman" w:eastAsia="宋体" w:cs="Times New Roman"/>
                      <w:bCs/>
                      <w:color w:val="auto"/>
                      <w:szCs w:val="21"/>
                    </w:rPr>
                  </w:pPr>
                </w:p>
              </w:tc>
              <w:tc>
                <w:tcPr>
                  <w:tcW w:w="996" w:type="pct"/>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房屋群Ahousei</w:t>
                  </w:r>
                </w:p>
              </w:tc>
              <w:tc>
                <w:tcPr>
                  <w:tcW w:w="812" w:type="pct"/>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0</w:t>
                  </w:r>
                </w:p>
              </w:tc>
              <w:tc>
                <w:tcPr>
                  <w:tcW w:w="805" w:type="pct"/>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0</w:t>
                  </w:r>
                </w:p>
              </w:tc>
              <w:tc>
                <w:tcPr>
                  <w:tcW w:w="805" w:type="pct"/>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0</w:t>
                  </w:r>
                </w:p>
              </w:tc>
              <w:tc>
                <w:tcPr>
                  <w:tcW w:w="811" w:type="pct"/>
                  <w:gridSpan w:val="2"/>
                  <w:tcBorders>
                    <w:right w:val="nil"/>
                  </w:tcBorders>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1767" w:type="pct"/>
                  <w:gridSpan w:val="3"/>
                  <w:tcBorders>
                    <w:left w:val="nil"/>
                  </w:tcBorders>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衰减量合计，dB</w:t>
                  </w:r>
                </w:p>
              </w:tc>
              <w:tc>
                <w:tcPr>
                  <w:tcW w:w="812" w:type="pct"/>
                  <w:gridSpan w:val="2"/>
                  <w:vAlign w:val="center"/>
                </w:tcPr>
                <w:p>
                  <w:pPr>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46.42</w:t>
                  </w:r>
                </w:p>
              </w:tc>
              <w:tc>
                <w:tcPr>
                  <w:tcW w:w="805" w:type="pct"/>
                  <w:gridSpan w:val="2"/>
                  <w:vAlign w:val="center"/>
                </w:tcPr>
                <w:p>
                  <w:pPr>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46.58</w:t>
                  </w:r>
                </w:p>
              </w:tc>
              <w:tc>
                <w:tcPr>
                  <w:tcW w:w="805" w:type="pct"/>
                  <w:gridSpan w:val="2"/>
                  <w:vAlign w:val="center"/>
                </w:tcPr>
                <w:p>
                  <w:pPr>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46.65</w:t>
                  </w:r>
                </w:p>
              </w:tc>
              <w:tc>
                <w:tcPr>
                  <w:tcW w:w="811" w:type="pct"/>
                  <w:gridSpan w:val="2"/>
                  <w:tcBorders>
                    <w:right w:val="nil"/>
                  </w:tcBorders>
                  <w:vAlign w:val="center"/>
                </w:tcPr>
                <w:p>
                  <w:pPr>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46.94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1767" w:type="pct"/>
                  <w:gridSpan w:val="3"/>
                  <w:tcBorders>
                    <w:left w:val="nil"/>
                  </w:tcBorders>
                  <w:vAlign w:val="center"/>
                </w:tcPr>
                <w:p>
                  <w:pPr>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预测点A声级</w:t>
                  </w:r>
                  <w:r>
                    <w:rPr>
                      <w:rFonts w:hint="default" w:ascii="Times New Roman" w:hAnsi="Times New Roman" w:eastAsia="宋体" w:cs="Times New Roman"/>
                      <w:bCs/>
                      <w:color w:val="auto"/>
                      <w:szCs w:val="21"/>
                    </w:rPr>
                    <w:t>LA(r)， dB（A）</w:t>
                  </w:r>
                </w:p>
              </w:tc>
              <w:tc>
                <w:tcPr>
                  <w:tcW w:w="812" w:type="pct"/>
                  <w:gridSpan w:val="2"/>
                  <w:vAlign w:val="center"/>
                </w:tcPr>
                <w:p>
                  <w:pPr>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45.58</w:t>
                  </w:r>
                </w:p>
              </w:tc>
              <w:tc>
                <w:tcPr>
                  <w:tcW w:w="805" w:type="pct"/>
                  <w:gridSpan w:val="2"/>
                  <w:vAlign w:val="center"/>
                </w:tcPr>
                <w:p>
                  <w:pPr>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45.42</w:t>
                  </w:r>
                </w:p>
              </w:tc>
              <w:tc>
                <w:tcPr>
                  <w:tcW w:w="805" w:type="pct"/>
                  <w:gridSpan w:val="2"/>
                  <w:vAlign w:val="center"/>
                </w:tcPr>
                <w:p>
                  <w:pPr>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45.35</w:t>
                  </w:r>
                </w:p>
              </w:tc>
              <w:tc>
                <w:tcPr>
                  <w:tcW w:w="811" w:type="pct"/>
                  <w:gridSpan w:val="2"/>
                  <w:tcBorders>
                    <w:bottom w:val="single" w:color="auto" w:sz="4" w:space="0"/>
                    <w:right w:val="nil"/>
                  </w:tcBorders>
                  <w:vAlign w:val="center"/>
                </w:tcPr>
                <w:p>
                  <w:pPr>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45.06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1767" w:type="pct"/>
                  <w:gridSpan w:val="3"/>
                  <w:vMerge w:val="restart"/>
                  <w:tcBorders>
                    <w:left w:val="nil"/>
                  </w:tcBorders>
                  <w:vAlign w:val="center"/>
                </w:tcPr>
                <w:p>
                  <w:pPr>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背景值</w:t>
                  </w:r>
                  <w:r>
                    <w:rPr>
                      <w:rFonts w:hint="default" w:ascii="Times New Roman" w:hAnsi="Times New Roman" w:eastAsia="宋体" w:cs="Times New Roman"/>
                      <w:bCs/>
                      <w:color w:val="auto"/>
                      <w:szCs w:val="21"/>
                    </w:rPr>
                    <w:t>dB（A）</w:t>
                  </w:r>
                </w:p>
              </w:tc>
              <w:tc>
                <w:tcPr>
                  <w:tcW w:w="409" w:type="pct"/>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昼间</w:t>
                  </w:r>
                </w:p>
              </w:tc>
              <w:tc>
                <w:tcPr>
                  <w:tcW w:w="403" w:type="pct"/>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夜间</w:t>
                  </w:r>
                </w:p>
              </w:tc>
              <w:tc>
                <w:tcPr>
                  <w:tcW w:w="402" w:type="pct"/>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昼间</w:t>
                  </w:r>
                </w:p>
              </w:tc>
              <w:tc>
                <w:tcPr>
                  <w:tcW w:w="402" w:type="pct"/>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夜间</w:t>
                  </w:r>
                </w:p>
              </w:tc>
              <w:tc>
                <w:tcPr>
                  <w:tcW w:w="402" w:type="pct"/>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昼间</w:t>
                  </w:r>
                </w:p>
              </w:tc>
              <w:tc>
                <w:tcPr>
                  <w:tcW w:w="402" w:type="pct"/>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夜间</w:t>
                  </w:r>
                </w:p>
              </w:tc>
              <w:tc>
                <w:tcPr>
                  <w:tcW w:w="402" w:type="pct"/>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昼间</w:t>
                  </w:r>
                </w:p>
              </w:tc>
              <w:tc>
                <w:tcPr>
                  <w:tcW w:w="409" w:type="pct"/>
                  <w:tcBorders>
                    <w:right w:val="nil"/>
                  </w:tcBorders>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1767" w:type="pct"/>
                  <w:gridSpan w:val="3"/>
                  <w:vMerge w:val="continue"/>
                  <w:tcBorders>
                    <w:left w:val="nil"/>
                  </w:tcBorders>
                  <w:vAlign w:val="center"/>
                </w:tcPr>
                <w:p>
                  <w:pPr>
                    <w:snapToGrid w:val="0"/>
                    <w:jc w:val="center"/>
                    <w:rPr>
                      <w:rFonts w:hint="default" w:ascii="Times New Roman" w:hAnsi="Times New Roman" w:eastAsia="宋体" w:cs="Times New Roman"/>
                      <w:color w:val="auto"/>
                      <w:szCs w:val="21"/>
                    </w:rPr>
                  </w:pPr>
                </w:p>
              </w:tc>
              <w:tc>
                <w:tcPr>
                  <w:tcW w:w="409" w:type="pct"/>
                  <w:vAlign w:val="center"/>
                </w:tcPr>
                <w:p>
                  <w:pPr>
                    <w:adjustRightInd w:val="0"/>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rPr>
                    <w:t>57.4</w:t>
                  </w:r>
                </w:p>
              </w:tc>
              <w:tc>
                <w:tcPr>
                  <w:tcW w:w="403" w:type="pct"/>
                  <w:vAlign w:val="center"/>
                </w:tcPr>
                <w:p>
                  <w:pPr>
                    <w:adjustRightInd w:val="0"/>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rPr>
                    <w:t>47.1</w:t>
                  </w:r>
                </w:p>
              </w:tc>
              <w:tc>
                <w:tcPr>
                  <w:tcW w:w="402" w:type="pct"/>
                  <w:vAlign w:val="center"/>
                </w:tcPr>
                <w:p>
                  <w:pPr>
                    <w:adjustRightInd w:val="0"/>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rPr>
                    <w:t>57.0</w:t>
                  </w:r>
                </w:p>
              </w:tc>
              <w:tc>
                <w:tcPr>
                  <w:tcW w:w="402" w:type="pct"/>
                  <w:vAlign w:val="center"/>
                </w:tcPr>
                <w:p>
                  <w:pPr>
                    <w:adjustRightInd w:val="0"/>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rPr>
                    <w:t>47.3</w:t>
                  </w:r>
                </w:p>
              </w:tc>
              <w:tc>
                <w:tcPr>
                  <w:tcW w:w="402" w:type="pct"/>
                  <w:vAlign w:val="center"/>
                </w:tcPr>
                <w:p>
                  <w:pPr>
                    <w:adjustRightInd w:val="0"/>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rPr>
                    <w:t>56.9</w:t>
                  </w:r>
                </w:p>
              </w:tc>
              <w:tc>
                <w:tcPr>
                  <w:tcW w:w="402" w:type="pct"/>
                  <w:vAlign w:val="center"/>
                </w:tcPr>
                <w:p>
                  <w:pPr>
                    <w:adjustRightInd w:val="0"/>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rPr>
                    <w:t>47.1</w:t>
                  </w:r>
                </w:p>
              </w:tc>
              <w:tc>
                <w:tcPr>
                  <w:tcW w:w="402" w:type="pct"/>
                  <w:vAlign w:val="center"/>
                </w:tcPr>
                <w:p>
                  <w:pPr>
                    <w:adjustRightInd w:val="0"/>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rPr>
                    <w:t>57.0</w:t>
                  </w:r>
                </w:p>
              </w:tc>
              <w:tc>
                <w:tcPr>
                  <w:tcW w:w="409" w:type="pct"/>
                  <w:tcBorders>
                    <w:right w:val="nil"/>
                  </w:tcBorders>
                  <w:vAlign w:val="center"/>
                </w:tcPr>
                <w:p>
                  <w:pPr>
                    <w:adjustRightInd w:val="0"/>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rPr>
                    <w:t>46.9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1767" w:type="pct"/>
                  <w:gridSpan w:val="3"/>
                  <w:tcBorders>
                    <w:left w:val="nil"/>
                  </w:tcBorders>
                  <w:vAlign w:val="center"/>
                </w:tcPr>
                <w:p>
                  <w:pPr>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rPr>
                    <w:t>叠加值dB（A）</w:t>
                  </w:r>
                </w:p>
              </w:tc>
              <w:tc>
                <w:tcPr>
                  <w:tcW w:w="409" w:type="pct"/>
                  <w:vAlign w:val="center"/>
                </w:tcPr>
                <w:p>
                  <w:pPr>
                    <w:adjustRightInd w:val="0"/>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rPr>
                    <w:t>57.7</w:t>
                  </w:r>
                </w:p>
              </w:tc>
              <w:tc>
                <w:tcPr>
                  <w:tcW w:w="403" w:type="pct"/>
                  <w:vAlign w:val="center"/>
                </w:tcPr>
                <w:p>
                  <w:pPr>
                    <w:adjustRightInd w:val="0"/>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rPr>
                    <w:t>49.4</w:t>
                  </w:r>
                </w:p>
              </w:tc>
              <w:tc>
                <w:tcPr>
                  <w:tcW w:w="402" w:type="pct"/>
                  <w:vAlign w:val="center"/>
                </w:tcPr>
                <w:p>
                  <w:pPr>
                    <w:adjustRightInd w:val="0"/>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rPr>
                    <w:t>57.3</w:t>
                  </w:r>
                </w:p>
              </w:tc>
              <w:tc>
                <w:tcPr>
                  <w:tcW w:w="402" w:type="pct"/>
                  <w:vAlign w:val="center"/>
                </w:tcPr>
                <w:p>
                  <w:pPr>
                    <w:adjustRightInd w:val="0"/>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rPr>
                    <w:t>49.5</w:t>
                  </w:r>
                </w:p>
              </w:tc>
              <w:tc>
                <w:tcPr>
                  <w:tcW w:w="402" w:type="pct"/>
                  <w:vAlign w:val="center"/>
                </w:tcPr>
                <w:p>
                  <w:pPr>
                    <w:adjustRightInd w:val="0"/>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rPr>
                    <w:t>57.2</w:t>
                  </w:r>
                </w:p>
              </w:tc>
              <w:tc>
                <w:tcPr>
                  <w:tcW w:w="402" w:type="pct"/>
                  <w:vAlign w:val="center"/>
                </w:tcPr>
                <w:p>
                  <w:pPr>
                    <w:adjustRightInd w:val="0"/>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rPr>
                    <w:t>49.3</w:t>
                  </w:r>
                </w:p>
              </w:tc>
              <w:tc>
                <w:tcPr>
                  <w:tcW w:w="402" w:type="pct"/>
                  <w:vAlign w:val="center"/>
                </w:tcPr>
                <w:p>
                  <w:pPr>
                    <w:adjustRightInd w:val="0"/>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rPr>
                    <w:t>57.3</w:t>
                  </w:r>
                </w:p>
              </w:tc>
              <w:tc>
                <w:tcPr>
                  <w:tcW w:w="409" w:type="pct"/>
                  <w:tcBorders>
                    <w:right w:val="nil"/>
                  </w:tcBorders>
                  <w:vAlign w:val="center"/>
                </w:tcPr>
                <w:p>
                  <w:pPr>
                    <w:adjustRightInd w:val="0"/>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rPr>
                    <w:t>49.1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1767" w:type="pct"/>
                  <w:gridSpan w:val="3"/>
                  <w:tcBorders>
                    <w:left w:val="nil"/>
                  </w:tcBorders>
                  <w:vAlign w:val="center"/>
                </w:tcPr>
                <w:p>
                  <w:pPr>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rPr>
                    <w:t>标准值dB（A）</w:t>
                  </w:r>
                </w:p>
              </w:tc>
              <w:tc>
                <w:tcPr>
                  <w:tcW w:w="409" w:type="pct"/>
                  <w:vAlign w:val="center"/>
                </w:tcPr>
                <w:p>
                  <w:pPr>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rPr>
                    <w:t>60</w:t>
                  </w:r>
                </w:p>
              </w:tc>
              <w:tc>
                <w:tcPr>
                  <w:tcW w:w="403" w:type="pct"/>
                  <w:vAlign w:val="center"/>
                </w:tcPr>
                <w:p>
                  <w:pPr>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rPr>
                    <w:t>50</w:t>
                  </w:r>
                </w:p>
              </w:tc>
              <w:tc>
                <w:tcPr>
                  <w:tcW w:w="402" w:type="pct"/>
                  <w:vAlign w:val="center"/>
                </w:tcPr>
                <w:p>
                  <w:pPr>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rPr>
                    <w:t>60</w:t>
                  </w:r>
                </w:p>
              </w:tc>
              <w:tc>
                <w:tcPr>
                  <w:tcW w:w="402" w:type="pct"/>
                  <w:vAlign w:val="center"/>
                </w:tcPr>
                <w:p>
                  <w:pPr>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rPr>
                    <w:t>50</w:t>
                  </w:r>
                </w:p>
              </w:tc>
              <w:tc>
                <w:tcPr>
                  <w:tcW w:w="402" w:type="pct"/>
                  <w:vAlign w:val="center"/>
                </w:tcPr>
                <w:p>
                  <w:pPr>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rPr>
                    <w:t>60</w:t>
                  </w:r>
                </w:p>
              </w:tc>
              <w:tc>
                <w:tcPr>
                  <w:tcW w:w="402" w:type="pct"/>
                  <w:vAlign w:val="center"/>
                </w:tcPr>
                <w:p>
                  <w:pPr>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rPr>
                    <w:t>50</w:t>
                  </w:r>
                </w:p>
              </w:tc>
              <w:tc>
                <w:tcPr>
                  <w:tcW w:w="402" w:type="pct"/>
                  <w:vAlign w:val="center"/>
                </w:tcPr>
                <w:p>
                  <w:pPr>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rPr>
                    <w:t>60</w:t>
                  </w:r>
                </w:p>
              </w:tc>
              <w:tc>
                <w:tcPr>
                  <w:tcW w:w="409" w:type="pct"/>
                  <w:tcBorders>
                    <w:right w:val="nil"/>
                  </w:tcBorders>
                  <w:vAlign w:val="center"/>
                </w:tcPr>
                <w:p>
                  <w:pPr>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1767" w:type="pct"/>
                  <w:gridSpan w:val="3"/>
                  <w:tcBorders>
                    <w:left w:val="nil"/>
                    <w:bottom w:val="single" w:color="auto" w:sz="12" w:space="0"/>
                  </w:tcBorders>
                  <w:vAlign w:val="center"/>
                </w:tcPr>
                <w:p>
                  <w:pPr>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rPr>
                    <w:t>超标量</w:t>
                  </w:r>
                </w:p>
              </w:tc>
              <w:tc>
                <w:tcPr>
                  <w:tcW w:w="812" w:type="pct"/>
                  <w:gridSpan w:val="2"/>
                  <w:tcBorders>
                    <w:bottom w:val="single" w:color="auto" w:sz="12" w:space="0"/>
                  </w:tcBorders>
                  <w:vAlign w:val="center"/>
                </w:tcPr>
                <w:p>
                  <w:pPr>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rPr>
                    <w:t>0</w:t>
                  </w:r>
                </w:p>
              </w:tc>
              <w:tc>
                <w:tcPr>
                  <w:tcW w:w="805" w:type="pct"/>
                  <w:gridSpan w:val="2"/>
                  <w:tcBorders>
                    <w:bottom w:val="single" w:color="auto" w:sz="12" w:space="0"/>
                  </w:tcBorders>
                  <w:vAlign w:val="center"/>
                </w:tcPr>
                <w:p>
                  <w:pPr>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rPr>
                    <w:t>0</w:t>
                  </w:r>
                </w:p>
              </w:tc>
              <w:tc>
                <w:tcPr>
                  <w:tcW w:w="805" w:type="pct"/>
                  <w:gridSpan w:val="2"/>
                  <w:tcBorders>
                    <w:bottom w:val="single" w:color="auto" w:sz="12" w:space="0"/>
                  </w:tcBorders>
                  <w:vAlign w:val="center"/>
                </w:tcPr>
                <w:p>
                  <w:pPr>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rPr>
                    <w:t>0</w:t>
                  </w:r>
                </w:p>
              </w:tc>
              <w:tc>
                <w:tcPr>
                  <w:tcW w:w="811" w:type="pct"/>
                  <w:gridSpan w:val="2"/>
                  <w:tcBorders>
                    <w:bottom w:val="single" w:color="auto" w:sz="12" w:space="0"/>
                    <w:right w:val="nil"/>
                  </w:tcBorders>
                  <w:vAlign w:val="center"/>
                </w:tcPr>
                <w:p>
                  <w:pPr>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rPr>
                    <w:t>0</w:t>
                  </w:r>
                </w:p>
              </w:tc>
            </w:tr>
          </w:tbl>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根据上述计算，项目噪声叠加本底值后，厂界声环境质量满足《</w:t>
            </w:r>
            <w:r>
              <w:rPr>
                <w:rFonts w:hint="default" w:ascii="Times New Roman" w:hAnsi="Times New Roman" w:eastAsia="宋体" w:cs="Times New Roman"/>
                <w:bCs/>
                <w:color w:val="auto"/>
                <w:sz w:val="24"/>
              </w:rPr>
              <w:t>工业企业厂界环境噪声排放标准》(GB12348-2008)</w:t>
            </w:r>
            <w:r>
              <w:rPr>
                <w:rFonts w:hint="default" w:ascii="Times New Roman" w:hAnsi="Times New Roman" w:eastAsia="宋体" w:cs="Times New Roman"/>
                <w:color w:val="auto"/>
                <w:sz w:val="24"/>
              </w:rPr>
              <w:t>的2类区域标准。项目正常生产过程中产生的噪声对周边环境影响较小，不会造成噪声扰民现象。</w:t>
            </w:r>
          </w:p>
          <w:p>
            <w:pPr>
              <w:adjustRightInd w:val="0"/>
              <w:snapToGrid w:val="0"/>
              <w:spacing w:line="360" w:lineRule="auto"/>
              <w:ind w:firstLine="480" w:firstLineChars="200"/>
              <w:rPr>
                <w:rFonts w:hint="default" w:ascii="Times New Roman" w:hAnsi="Times New Roman" w:eastAsia="宋体" w:cs="Times New Roman"/>
                <w:color w:val="auto"/>
                <w:sz w:val="24"/>
              </w:rPr>
            </w:pPr>
            <w:bookmarkStart w:id="7" w:name="OLE_LINK11"/>
            <w:r>
              <w:rPr>
                <w:rFonts w:hint="default" w:ascii="Times New Roman" w:hAnsi="Times New Roman" w:eastAsia="宋体" w:cs="Times New Roman"/>
                <w:color w:val="auto"/>
                <w:sz w:val="24"/>
              </w:rPr>
              <w:t>（5）噪声监测计划</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监测点位：厂界四周布设4个点位；</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监测频次：按照《排污单位自行监测技术指南总则》（HJ819-2017）中相关要求；</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监测因子：</w:t>
            </w:r>
            <w:r>
              <w:rPr>
                <w:rFonts w:hint="default" w:ascii="Times New Roman" w:hAnsi="Times New Roman" w:eastAsia="宋体" w:cs="Times New Roman"/>
                <w:bCs/>
                <w:color w:val="auto"/>
                <w:sz w:val="24"/>
              </w:rPr>
              <w:t>厂界噪声</w:t>
            </w:r>
            <w:r>
              <w:rPr>
                <w:rFonts w:hint="default" w:ascii="Times New Roman" w:hAnsi="Times New Roman" w:eastAsia="宋体" w:cs="Times New Roman"/>
                <w:color w:val="auto"/>
                <w:sz w:val="24"/>
              </w:rPr>
              <w:t>昼间</w:t>
            </w:r>
            <w:r>
              <w:rPr>
                <w:rFonts w:hint="default" w:ascii="Times New Roman" w:hAnsi="Times New Roman" w:eastAsia="宋体" w:cs="Times New Roman"/>
                <w:bCs/>
                <w:color w:val="auto"/>
                <w:sz w:val="24"/>
              </w:rPr>
              <w:t>等效连续A声级</w:t>
            </w:r>
            <w:r>
              <w:rPr>
                <w:rFonts w:hint="default" w:ascii="Times New Roman" w:hAnsi="Times New Roman" w:eastAsia="宋体" w:cs="Times New Roman"/>
                <w:color w:val="auto"/>
                <w:sz w:val="24"/>
              </w:rPr>
              <w:t>Leq(A)。</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噪声监测位置、监测因子、频率等详见表4-</w:t>
            </w:r>
            <w:r>
              <w:rPr>
                <w:rFonts w:hint="eastAsia" w:cs="Times New Roman"/>
                <w:color w:val="auto"/>
                <w:sz w:val="24"/>
                <w:lang w:val="en-US" w:eastAsia="zh-CN"/>
              </w:rPr>
              <w:t>21</w:t>
            </w:r>
            <w:r>
              <w:rPr>
                <w:rFonts w:hint="default" w:ascii="Times New Roman" w:hAnsi="Times New Roman" w:eastAsia="宋体" w:cs="Times New Roman"/>
                <w:color w:val="auto"/>
                <w:sz w:val="24"/>
              </w:rPr>
              <w:t>。</w:t>
            </w:r>
          </w:p>
          <w:p>
            <w:pPr>
              <w:pStyle w:val="79"/>
              <w:spacing w:beforeLines="0" w:line="240" w:lineRule="auto"/>
              <w:ind w:firstLine="0" w:firstLineChars="0"/>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表4-</w:t>
            </w:r>
            <w:r>
              <w:rPr>
                <w:rFonts w:hint="eastAsia" w:cs="Times New Roman"/>
                <w:b/>
                <w:color w:val="auto"/>
                <w:lang w:val="en-US" w:eastAsia="zh-CN"/>
              </w:rPr>
              <w:t>21</w:t>
            </w:r>
            <w:r>
              <w:rPr>
                <w:rFonts w:hint="default" w:ascii="Times New Roman" w:hAnsi="Times New Roman" w:eastAsia="宋体" w:cs="Times New Roman"/>
                <w:b/>
                <w:color w:val="auto"/>
              </w:rPr>
              <w:t xml:space="preserve"> 噪声监测因子及频次表</w:t>
            </w:r>
          </w:p>
          <w:bookmarkEnd w:id="7"/>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91"/>
              <w:gridCol w:w="1969"/>
              <w:gridCol w:w="3060"/>
              <w:gridCol w:w="172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4" w:type="pct"/>
                  <w:vAlign w:val="center"/>
                </w:tcPr>
                <w:p>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污染种类</w:t>
                  </w:r>
                </w:p>
              </w:tc>
              <w:tc>
                <w:tcPr>
                  <w:tcW w:w="1194" w:type="pct"/>
                  <w:vAlign w:val="center"/>
                </w:tcPr>
                <w:p>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监测点位</w:t>
                  </w:r>
                </w:p>
              </w:tc>
              <w:tc>
                <w:tcPr>
                  <w:tcW w:w="1856" w:type="pct"/>
                  <w:vAlign w:val="center"/>
                </w:tcPr>
                <w:p>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监测项目</w:t>
                  </w:r>
                </w:p>
              </w:tc>
              <w:tc>
                <w:tcPr>
                  <w:tcW w:w="1046" w:type="pct"/>
                  <w:vAlign w:val="center"/>
                </w:tcPr>
                <w:p>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监测频率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4"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噪声</w:t>
                  </w:r>
                </w:p>
              </w:tc>
              <w:tc>
                <w:tcPr>
                  <w:tcW w:w="1194"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厂界四周边界</w:t>
                  </w:r>
                </w:p>
              </w:tc>
              <w:tc>
                <w:tcPr>
                  <w:tcW w:w="1856"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连续等效A声级</w:t>
                  </w:r>
                </w:p>
              </w:tc>
              <w:tc>
                <w:tcPr>
                  <w:tcW w:w="1046"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按照环境管理要求，每半年监测1次（昼间、夜间）</w:t>
                  </w:r>
                </w:p>
              </w:tc>
            </w:tr>
          </w:tbl>
          <w:p>
            <w:pPr>
              <w:adjustRightInd w:val="0"/>
              <w:snapToGrid w:val="0"/>
              <w:spacing w:line="360" w:lineRule="auto"/>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4、固体废物</w:t>
            </w:r>
          </w:p>
          <w:p>
            <w:pPr>
              <w:adjustRightInd w:val="0"/>
              <w:snapToGrid w:val="0"/>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（1）固体废物产生情况</w:t>
            </w:r>
          </w:p>
          <w:p>
            <w:pPr>
              <w:pStyle w:val="5"/>
              <w:adjustRightInd w:val="0"/>
              <w:snapToGrid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1）一般固废</w:t>
            </w:r>
          </w:p>
          <w:p>
            <w:pPr>
              <w:pStyle w:val="5"/>
              <w:adjustRightInd w:val="0"/>
              <w:snapToGrid w:val="0"/>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本项目无一般固废产生。</w:t>
            </w:r>
          </w:p>
          <w:p>
            <w:pPr>
              <w:pStyle w:val="5"/>
              <w:adjustRightInd w:val="0"/>
              <w:snapToGrid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2）危险废物</w:t>
            </w:r>
          </w:p>
          <w:p>
            <w:pPr>
              <w:pStyle w:val="5"/>
              <w:adjustRightInd w:val="0"/>
              <w:snapToGrid w:val="0"/>
              <w:spacing w:line="360" w:lineRule="auto"/>
              <w:ind w:firstLine="480" w:firstLineChars="200"/>
              <w:rPr>
                <w:rFonts w:hint="eastAsia" w:ascii="Times New Roman" w:hAnsi="Times New Roman" w:eastAsia="宋体" w:cs="Times New Roman"/>
                <w:color w:val="auto"/>
                <w:sz w:val="24"/>
                <w:lang w:val="en-US" w:eastAsia="zh-CN"/>
              </w:rPr>
            </w:pPr>
            <w:r>
              <w:rPr>
                <w:rFonts w:hint="eastAsia" w:ascii="Times New Roman" w:hAnsi="Times New Roman" w:cs="Times New Roman"/>
                <w:color w:val="auto"/>
                <w:sz w:val="24"/>
                <w:lang w:val="en-US" w:eastAsia="zh-CN"/>
              </w:rPr>
              <w:t>陶化废液、陶化槽渣：本项目陶化槽槽液定期添加，循环使用，每年彻底更换一次，更换槽液时清理槽内槽渣，年更换陶化槽液约15t，年清理槽渣约0.5t。</w:t>
            </w:r>
            <w:r>
              <w:rPr>
                <w:rFonts w:hint="default" w:ascii="Times New Roman" w:hAnsi="Times New Roman" w:eastAsia="宋体" w:cs="Times New Roman"/>
                <w:color w:val="auto"/>
                <w:sz w:val="24"/>
                <w:lang w:val="en-US" w:eastAsia="zh-CN"/>
              </w:rPr>
              <w:t>经查《国家危险废物名录》（2021年版），</w:t>
            </w:r>
            <w:r>
              <w:rPr>
                <w:rFonts w:hint="eastAsia" w:ascii="Times New Roman" w:hAnsi="Times New Roman" w:cs="Times New Roman"/>
                <w:color w:val="auto"/>
                <w:sz w:val="24"/>
                <w:lang w:val="en-US" w:eastAsia="zh-CN"/>
              </w:rPr>
              <w:t>陶化废液、陶化槽渣均</w:t>
            </w:r>
            <w:r>
              <w:rPr>
                <w:rFonts w:hint="default" w:ascii="Times New Roman" w:hAnsi="Times New Roman" w:eastAsia="宋体" w:cs="Times New Roman"/>
                <w:color w:val="auto"/>
                <w:sz w:val="24"/>
                <w:lang w:val="en-US" w:eastAsia="zh-CN"/>
              </w:rPr>
              <w:t>为危险固废（废物类别HW17，废物代码336-06</w:t>
            </w:r>
            <w:r>
              <w:rPr>
                <w:rFonts w:hint="eastAsia" w:ascii="Times New Roman" w:hAnsi="Times New Roman" w:eastAsia="宋体" w:cs="Times New Roman"/>
                <w:color w:val="auto"/>
                <w:sz w:val="24"/>
                <w:lang w:val="en-US" w:eastAsia="zh-CN"/>
              </w:rPr>
              <w:t>4</w:t>
            </w:r>
            <w:r>
              <w:rPr>
                <w:rFonts w:hint="default" w:ascii="Times New Roman" w:hAnsi="Times New Roman" w:eastAsia="宋体" w:cs="Times New Roman"/>
                <w:color w:val="auto"/>
                <w:sz w:val="24"/>
                <w:lang w:val="en-US" w:eastAsia="zh-CN"/>
              </w:rPr>
              <w:t>-17），</w:t>
            </w:r>
            <w:r>
              <w:rPr>
                <w:rFonts w:hint="default" w:ascii="Times New Roman" w:hAnsi="Times New Roman" w:eastAsia="宋体" w:cs="Times New Roman"/>
                <w:bCs/>
                <w:color w:val="auto"/>
                <w:sz w:val="24"/>
              </w:rPr>
              <w:t>收集后委托有资质单位处理</w:t>
            </w:r>
            <w:r>
              <w:rPr>
                <w:rFonts w:hint="eastAsia" w:ascii="Times New Roman" w:hAnsi="Times New Roman" w:cs="Times New Roman"/>
                <w:bCs/>
                <w:color w:val="auto"/>
                <w:sz w:val="24"/>
                <w:lang w:eastAsia="zh-CN"/>
              </w:rPr>
              <w:t>。</w:t>
            </w:r>
          </w:p>
          <w:p>
            <w:pPr>
              <w:pStyle w:val="5"/>
              <w:adjustRightInd w:val="0"/>
              <w:snapToGrid w:val="0"/>
              <w:spacing w:line="360" w:lineRule="auto"/>
              <w:ind w:firstLine="480" w:firstLineChars="200"/>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废漆渣：本项目电泳时有少量电泳漆渣沉淀，年产量约1t/a。</w:t>
            </w:r>
            <w:r>
              <w:rPr>
                <w:rFonts w:hint="default" w:ascii="Times New Roman" w:hAnsi="Times New Roman" w:eastAsia="宋体" w:cs="Times New Roman"/>
                <w:bCs/>
                <w:color w:val="auto"/>
                <w:sz w:val="24"/>
              </w:rPr>
              <w:t>经查《国家危险废物名录》（2021年版），</w:t>
            </w:r>
            <w:r>
              <w:rPr>
                <w:rFonts w:hint="default" w:ascii="Times New Roman" w:hAnsi="Times New Roman" w:eastAsia="宋体" w:cs="Times New Roman"/>
                <w:color w:val="auto"/>
                <w:sz w:val="24"/>
                <w:lang w:val="en-US" w:eastAsia="zh-CN"/>
              </w:rPr>
              <w:t>废漆渣</w:t>
            </w:r>
            <w:r>
              <w:rPr>
                <w:rFonts w:hint="default" w:ascii="Times New Roman" w:hAnsi="Times New Roman" w:eastAsia="宋体" w:cs="Times New Roman"/>
                <w:bCs/>
                <w:color w:val="auto"/>
                <w:sz w:val="24"/>
              </w:rPr>
              <w:t>为危</w:t>
            </w:r>
            <w:r>
              <w:rPr>
                <w:rFonts w:hint="default" w:ascii="Times New Roman" w:hAnsi="Times New Roman" w:eastAsia="宋体" w:cs="Times New Roman"/>
                <w:color w:val="auto"/>
                <w:sz w:val="24"/>
                <w:lang w:val="en-US" w:eastAsia="zh-CN"/>
              </w:rPr>
              <w:t>险固废，废物类别HW12，废物代码900-252-12，收集后委托有资质单位处理。</w:t>
            </w:r>
          </w:p>
          <w:p>
            <w:pPr>
              <w:pStyle w:val="5"/>
              <w:adjustRightInd w:val="0"/>
              <w:snapToGrid w:val="0"/>
              <w:spacing w:line="360" w:lineRule="auto"/>
              <w:ind w:firstLine="480" w:firstLineChars="200"/>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废过滤袋：本项目清洗</w:t>
            </w:r>
            <w:r>
              <w:rPr>
                <w:rFonts w:hint="eastAsia" w:ascii="Times New Roman" w:hAnsi="Times New Roman" w:cs="Times New Roman"/>
                <w:color w:val="auto"/>
                <w:sz w:val="24"/>
                <w:lang w:val="en-US" w:eastAsia="zh-CN"/>
              </w:rPr>
              <w:t>槽均</w:t>
            </w:r>
            <w:r>
              <w:rPr>
                <w:rFonts w:hint="default" w:ascii="Times New Roman" w:hAnsi="Times New Roman" w:eastAsia="宋体" w:cs="Times New Roman"/>
                <w:color w:val="auto"/>
                <w:sz w:val="24"/>
                <w:lang w:val="en-US" w:eastAsia="zh-CN"/>
              </w:rPr>
              <w:t>设置过滤袋收集滤渣，每年产生约200个废过滤袋，单个废过滤袋重3kg（含滤渣），因此废过滤袋年产量约0.6t/a。</w:t>
            </w:r>
            <w:r>
              <w:rPr>
                <w:rFonts w:hint="default" w:ascii="Times New Roman" w:hAnsi="Times New Roman" w:eastAsia="宋体" w:cs="Times New Roman"/>
                <w:bCs/>
                <w:color w:val="auto"/>
                <w:sz w:val="24"/>
              </w:rPr>
              <w:t>经查《国家危险废物名录》（2021年版），</w:t>
            </w:r>
            <w:r>
              <w:rPr>
                <w:rFonts w:hint="default" w:ascii="Times New Roman" w:hAnsi="Times New Roman" w:eastAsia="宋体" w:cs="Times New Roman"/>
                <w:color w:val="auto"/>
                <w:sz w:val="24"/>
                <w:lang w:val="en-US" w:eastAsia="zh-CN"/>
              </w:rPr>
              <w:t>废过滤袋</w:t>
            </w:r>
            <w:r>
              <w:rPr>
                <w:rFonts w:hint="default" w:ascii="Times New Roman" w:hAnsi="Times New Roman" w:eastAsia="宋体" w:cs="Times New Roman"/>
                <w:bCs/>
                <w:color w:val="auto"/>
                <w:sz w:val="24"/>
              </w:rPr>
              <w:t>为危险固废</w:t>
            </w:r>
            <w:r>
              <w:rPr>
                <w:rFonts w:hint="default" w:ascii="Times New Roman" w:hAnsi="Times New Roman" w:eastAsia="宋体" w:cs="Times New Roman"/>
                <w:bCs/>
                <w:color w:val="auto"/>
                <w:sz w:val="24"/>
                <w:lang w:eastAsia="zh-CN"/>
              </w:rPr>
              <w:t>，</w:t>
            </w:r>
            <w:r>
              <w:rPr>
                <w:rFonts w:hint="default" w:ascii="Times New Roman" w:hAnsi="Times New Roman" w:eastAsia="宋体" w:cs="Times New Roman"/>
                <w:bCs/>
                <w:color w:val="auto"/>
                <w:sz w:val="24"/>
              </w:rPr>
              <w:t>废物类别HW</w:t>
            </w:r>
            <w:r>
              <w:rPr>
                <w:rFonts w:hint="default" w:ascii="Times New Roman" w:hAnsi="Times New Roman" w:eastAsia="宋体" w:cs="Times New Roman"/>
                <w:bCs/>
                <w:color w:val="auto"/>
                <w:sz w:val="24"/>
                <w:lang w:val="en-US" w:eastAsia="zh-CN"/>
              </w:rPr>
              <w:t>49</w:t>
            </w:r>
            <w:r>
              <w:rPr>
                <w:rFonts w:hint="default" w:ascii="Times New Roman" w:hAnsi="Times New Roman" w:eastAsia="宋体" w:cs="Times New Roman"/>
                <w:bCs/>
                <w:color w:val="auto"/>
                <w:sz w:val="24"/>
              </w:rPr>
              <w:t>，废物代码</w:t>
            </w:r>
            <w:r>
              <w:rPr>
                <w:rFonts w:hint="default" w:ascii="Times New Roman" w:hAnsi="Times New Roman" w:eastAsia="宋体" w:cs="Times New Roman"/>
                <w:bCs/>
                <w:color w:val="auto"/>
                <w:sz w:val="24"/>
                <w:lang w:val="en-US" w:eastAsia="zh-CN"/>
              </w:rPr>
              <w:t>900-041-49</w:t>
            </w:r>
            <w:r>
              <w:rPr>
                <w:rFonts w:hint="default" w:ascii="Times New Roman" w:hAnsi="Times New Roman" w:eastAsia="宋体" w:cs="Times New Roman"/>
                <w:bCs/>
                <w:color w:val="auto"/>
                <w:sz w:val="24"/>
              </w:rPr>
              <w:t>，收集后委托有资质单位处理。</w:t>
            </w:r>
          </w:p>
          <w:p>
            <w:pPr>
              <w:pStyle w:val="5"/>
              <w:adjustRightInd w:val="0"/>
              <w:snapToGrid w:val="0"/>
              <w:spacing w:line="360" w:lineRule="auto"/>
              <w:ind w:firstLine="480" w:firstLineChars="200"/>
              <w:rPr>
                <w:rFonts w:hint="default" w:ascii="Times New Roman" w:hAnsi="Times New Roman" w:eastAsia="宋体" w:cs="Times New Roman"/>
                <w:bCs/>
                <w:color w:val="auto"/>
                <w:sz w:val="24"/>
                <w:lang w:val="en-US" w:eastAsia="zh-CN"/>
              </w:rPr>
            </w:pPr>
            <w:r>
              <w:rPr>
                <w:rFonts w:hint="default" w:ascii="Times New Roman" w:hAnsi="Times New Roman" w:eastAsia="宋体" w:cs="Times New Roman"/>
                <w:bCs/>
                <w:color w:val="auto"/>
                <w:sz w:val="24"/>
                <w:lang w:val="en-US" w:eastAsia="zh-CN"/>
              </w:rPr>
              <w:t>废超滤膜：超滤系统需要定期更换超滤膜。根据企业提供的资料及实际生产情况，超滤膜需每一至两年需更换一次，每次需更换一到两个，单个废超滤膜重20kg。本次环评依据最大产能计算，年产废超滤膜约0.04t/a。</w:t>
            </w:r>
            <w:r>
              <w:rPr>
                <w:rFonts w:hint="default" w:ascii="Times New Roman" w:hAnsi="Times New Roman" w:eastAsia="宋体" w:cs="Times New Roman"/>
                <w:bCs/>
                <w:color w:val="auto"/>
                <w:sz w:val="24"/>
              </w:rPr>
              <w:t>经查《国家危险废物名录》（2021年版），</w:t>
            </w:r>
            <w:r>
              <w:rPr>
                <w:rFonts w:hint="default" w:ascii="Times New Roman" w:hAnsi="Times New Roman" w:eastAsia="宋体" w:cs="Times New Roman"/>
                <w:color w:val="auto"/>
                <w:sz w:val="24"/>
                <w:lang w:val="en-US" w:eastAsia="zh-CN"/>
              </w:rPr>
              <w:t>废超滤膜</w:t>
            </w:r>
            <w:r>
              <w:rPr>
                <w:rFonts w:hint="default" w:ascii="Times New Roman" w:hAnsi="Times New Roman" w:eastAsia="宋体" w:cs="Times New Roman"/>
                <w:bCs/>
                <w:color w:val="auto"/>
                <w:sz w:val="24"/>
              </w:rPr>
              <w:t>为危险固废</w:t>
            </w:r>
            <w:r>
              <w:rPr>
                <w:rFonts w:hint="default" w:ascii="Times New Roman" w:hAnsi="Times New Roman" w:eastAsia="宋体" w:cs="Times New Roman"/>
                <w:bCs/>
                <w:color w:val="auto"/>
                <w:sz w:val="24"/>
                <w:lang w:eastAsia="zh-CN"/>
              </w:rPr>
              <w:t>，</w:t>
            </w:r>
            <w:r>
              <w:rPr>
                <w:rFonts w:hint="default" w:ascii="Times New Roman" w:hAnsi="Times New Roman" w:eastAsia="宋体" w:cs="Times New Roman"/>
                <w:bCs/>
                <w:color w:val="auto"/>
                <w:sz w:val="24"/>
              </w:rPr>
              <w:t>废物类别HW</w:t>
            </w:r>
            <w:r>
              <w:rPr>
                <w:rFonts w:hint="default" w:ascii="Times New Roman" w:hAnsi="Times New Roman" w:eastAsia="宋体" w:cs="Times New Roman"/>
                <w:bCs/>
                <w:color w:val="auto"/>
                <w:sz w:val="24"/>
                <w:lang w:val="en-US" w:eastAsia="zh-CN"/>
              </w:rPr>
              <w:t>49</w:t>
            </w:r>
            <w:r>
              <w:rPr>
                <w:rFonts w:hint="default" w:ascii="Times New Roman" w:hAnsi="Times New Roman" w:eastAsia="宋体" w:cs="Times New Roman"/>
                <w:bCs/>
                <w:color w:val="auto"/>
                <w:sz w:val="24"/>
              </w:rPr>
              <w:t>，废物代码</w:t>
            </w:r>
            <w:r>
              <w:rPr>
                <w:rFonts w:hint="default" w:ascii="Times New Roman" w:hAnsi="Times New Roman" w:eastAsia="宋体" w:cs="Times New Roman"/>
                <w:bCs/>
                <w:color w:val="auto"/>
                <w:sz w:val="24"/>
                <w:lang w:val="en-US" w:eastAsia="zh-CN"/>
              </w:rPr>
              <w:t>900-041-49</w:t>
            </w:r>
            <w:r>
              <w:rPr>
                <w:rFonts w:hint="default" w:ascii="Times New Roman" w:hAnsi="Times New Roman" w:eastAsia="宋体" w:cs="Times New Roman"/>
                <w:bCs/>
                <w:color w:val="auto"/>
                <w:sz w:val="24"/>
              </w:rPr>
              <w:t>，收集后委托有资质单位处理。</w:t>
            </w:r>
          </w:p>
          <w:p>
            <w:pPr>
              <w:pStyle w:val="5"/>
              <w:adjustRightInd w:val="0"/>
              <w:snapToGrid w:val="0"/>
              <w:spacing w:line="360" w:lineRule="auto"/>
              <w:ind w:firstLine="480" w:firstLineChars="200"/>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污泥</w:t>
            </w:r>
            <w:r>
              <w:rPr>
                <w:rFonts w:hint="default" w:ascii="Times New Roman" w:hAnsi="Times New Roman" w:eastAsia="宋体" w:cs="Times New Roman"/>
                <w:color w:val="auto"/>
                <w:sz w:val="24"/>
                <w:lang w:val="en-US" w:eastAsia="zh-CN"/>
              </w:rPr>
              <w:t>：项目污水处理站处理</w:t>
            </w:r>
            <w:r>
              <w:rPr>
                <w:rFonts w:hint="eastAsia" w:ascii="Times New Roman" w:hAnsi="Times New Roman" w:eastAsia="宋体" w:cs="Times New Roman"/>
                <w:color w:val="auto"/>
                <w:sz w:val="24"/>
                <w:lang w:val="en-US" w:eastAsia="zh-CN"/>
              </w:rPr>
              <w:t>生产废水</w:t>
            </w:r>
            <w:r>
              <w:rPr>
                <w:rFonts w:hint="default" w:ascii="Times New Roman" w:hAnsi="Times New Roman" w:eastAsia="宋体" w:cs="Times New Roman"/>
                <w:color w:val="auto"/>
                <w:sz w:val="24"/>
                <w:lang w:val="en-US" w:eastAsia="zh-CN"/>
              </w:rPr>
              <w:t>时产生污泥，产生量约为</w:t>
            </w:r>
            <w:r>
              <w:rPr>
                <w:rFonts w:hint="eastAsia" w:ascii="Times New Roman" w:hAnsi="Times New Roman" w:eastAsia="宋体" w:cs="Times New Roman"/>
                <w:color w:val="auto"/>
                <w:sz w:val="24"/>
                <w:lang w:val="en-US" w:eastAsia="zh-CN"/>
              </w:rPr>
              <w:t>20</w:t>
            </w:r>
            <w:r>
              <w:rPr>
                <w:rFonts w:hint="default" w:ascii="Times New Roman" w:hAnsi="Times New Roman" w:eastAsia="宋体" w:cs="Times New Roman"/>
                <w:color w:val="auto"/>
                <w:sz w:val="24"/>
                <w:lang w:val="en-US" w:eastAsia="zh-CN"/>
              </w:rPr>
              <w:t>t/a，经查《国家危险废物名录》（2021年版），为危险固废（废物类别HW17，废物代码336-06</w:t>
            </w:r>
            <w:r>
              <w:rPr>
                <w:rFonts w:hint="eastAsia" w:ascii="Times New Roman" w:hAnsi="Times New Roman" w:eastAsia="宋体" w:cs="Times New Roman"/>
                <w:color w:val="auto"/>
                <w:sz w:val="24"/>
                <w:lang w:val="en-US" w:eastAsia="zh-CN"/>
              </w:rPr>
              <w:t>4</w:t>
            </w:r>
            <w:r>
              <w:rPr>
                <w:rFonts w:hint="default" w:ascii="Times New Roman" w:hAnsi="Times New Roman" w:eastAsia="宋体" w:cs="Times New Roman"/>
                <w:color w:val="auto"/>
                <w:sz w:val="24"/>
                <w:lang w:val="en-US" w:eastAsia="zh-CN"/>
              </w:rPr>
              <w:t>-17），</w:t>
            </w:r>
            <w:r>
              <w:rPr>
                <w:rFonts w:hint="default" w:ascii="Times New Roman" w:hAnsi="Times New Roman" w:eastAsia="宋体" w:cs="Times New Roman"/>
                <w:bCs/>
                <w:color w:val="auto"/>
                <w:sz w:val="24"/>
              </w:rPr>
              <w:t>收集后委托有资质单位处理</w:t>
            </w:r>
            <w:r>
              <w:rPr>
                <w:rFonts w:hint="eastAsia" w:ascii="Times New Roman" w:hAnsi="Times New Roman" w:eastAsia="宋体" w:cs="Times New Roman"/>
                <w:bCs/>
                <w:color w:val="auto"/>
                <w:sz w:val="24"/>
                <w:lang w:eastAsia="zh-CN"/>
              </w:rPr>
              <w:t>。</w:t>
            </w:r>
          </w:p>
          <w:p>
            <w:pPr>
              <w:adjustRightInd w:val="0"/>
              <w:snapToGrid w:val="0"/>
              <w:spacing w:line="360" w:lineRule="auto"/>
              <w:ind w:firstLine="480" w:firstLineChars="200"/>
              <w:rPr>
                <w:bCs/>
                <w:color w:val="auto"/>
                <w:sz w:val="24"/>
              </w:rPr>
            </w:pPr>
            <w:r>
              <w:rPr>
                <w:color w:val="auto"/>
                <w:sz w:val="24"/>
              </w:rPr>
              <w:t>废包装桶：</w:t>
            </w:r>
            <w:r>
              <w:rPr>
                <w:bCs/>
                <w:color w:val="auto"/>
                <w:sz w:val="24"/>
              </w:rPr>
              <w:t>本项目使用</w:t>
            </w:r>
            <w:r>
              <w:rPr>
                <w:rFonts w:hint="eastAsia"/>
                <w:bCs/>
                <w:color w:val="auto"/>
                <w:sz w:val="24"/>
                <w:lang w:val="en-US" w:eastAsia="zh-CN"/>
              </w:rPr>
              <w:t>的清洗剂、无磷皮膜剂、色浆、乳液、调整剂均</w:t>
            </w:r>
            <w:r>
              <w:rPr>
                <w:bCs/>
                <w:color w:val="auto"/>
                <w:sz w:val="24"/>
              </w:rPr>
              <w:t>为桶装，产生废包装桶</w:t>
            </w:r>
            <w:r>
              <w:rPr>
                <w:rFonts w:hint="eastAsia"/>
                <w:bCs/>
                <w:color w:val="auto"/>
                <w:sz w:val="24"/>
                <w:lang w:val="en-US" w:eastAsia="zh-CN"/>
              </w:rPr>
              <w:t>约</w:t>
            </w:r>
            <w:r>
              <w:rPr>
                <w:bCs/>
                <w:color w:val="auto"/>
                <w:sz w:val="24"/>
              </w:rPr>
              <w:t>为</w:t>
            </w:r>
            <w:r>
              <w:rPr>
                <w:rFonts w:hint="eastAsia"/>
                <w:bCs/>
                <w:color w:val="auto"/>
                <w:sz w:val="24"/>
                <w:lang w:val="en-US" w:eastAsia="zh-CN"/>
              </w:rPr>
              <w:t>1</w:t>
            </w:r>
            <w:r>
              <w:rPr>
                <w:bCs/>
                <w:color w:val="auto"/>
                <w:sz w:val="24"/>
              </w:rPr>
              <w:t>t/a，经查《国家危险废物名录》（2021年版），废包装桶为危险固废，废物类别HW</w:t>
            </w:r>
            <w:r>
              <w:rPr>
                <w:rFonts w:hint="eastAsia"/>
                <w:bCs/>
                <w:color w:val="auto"/>
                <w:sz w:val="24"/>
                <w:lang w:val="en-US" w:eastAsia="zh-CN"/>
              </w:rPr>
              <w:t>49</w:t>
            </w:r>
            <w:r>
              <w:rPr>
                <w:bCs/>
                <w:color w:val="auto"/>
                <w:sz w:val="24"/>
              </w:rPr>
              <w:t>，废物代码900-</w:t>
            </w:r>
            <w:r>
              <w:rPr>
                <w:rFonts w:hint="eastAsia"/>
                <w:bCs/>
                <w:color w:val="auto"/>
                <w:sz w:val="24"/>
                <w:lang w:val="en-US" w:eastAsia="zh-CN"/>
              </w:rPr>
              <w:t>041</w:t>
            </w:r>
            <w:r>
              <w:rPr>
                <w:bCs/>
                <w:color w:val="auto"/>
                <w:sz w:val="24"/>
              </w:rPr>
              <w:t>-</w:t>
            </w:r>
            <w:r>
              <w:rPr>
                <w:rFonts w:hint="eastAsia"/>
                <w:bCs/>
                <w:color w:val="auto"/>
                <w:sz w:val="24"/>
                <w:lang w:val="en-US" w:eastAsia="zh-CN"/>
              </w:rPr>
              <w:t>49</w:t>
            </w:r>
            <w:r>
              <w:rPr>
                <w:bCs/>
                <w:color w:val="auto"/>
                <w:sz w:val="24"/>
              </w:rPr>
              <w:t>，收集后委托有资质单位处理。</w:t>
            </w:r>
          </w:p>
          <w:p>
            <w:pPr>
              <w:pStyle w:val="5"/>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废活性炭：</w:t>
            </w:r>
            <w:r>
              <w:rPr>
                <w:rFonts w:hint="default" w:ascii="Times New Roman" w:hAnsi="Times New Roman" w:eastAsia="宋体" w:cs="Times New Roman"/>
                <w:bCs/>
                <w:color w:val="auto"/>
                <w:sz w:val="24"/>
              </w:rPr>
              <w:t>本项目使用二级活性炭吸附处理有机废气，会产生废活性炭。</w:t>
            </w:r>
            <w:r>
              <w:rPr>
                <w:rFonts w:hint="default" w:ascii="Times New Roman" w:hAnsi="Times New Roman" w:eastAsia="宋体" w:cs="Times New Roman"/>
                <w:color w:val="auto"/>
                <w:sz w:val="24"/>
              </w:rPr>
              <w:t>根据省生态环境厅关于将排污单位活性炭使用更换纳入排污许可管理的通知中附件涉活性炭吸附排污单位的排污许可管理要求内的相关公式：</w:t>
            </w:r>
          </w:p>
          <w:p>
            <w:pPr>
              <w:spacing w:line="360" w:lineRule="auto"/>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T=m×s÷（c×10</w:t>
            </w:r>
            <w:r>
              <w:rPr>
                <w:rFonts w:hint="default" w:ascii="Times New Roman" w:hAnsi="Times New Roman" w:eastAsia="宋体" w:cs="Times New Roman"/>
                <w:color w:val="auto"/>
                <w:sz w:val="24"/>
                <w:vertAlign w:val="superscript"/>
              </w:rPr>
              <w:t>-6</w:t>
            </w:r>
            <w:r>
              <w:rPr>
                <w:rFonts w:hint="default" w:ascii="Times New Roman" w:hAnsi="Times New Roman" w:eastAsia="宋体" w:cs="Times New Roman"/>
                <w:color w:val="auto"/>
                <w:sz w:val="24"/>
              </w:rPr>
              <w:t>×Q×t）</w:t>
            </w:r>
          </w:p>
          <w:p>
            <w:pPr>
              <w:spacing w:line="360" w:lineRule="auto"/>
              <w:ind w:firstLine="2880" w:firstLineChars="1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T—更换周期，天；</w:t>
            </w:r>
          </w:p>
          <w:p>
            <w:pPr>
              <w:spacing w:line="360" w:lineRule="auto"/>
              <w:ind w:firstLine="2880" w:firstLineChars="1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m—活性炭的用量，kg；</w:t>
            </w:r>
          </w:p>
          <w:p>
            <w:pPr>
              <w:spacing w:line="360" w:lineRule="auto"/>
              <w:ind w:firstLine="2880" w:firstLineChars="1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s—动态吸附量，%；</w:t>
            </w:r>
          </w:p>
          <w:p>
            <w:pPr>
              <w:spacing w:line="360" w:lineRule="auto"/>
              <w:ind w:firstLine="2880" w:firstLineChars="1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c—活性炭削减的VOCs浓度，mg/m</w:t>
            </w:r>
            <w:r>
              <w:rPr>
                <w:rFonts w:hint="default" w:ascii="Times New Roman" w:hAnsi="Times New Roman" w:eastAsia="宋体" w:cs="Times New Roman"/>
                <w:color w:val="auto"/>
                <w:sz w:val="24"/>
                <w:vertAlign w:val="superscript"/>
              </w:rPr>
              <w:t>3</w:t>
            </w:r>
            <w:r>
              <w:rPr>
                <w:rFonts w:hint="default" w:ascii="Times New Roman" w:hAnsi="Times New Roman" w:eastAsia="宋体" w:cs="Times New Roman"/>
                <w:color w:val="auto"/>
                <w:sz w:val="24"/>
              </w:rPr>
              <w:t>；</w:t>
            </w:r>
          </w:p>
          <w:p>
            <w:pPr>
              <w:spacing w:line="360" w:lineRule="auto"/>
              <w:ind w:firstLine="2880" w:firstLineChars="1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Q—风量，单位m</w:t>
            </w:r>
            <w:r>
              <w:rPr>
                <w:rFonts w:hint="default" w:ascii="Times New Roman" w:hAnsi="Times New Roman" w:eastAsia="宋体" w:cs="Times New Roman"/>
                <w:color w:val="auto"/>
                <w:sz w:val="24"/>
                <w:vertAlign w:val="superscript"/>
              </w:rPr>
              <w:t>3</w:t>
            </w:r>
            <w:r>
              <w:rPr>
                <w:rFonts w:hint="default" w:ascii="Times New Roman" w:hAnsi="Times New Roman" w:eastAsia="宋体" w:cs="Times New Roman"/>
                <w:color w:val="auto"/>
                <w:sz w:val="24"/>
              </w:rPr>
              <w:t>/h；</w:t>
            </w:r>
          </w:p>
          <w:p>
            <w:pPr>
              <w:adjustRightInd w:val="0"/>
              <w:snapToGrid w:val="0"/>
              <w:spacing w:line="360" w:lineRule="auto"/>
              <w:ind w:firstLine="2880" w:firstLineChars="1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t—运行时间，单位h/d。</w:t>
            </w:r>
          </w:p>
          <w:p>
            <w:pPr>
              <w:adjustRightInd w:val="0"/>
              <w:snapToGrid w:val="0"/>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color w:val="auto"/>
                <w:sz w:val="24"/>
              </w:rPr>
              <w:t>本项目动态吸附量取10%，则</w:t>
            </w:r>
            <w:r>
              <w:rPr>
                <w:rFonts w:hint="default" w:ascii="Times New Roman" w:hAnsi="Times New Roman" w:eastAsia="宋体" w:cs="Times New Roman"/>
                <w:bCs/>
                <w:color w:val="auto"/>
                <w:sz w:val="24"/>
              </w:rPr>
              <w:t>1kg活性炭可吸附0.1kg有机废气，本项目有机废气处理量共</w:t>
            </w:r>
            <w:r>
              <w:rPr>
                <w:rFonts w:hint="eastAsia" w:cs="Times New Roman"/>
                <w:bCs/>
                <w:color w:val="auto"/>
                <w:sz w:val="24"/>
                <w:lang w:val="en-US" w:eastAsia="zh-CN"/>
              </w:rPr>
              <w:t>3.918</w:t>
            </w:r>
            <w:r>
              <w:rPr>
                <w:rFonts w:hint="default" w:ascii="Times New Roman" w:hAnsi="Times New Roman" w:eastAsia="宋体" w:cs="Times New Roman"/>
                <w:bCs/>
                <w:color w:val="auto"/>
                <w:sz w:val="24"/>
              </w:rPr>
              <w:t>t/a，通过二级活性炭吸附设备处理，则产生废活性炭约为</w:t>
            </w:r>
            <w:r>
              <w:rPr>
                <w:rFonts w:hint="eastAsia" w:cs="Times New Roman"/>
                <w:bCs/>
                <w:color w:val="auto"/>
                <w:sz w:val="24"/>
                <w:lang w:val="en-US" w:eastAsia="zh-CN"/>
              </w:rPr>
              <w:t>43.1</w:t>
            </w:r>
            <w:r>
              <w:rPr>
                <w:rFonts w:hint="default" w:ascii="Times New Roman" w:hAnsi="Times New Roman" w:eastAsia="宋体" w:cs="Times New Roman"/>
                <w:bCs/>
                <w:color w:val="auto"/>
                <w:sz w:val="24"/>
              </w:rPr>
              <w:t>t/a（含吸附的有机废气）。根据设备商提供资料，活性炭吸附装置最大填充量m=</w:t>
            </w:r>
            <w:r>
              <w:rPr>
                <w:rFonts w:hint="default" w:ascii="Times New Roman" w:hAnsi="Times New Roman" w:eastAsia="宋体" w:cs="Times New Roman"/>
                <w:bCs/>
                <w:color w:val="auto"/>
                <w:sz w:val="24"/>
                <w:lang w:val="en-US" w:eastAsia="zh-CN"/>
              </w:rPr>
              <w:t>20</w:t>
            </w:r>
            <w:r>
              <w:rPr>
                <w:rFonts w:hint="default" w:ascii="Times New Roman" w:hAnsi="Times New Roman" w:eastAsia="宋体" w:cs="Times New Roman"/>
                <w:bCs/>
                <w:color w:val="auto"/>
                <w:sz w:val="24"/>
              </w:rPr>
              <w:t>00kg，活性炭削减的VOCs浓度c=</w:t>
            </w:r>
            <w:r>
              <w:rPr>
                <w:rFonts w:hint="default" w:ascii="Times New Roman" w:hAnsi="Times New Roman" w:eastAsia="宋体" w:cs="Times New Roman"/>
                <w:bCs/>
                <w:color w:val="auto"/>
                <w:sz w:val="24"/>
                <w:lang w:val="en-US" w:eastAsia="zh-CN"/>
              </w:rPr>
              <w:t>45.</w:t>
            </w:r>
            <w:r>
              <w:rPr>
                <w:rFonts w:hint="eastAsia" w:cs="Times New Roman"/>
                <w:bCs/>
                <w:color w:val="auto"/>
                <w:sz w:val="24"/>
                <w:lang w:val="en-US" w:eastAsia="zh-CN"/>
              </w:rPr>
              <w:t>351</w:t>
            </w:r>
            <w:r>
              <w:rPr>
                <w:rFonts w:hint="default" w:ascii="Times New Roman" w:hAnsi="Times New Roman" w:eastAsia="宋体" w:cs="Times New Roman"/>
                <w:bCs/>
                <w:color w:val="auto"/>
                <w:sz w:val="24"/>
              </w:rPr>
              <w:t>mg/m</w:t>
            </w:r>
            <w:r>
              <w:rPr>
                <w:rFonts w:hint="default" w:ascii="Times New Roman" w:hAnsi="Times New Roman" w:eastAsia="宋体" w:cs="Times New Roman"/>
                <w:bCs/>
                <w:color w:val="auto"/>
                <w:sz w:val="24"/>
                <w:vertAlign w:val="superscript"/>
              </w:rPr>
              <w:t>3</w:t>
            </w:r>
            <w:r>
              <w:rPr>
                <w:rFonts w:hint="default" w:ascii="Times New Roman" w:hAnsi="Times New Roman" w:eastAsia="宋体" w:cs="Times New Roman"/>
                <w:bCs/>
                <w:color w:val="auto"/>
                <w:sz w:val="24"/>
              </w:rPr>
              <w:t>，风量Q=1</w:t>
            </w:r>
            <w:r>
              <w:rPr>
                <w:rFonts w:hint="eastAsia" w:cs="Times New Roman"/>
                <w:bCs/>
                <w:color w:val="auto"/>
                <w:sz w:val="24"/>
                <w:lang w:val="en-US" w:eastAsia="zh-CN"/>
              </w:rPr>
              <w:t>8</w:t>
            </w:r>
            <w:r>
              <w:rPr>
                <w:rFonts w:hint="default" w:ascii="Times New Roman" w:hAnsi="Times New Roman" w:eastAsia="宋体" w:cs="Times New Roman"/>
                <w:bCs/>
                <w:color w:val="auto"/>
                <w:sz w:val="24"/>
              </w:rPr>
              <w:t>000m</w:t>
            </w:r>
            <w:r>
              <w:rPr>
                <w:rFonts w:hint="default" w:ascii="Times New Roman" w:hAnsi="Times New Roman" w:eastAsia="宋体" w:cs="Times New Roman"/>
                <w:bCs/>
                <w:color w:val="auto"/>
                <w:sz w:val="24"/>
                <w:vertAlign w:val="superscript"/>
              </w:rPr>
              <w:t>3</w:t>
            </w:r>
            <w:r>
              <w:rPr>
                <w:rFonts w:hint="default" w:ascii="Times New Roman" w:hAnsi="Times New Roman" w:eastAsia="宋体" w:cs="Times New Roman"/>
                <w:bCs/>
                <w:color w:val="auto"/>
                <w:sz w:val="24"/>
              </w:rPr>
              <w:t>/h，运行时间t=</w:t>
            </w:r>
            <w:r>
              <w:rPr>
                <w:rFonts w:hint="default" w:ascii="Times New Roman" w:hAnsi="Times New Roman" w:eastAsia="宋体" w:cs="Times New Roman"/>
                <w:bCs/>
                <w:color w:val="auto"/>
                <w:sz w:val="24"/>
                <w:lang w:val="en-US" w:eastAsia="zh-CN"/>
              </w:rPr>
              <w:t>16</w:t>
            </w:r>
            <w:r>
              <w:rPr>
                <w:rFonts w:hint="default" w:ascii="Times New Roman" w:hAnsi="Times New Roman" w:eastAsia="宋体" w:cs="Times New Roman"/>
                <w:bCs/>
                <w:color w:val="auto"/>
                <w:sz w:val="24"/>
              </w:rPr>
              <w:t>h/d，则更换周期T=</w:t>
            </w:r>
            <w:r>
              <w:rPr>
                <w:rFonts w:hint="eastAsia" w:cs="Times New Roman"/>
                <w:bCs/>
                <w:color w:val="auto"/>
                <w:sz w:val="24"/>
                <w:lang w:val="en-US" w:eastAsia="zh-CN"/>
              </w:rPr>
              <w:t>20</w:t>
            </w:r>
            <w:r>
              <w:rPr>
                <w:rFonts w:hint="default" w:ascii="Times New Roman" w:hAnsi="Times New Roman" w:eastAsia="宋体" w:cs="Times New Roman"/>
                <w:bCs/>
                <w:color w:val="auto"/>
                <w:sz w:val="24"/>
              </w:rPr>
              <w:t>00</w:t>
            </w:r>
            <w:r>
              <w:rPr>
                <w:rFonts w:hint="default" w:ascii="Times New Roman" w:hAnsi="Times New Roman" w:eastAsia="宋体" w:cs="Times New Roman"/>
                <w:color w:val="auto"/>
                <w:sz w:val="24"/>
              </w:rPr>
              <w:t>×</w:t>
            </w:r>
            <w:r>
              <w:rPr>
                <w:rFonts w:hint="default" w:ascii="Times New Roman" w:hAnsi="Times New Roman" w:eastAsia="宋体" w:cs="Times New Roman"/>
                <w:bCs/>
                <w:color w:val="auto"/>
                <w:sz w:val="24"/>
              </w:rPr>
              <w:t>10%÷（</w:t>
            </w:r>
            <w:r>
              <w:rPr>
                <w:rFonts w:hint="default" w:ascii="Times New Roman" w:hAnsi="Times New Roman" w:eastAsia="宋体" w:cs="Times New Roman"/>
                <w:bCs/>
                <w:color w:val="auto"/>
                <w:sz w:val="24"/>
                <w:lang w:val="en-US" w:eastAsia="zh-CN"/>
              </w:rPr>
              <w:t>45.279</w:t>
            </w:r>
            <w:r>
              <w:rPr>
                <w:rFonts w:hint="default" w:ascii="Times New Roman" w:hAnsi="Times New Roman" w:eastAsia="宋体" w:cs="Times New Roman"/>
                <w:color w:val="auto"/>
                <w:sz w:val="24"/>
              </w:rPr>
              <w:t>×</w:t>
            </w:r>
            <w:r>
              <w:rPr>
                <w:rFonts w:hint="default" w:ascii="Times New Roman" w:hAnsi="Times New Roman" w:eastAsia="宋体" w:cs="Times New Roman"/>
                <w:bCs/>
                <w:color w:val="auto"/>
                <w:sz w:val="24"/>
              </w:rPr>
              <w:t>10</w:t>
            </w:r>
            <w:r>
              <w:rPr>
                <w:rFonts w:hint="default" w:ascii="Times New Roman" w:hAnsi="Times New Roman" w:eastAsia="宋体" w:cs="Times New Roman"/>
                <w:bCs/>
                <w:color w:val="auto"/>
                <w:sz w:val="24"/>
                <w:vertAlign w:val="superscript"/>
              </w:rPr>
              <w:t>-6</w:t>
            </w:r>
            <w:r>
              <w:rPr>
                <w:rFonts w:hint="default" w:ascii="Times New Roman" w:hAnsi="Times New Roman" w:eastAsia="宋体" w:cs="Times New Roman"/>
                <w:color w:val="auto"/>
                <w:sz w:val="24"/>
              </w:rPr>
              <w:t>×</w:t>
            </w:r>
            <w:r>
              <w:rPr>
                <w:rFonts w:hint="default" w:ascii="Times New Roman" w:hAnsi="Times New Roman" w:eastAsia="宋体" w:cs="Times New Roman"/>
                <w:bCs/>
                <w:color w:val="auto"/>
                <w:sz w:val="24"/>
              </w:rPr>
              <w:t>1</w:t>
            </w:r>
            <w:r>
              <w:rPr>
                <w:rFonts w:hint="eastAsia" w:cs="Times New Roman"/>
                <w:bCs/>
                <w:color w:val="auto"/>
                <w:sz w:val="24"/>
                <w:lang w:val="en-US" w:eastAsia="zh-CN"/>
              </w:rPr>
              <w:t>8</w:t>
            </w:r>
            <w:r>
              <w:rPr>
                <w:rFonts w:hint="default" w:ascii="Times New Roman" w:hAnsi="Times New Roman" w:eastAsia="宋体" w:cs="Times New Roman"/>
                <w:bCs/>
                <w:color w:val="auto"/>
                <w:sz w:val="24"/>
              </w:rPr>
              <w:t>000</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val="en-US" w:eastAsia="zh-CN"/>
              </w:rPr>
              <w:t>16</w:t>
            </w:r>
            <w:r>
              <w:rPr>
                <w:rFonts w:hint="default" w:ascii="Times New Roman" w:hAnsi="Times New Roman" w:eastAsia="宋体" w:cs="Times New Roman"/>
                <w:bCs/>
                <w:color w:val="auto"/>
                <w:sz w:val="24"/>
              </w:rPr>
              <w:t>）≈</w:t>
            </w:r>
            <w:r>
              <w:rPr>
                <w:rFonts w:hint="default" w:ascii="Times New Roman" w:hAnsi="Times New Roman" w:eastAsia="宋体" w:cs="Times New Roman"/>
                <w:bCs/>
                <w:color w:val="auto"/>
                <w:sz w:val="24"/>
                <w:lang w:val="en-US" w:eastAsia="zh-CN"/>
              </w:rPr>
              <w:t>1</w:t>
            </w:r>
            <w:r>
              <w:rPr>
                <w:rFonts w:hint="eastAsia" w:cs="Times New Roman"/>
                <w:bCs/>
                <w:color w:val="auto"/>
                <w:sz w:val="24"/>
                <w:lang w:val="en-US" w:eastAsia="zh-CN"/>
              </w:rPr>
              <w:t>5</w:t>
            </w:r>
            <w:r>
              <w:rPr>
                <w:rFonts w:hint="default" w:ascii="Times New Roman" w:hAnsi="Times New Roman" w:eastAsia="宋体" w:cs="Times New Roman"/>
                <w:bCs/>
                <w:color w:val="auto"/>
                <w:sz w:val="24"/>
              </w:rPr>
              <w:t>天，经查《国家危险废物名录》</w:t>
            </w:r>
            <w:r>
              <w:rPr>
                <w:rFonts w:hint="default" w:ascii="Times New Roman" w:hAnsi="Times New Roman" w:eastAsia="宋体" w:cs="Times New Roman"/>
                <w:color w:val="auto"/>
                <w:sz w:val="24"/>
              </w:rPr>
              <w:t>（2021），</w:t>
            </w:r>
            <w:r>
              <w:rPr>
                <w:rFonts w:hint="default" w:ascii="Times New Roman" w:hAnsi="Times New Roman" w:eastAsia="宋体" w:cs="Times New Roman"/>
                <w:bCs/>
                <w:color w:val="auto"/>
                <w:sz w:val="24"/>
              </w:rPr>
              <w:t>为危险固废，废物类别HW49，废物代码900-039-49，</w:t>
            </w:r>
            <w:r>
              <w:rPr>
                <w:rFonts w:hint="default" w:ascii="Times New Roman" w:hAnsi="Times New Roman" w:eastAsia="宋体" w:cs="Times New Roman"/>
                <w:color w:val="auto"/>
                <w:sz w:val="24"/>
              </w:rPr>
              <w:t>存放于厂内危险废物仓库，经收集后委托有资质单位处置</w:t>
            </w:r>
            <w:r>
              <w:rPr>
                <w:rFonts w:hint="default" w:ascii="Times New Roman" w:hAnsi="Times New Roman" w:eastAsia="宋体" w:cs="Times New Roman"/>
                <w:bCs/>
                <w:color w:val="auto"/>
                <w:sz w:val="24"/>
              </w:rPr>
              <w:t>。</w:t>
            </w:r>
          </w:p>
          <w:p>
            <w:pPr>
              <w:pStyle w:val="5"/>
              <w:adjustRightInd w:val="0"/>
              <w:snapToGrid w:val="0"/>
              <w:spacing w:line="360" w:lineRule="auto"/>
              <w:ind w:firstLine="480" w:firstLineChars="200"/>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eastAsia="zh-CN"/>
              </w:rPr>
              <w:t>生活垃圾</w:t>
            </w:r>
          </w:p>
          <w:p>
            <w:pPr>
              <w:pStyle w:val="5"/>
              <w:adjustRightInd w:val="0"/>
              <w:snapToGrid w:val="0"/>
              <w:spacing w:line="360" w:lineRule="auto"/>
              <w:ind w:firstLine="506" w:firstLineChars="211"/>
              <w:rPr>
                <w:rFonts w:hint="default" w:ascii="Times New Roman" w:hAnsi="Times New Roman" w:eastAsia="宋体" w:cs="Times New Roman"/>
                <w:color w:val="auto"/>
                <w:sz w:val="24"/>
                <w:lang w:eastAsia="zh-CN"/>
              </w:rPr>
            </w:pPr>
            <w:r>
              <w:rPr>
                <w:rFonts w:hint="default" w:ascii="Times New Roman" w:hAnsi="Times New Roman" w:eastAsia="宋体" w:cs="Times New Roman"/>
                <w:color w:val="auto"/>
                <w:sz w:val="24"/>
              </w:rPr>
              <w:t>员工日常生活会产生生活垃圾，</w:t>
            </w:r>
            <w:r>
              <w:rPr>
                <w:rFonts w:hint="default" w:ascii="Times New Roman" w:hAnsi="Times New Roman" w:eastAsia="宋体" w:cs="Times New Roman"/>
                <w:color w:val="auto"/>
                <w:sz w:val="24"/>
                <w:lang w:val="en-US" w:eastAsia="zh-CN"/>
              </w:rPr>
              <w:t>本</w:t>
            </w:r>
            <w:r>
              <w:rPr>
                <w:rFonts w:hint="default" w:ascii="Times New Roman" w:hAnsi="Times New Roman" w:eastAsia="宋体" w:cs="Times New Roman"/>
                <w:color w:val="auto"/>
                <w:sz w:val="24"/>
              </w:rPr>
              <w:t>项目</w:t>
            </w:r>
            <w:r>
              <w:rPr>
                <w:rFonts w:hint="default" w:ascii="Times New Roman" w:hAnsi="Times New Roman" w:eastAsia="宋体" w:cs="Times New Roman"/>
                <w:color w:val="auto"/>
                <w:sz w:val="24"/>
                <w:lang w:val="en-US" w:eastAsia="zh-CN"/>
              </w:rPr>
              <w:t>新增</w:t>
            </w:r>
            <w:r>
              <w:rPr>
                <w:rFonts w:hint="default" w:ascii="Times New Roman" w:hAnsi="Times New Roman" w:eastAsia="宋体" w:cs="Times New Roman"/>
                <w:color w:val="auto"/>
                <w:sz w:val="24"/>
              </w:rPr>
              <w:t>员工</w:t>
            </w:r>
            <w:r>
              <w:rPr>
                <w:rFonts w:hint="default" w:ascii="Times New Roman" w:hAnsi="Times New Roman" w:eastAsia="宋体" w:cs="Times New Roman"/>
                <w:color w:val="auto"/>
                <w:sz w:val="24"/>
                <w:lang w:val="en-US" w:eastAsia="zh-CN"/>
              </w:rPr>
              <w:t>3</w:t>
            </w:r>
            <w:r>
              <w:rPr>
                <w:rFonts w:hint="default" w:ascii="Times New Roman" w:hAnsi="Times New Roman" w:eastAsia="宋体" w:cs="Times New Roman"/>
                <w:color w:val="auto"/>
                <w:sz w:val="24"/>
              </w:rPr>
              <w:t>0人，日产生量按1kg/人计，年工作300天，则生活垃圾产生量为</w:t>
            </w:r>
            <w:r>
              <w:rPr>
                <w:rFonts w:hint="default" w:ascii="Times New Roman" w:hAnsi="Times New Roman" w:eastAsia="宋体" w:cs="Times New Roman"/>
                <w:color w:val="auto"/>
                <w:sz w:val="24"/>
                <w:lang w:val="en-US" w:eastAsia="zh-CN"/>
              </w:rPr>
              <w:t>9t</w:t>
            </w:r>
            <w:r>
              <w:rPr>
                <w:rFonts w:hint="default" w:ascii="Times New Roman" w:hAnsi="Times New Roman" w:eastAsia="宋体" w:cs="Times New Roman"/>
                <w:color w:val="auto"/>
                <w:sz w:val="24"/>
              </w:rPr>
              <w:t>/a</w:t>
            </w:r>
            <w:r>
              <w:rPr>
                <w:rFonts w:hint="default" w:ascii="Times New Roman" w:hAnsi="Times New Roman" w:eastAsia="宋体" w:cs="Times New Roman"/>
                <w:color w:val="auto"/>
                <w:sz w:val="24"/>
                <w:lang w:eastAsia="zh-CN"/>
              </w:rPr>
              <w:t>。</w:t>
            </w:r>
          </w:p>
          <w:p>
            <w:pPr>
              <w:pStyle w:val="5"/>
              <w:adjustRightInd w:val="0"/>
              <w:snapToGrid w:val="0"/>
              <w:spacing w:line="360" w:lineRule="auto"/>
              <w:ind w:firstLine="506" w:firstLineChars="211"/>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rPr>
              <w:t>本项目固体废物分析结果汇总表见下表：</w:t>
            </w:r>
            <w:r>
              <w:rPr>
                <w:rFonts w:hint="default" w:ascii="Times New Roman" w:hAnsi="Times New Roman" w:eastAsia="宋体" w:cs="Times New Roman"/>
                <w:color w:val="auto"/>
                <w:sz w:val="24"/>
              </w:rPr>
              <w:t>：</w:t>
            </w:r>
          </w:p>
          <w:p>
            <w:pPr>
              <w:pStyle w:val="52"/>
              <w:tabs>
                <w:tab w:val="left" w:pos="3240"/>
              </w:tabs>
              <w:adjustRightInd w:val="0"/>
              <w:snapToGrid w:val="0"/>
              <w:spacing w:line="240" w:lineRule="auto"/>
              <w:ind w:left="1470" w:right="1470"/>
              <w:jc w:val="center"/>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表4-</w:t>
            </w:r>
            <w:r>
              <w:rPr>
                <w:rFonts w:hint="default" w:ascii="Times New Roman" w:hAnsi="Times New Roman" w:eastAsia="宋体" w:cs="Times New Roman"/>
                <w:b/>
                <w:color w:val="auto"/>
                <w:sz w:val="24"/>
                <w:lang w:val="en-US" w:eastAsia="zh-CN"/>
              </w:rPr>
              <w:t>2</w:t>
            </w:r>
            <w:r>
              <w:rPr>
                <w:rFonts w:hint="eastAsia" w:ascii="Times New Roman" w:hAnsi="Times New Roman" w:cs="Times New Roman"/>
                <w:b/>
                <w:color w:val="auto"/>
                <w:sz w:val="24"/>
                <w:lang w:val="en-US" w:eastAsia="zh-CN"/>
              </w:rPr>
              <w:t>2</w:t>
            </w:r>
            <w:r>
              <w:rPr>
                <w:rFonts w:hint="default" w:ascii="Times New Roman" w:hAnsi="Times New Roman" w:eastAsia="宋体" w:cs="Times New Roman"/>
                <w:b/>
                <w:color w:val="auto"/>
                <w:sz w:val="24"/>
              </w:rPr>
              <w:t xml:space="preserve"> 项目固废产生及排放情况</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7" w:type="dxa"/>
                <w:bottom w:w="0" w:type="dxa"/>
                <w:right w:w="57" w:type="dxa"/>
              </w:tblCellMar>
            </w:tblPr>
            <w:tblGrid>
              <w:gridCol w:w="314"/>
              <w:gridCol w:w="885"/>
              <w:gridCol w:w="504"/>
              <w:gridCol w:w="955"/>
              <w:gridCol w:w="548"/>
              <w:gridCol w:w="946"/>
              <w:gridCol w:w="967"/>
              <w:gridCol w:w="626"/>
              <w:gridCol w:w="653"/>
              <w:gridCol w:w="1062"/>
              <w:gridCol w:w="78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90" w:type="pc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序号</w:t>
                  </w:r>
                </w:p>
              </w:tc>
              <w:tc>
                <w:tcPr>
                  <w:tcW w:w="536" w:type="pc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固废名称</w:t>
                  </w:r>
                </w:p>
              </w:tc>
              <w:tc>
                <w:tcPr>
                  <w:tcW w:w="305" w:type="pc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属性</w:t>
                  </w:r>
                </w:p>
              </w:tc>
              <w:tc>
                <w:tcPr>
                  <w:tcW w:w="579" w:type="pc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产生来源</w:t>
                  </w:r>
                </w:p>
              </w:tc>
              <w:tc>
                <w:tcPr>
                  <w:tcW w:w="332" w:type="pc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形态</w:t>
                  </w:r>
                </w:p>
              </w:tc>
              <w:tc>
                <w:tcPr>
                  <w:tcW w:w="573" w:type="pc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主要成分</w:t>
                  </w:r>
                </w:p>
              </w:tc>
              <w:tc>
                <w:tcPr>
                  <w:tcW w:w="586" w:type="pc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危险特性鉴别方法</w:t>
                  </w:r>
                </w:p>
              </w:tc>
              <w:tc>
                <w:tcPr>
                  <w:tcW w:w="379" w:type="pc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危废毒性</w:t>
                  </w:r>
                </w:p>
              </w:tc>
              <w:tc>
                <w:tcPr>
                  <w:tcW w:w="396" w:type="pc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废物类别</w:t>
                  </w:r>
                </w:p>
              </w:tc>
              <w:tc>
                <w:tcPr>
                  <w:tcW w:w="643" w:type="pc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废物代码</w:t>
                  </w:r>
                </w:p>
              </w:tc>
              <w:tc>
                <w:tcPr>
                  <w:tcW w:w="475" w:type="pc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估算产生量（t/a）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90"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w:t>
                  </w:r>
                </w:p>
              </w:tc>
              <w:tc>
                <w:tcPr>
                  <w:tcW w:w="536" w:type="pct"/>
                  <w:vAlign w:val="center"/>
                </w:tcPr>
                <w:p>
                  <w:pPr>
                    <w:pStyle w:val="5"/>
                    <w:ind w:firstLine="0" w:firstLineChars="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陶化废液</w:t>
                  </w:r>
                </w:p>
              </w:tc>
              <w:tc>
                <w:tcPr>
                  <w:tcW w:w="305" w:type="pct"/>
                  <w:vMerge w:val="restar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危险固废</w:t>
                  </w:r>
                </w:p>
              </w:tc>
              <w:tc>
                <w:tcPr>
                  <w:tcW w:w="579" w:type="pct"/>
                  <w:vAlign w:val="center"/>
                </w:tcPr>
                <w:p>
                  <w:pPr>
                    <w:pStyle w:val="5"/>
                    <w:adjustRightInd w:val="0"/>
                    <w:snapToGrid w:val="0"/>
                    <w:ind w:firstLine="0"/>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陶化</w:t>
                  </w:r>
                </w:p>
              </w:tc>
              <w:tc>
                <w:tcPr>
                  <w:tcW w:w="332" w:type="pct"/>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液态</w:t>
                  </w:r>
                </w:p>
              </w:tc>
              <w:tc>
                <w:tcPr>
                  <w:tcW w:w="573"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清洗剂、脱脂剂等</w:t>
                  </w:r>
                </w:p>
              </w:tc>
              <w:tc>
                <w:tcPr>
                  <w:tcW w:w="586" w:type="pct"/>
                  <w:vMerge w:val="restar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《国家危险废物名录》（2021年）</w:t>
                  </w:r>
                </w:p>
              </w:tc>
              <w:tc>
                <w:tcPr>
                  <w:tcW w:w="379"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T/C</w:t>
                  </w:r>
                </w:p>
              </w:tc>
              <w:tc>
                <w:tcPr>
                  <w:tcW w:w="396" w:type="pct"/>
                  <w:vAlign w:val="center"/>
                </w:tcPr>
                <w:p>
                  <w:pPr>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HW17</w:t>
                  </w:r>
                </w:p>
              </w:tc>
              <w:tc>
                <w:tcPr>
                  <w:tcW w:w="643" w:type="pct"/>
                  <w:vAlign w:val="center"/>
                </w:tcPr>
                <w:p>
                  <w:pPr>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336-064-17</w:t>
                  </w:r>
                </w:p>
              </w:tc>
              <w:tc>
                <w:tcPr>
                  <w:tcW w:w="475"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90" w:type="pct"/>
                  <w:vAlign w:val="center"/>
                </w:tcPr>
                <w:p>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2</w:t>
                  </w:r>
                </w:p>
              </w:tc>
              <w:tc>
                <w:tcPr>
                  <w:tcW w:w="536" w:type="pct"/>
                  <w:vAlign w:val="center"/>
                </w:tcPr>
                <w:p>
                  <w:pPr>
                    <w:pStyle w:val="5"/>
                    <w:ind w:firstLine="0" w:firstLineChars="0"/>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陶化槽渣</w:t>
                  </w:r>
                </w:p>
              </w:tc>
              <w:tc>
                <w:tcPr>
                  <w:tcW w:w="305"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579" w:type="pct"/>
                  <w:vAlign w:val="center"/>
                </w:tcPr>
                <w:p>
                  <w:pPr>
                    <w:pStyle w:val="5"/>
                    <w:adjustRightInd w:val="0"/>
                    <w:snapToGrid w:val="0"/>
                    <w:ind w:firstLine="0"/>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陶化</w:t>
                  </w:r>
                </w:p>
              </w:tc>
              <w:tc>
                <w:tcPr>
                  <w:tcW w:w="332" w:type="pct"/>
                  <w:vAlign w:val="center"/>
                </w:tcPr>
                <w:p>
                  <w:pPr>
                    <w:adjustRightInd w:val="0"/>
                    <w:snapToGrid w:val="0"/>
                    <w:jc w:val="center"/>
                    <w:rPr>
                      <w:rFonts w:hint="default" w:cs="Times New Roman"/>
                      <w:color w:val="auto"/>
                      <w:szCs w:val="21"/>
                      <w:lang w:val="en-US" w:eastAsia="zh-CN"/>
                    </w:rPr>
                  </w:pPr>
                  <w:r>
                    <w:rPr>
                      <w:rFonts w:hint="eastAsia" w:cs="Times New Roman"/>
                      <w:color w:val="auto"/>
                      <w:szCs w:val="21"/>
                      <w:lang w:val="en-US" w:eastAsia="zh-CN"/>
                    </w:rPr>
                    <w:t>固态</w:t>
                  </w:r>
                </w:p>
              </w:tc>
              <w:tc>
                <w:tcPr>
                  <w:tcW w:w="573"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清洗剂、脱脂剂等</w:t>
                  </w:r>
                </w:p>
              </w:tc>
              <w:tc>
                <w:tcPr>
                  <w:tcW w:w="586"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379" w:type="pct"/>
                  <w:vAlign w:val="center"/>
                </w:tcPr>
                <w:p>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T/C</w:t>
                  </w:r>
                </w:p>
              </w:tc>
              <w:tc>
                <w:tcPr>
                  <w:tcW w:w="396" w:type="pct"/>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HW17</w:t>
                  </w:r>
                </w:p>
              </w:tc>
              <w:tc>
                <w:tcPr>
                  <w:tcW w:w="643" w:type="pct"/>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336-064-17</w:t>
                  </w:r>
                </w:p>
              </w:tc>
              <w:tc>
                <w:tcPr>
                  <w:tcW w:w="475"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90"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3</w:t>
                  </w:r>
                </w:p>
              </w:tc>
              <w:tc>
                <w:tcPr>
                  <w:tcW w:w="536" w:type="pct"/>
                  <w:vAlign w:val="center"/>
                </w:tcPr>
                <w:p>
                  <w:pPr>
                    <w:pStyle w:val="5"/>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废</w:t>
                  </w:r>
                  <w:r>
                    <w:rPr>
                      <w:rFonts w:hint="default" w:ascii="Times New Roman" w:hAnsi="Times New Roman" w:eastAsia="宋体" w:cs="Times New Roman"/>
                      <w:color w:val="auto"/>
                      <w:szCs w:val="21"/>
                      <w:lang w:val="en-US" w:eastAsia="zh-CN"/>
                    </w:rPr>
                    <w:t>漆渣</w:t>
                  </w:r>
                </w:p>
              </w:tc>
              <w:tc>
                <w:tcPr>
                  <w:tcW w:w="305" w:type="pct"/>
                  <w:vMerge w:val="continue"/>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p>
              </w:tc>
              <w:tc>
                <w:tcPr>
                  <w:tcW w:w="579" w:type="pct"/>
                  <w:vAlign w:val="center"/>
                </w:tcPr>
                <w:p>
                  <w:pPr>
                    <w:pStyle w:val="5"/>
                    <w:adjustRightInd w:val="0"/>
                    <w:snapToGrid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电泳</w:t>
                  </w:r>
                </w:p>
              </w:tc>
              <w:tc>
                <w:tcPr>
                  <w:tcW w:w="332"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固态</w:t>
                  </w:r>
                </w:p>
              </w:tc>
              <w:tc>
                <w:tcPr>
                  <w:tcW w:w="573" w:type="pct"/>
                  <w:vAlign w:val="center"/>
                </w:tcPr>
                <w:p>
                  <w:pPr>
                    <w:adjustRightInd w:val="0"/>
                    <w:snapToGrid w:val="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lang w:val="en-US" w:eastAsia="zh-CN"/>
                    </w:rPr>
                    <w:t>漆</w:t>
                  </w:r>
                </w:p>
              </w:tc>
              <w:tc>
                <w:tcPr>
                  <w:tcW w:w="586"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379"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T，I</w:t>
                  </w:r>
                </w:p>
              </w:tc>
              <w:tc>
                <w:tcPr>
                  <w:tcW w:w="396" w:type="pct"/>
                  <w:vAlign w:val="center"/>
                </w:tcPr>
                <w:p>
                  <w:pPr>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HW12</w:t>
                  </w:r>
                </w:p>
              </w:tc>
              <w:tc>
                <w:tcPr>
                  <w:tcW w:w="643" w:type="pct"/>
                  <w:vAlign w:val="center"/>
                </w:tcPr>
                <w:p>
                  <w:pPr>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900-252-12</w:t>
                  </w:r>
                </w:p>
              </w:tc>
              <w:tc>
                <w:tcPr>
                  <w:tcW w:w="475"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90"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4</w:t>
                  </w:r>
                </w:p>
              </w:tc>
              <w:tc>
                <w:tcPr>
                  <w:tcW w:w="536" w:type="pct"/>
                  <w:vAlign w:val="center"/>
                </w:tcPr>
                <w:p>
                  <w:pPr>
                    <w:pStyle w:val="5"/>
                    <w:ind w:firstLine="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rPr>
                    <w:t>废</w:t>
                  </w:r>
                  <w:r>
                    <w:rPr>
                      <w:rFonts w:hint="default" w:ascii="Times New Roman" w:hAnsi="Times New Roman" w:eastAsia="宋体" w:cs="Times New Roman"/>
                      <w:color w:val="auto"/>
                      <w:szCs w:val="21"/>
                      <w:lang w:val="en-US" w:eastAsia="zh-CN"/>
                    </w:rPr>
                    <w:t>过滤袋</w:t>
                  </w:r>
                </w:p>
              </w:tc>
              <w:tc>
                <w:tcPr>
                  <w:tcW w:w="305"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579" w:type="pct"/>
                  <w:vAlign w:val="center"/>
                </w:tcPr>
                <w:p>
                  <w:pPr>
                    <w:pStyle w:val="5"/>
                    <w:adjustRightInd w:val="0"/>
                    <w:snapToGrid w:val="0"/>
                    <w:ind w:firstLine="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val="en-US" w:eastAsia="zh-CN"/>
                    </w:rPr>
                    <w:t>过滤</w:t>
                  </w:r>
                </w:p>
              </w:tc>
              <w:tc>
                <w:tcPr>
                  <w:tcW w:w="332"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固态</w:t>
                  </w:r>
                </w:p>
              </w:tc>
              <w:tc>
                <w:tcPr>
                  <w:tcW w:w="573"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塑料、滤渣</w:t>
                  </w:r>
                </w:p>
              </w:tc>
              <w:tc>
                <w:tcPr>
                  <w:tcW w:w="586"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379"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T/In</w:t>
                  </w:r>
                </w:p>
              </w:tc>
              <w:tc>
                <w:tcPr>
                  <w:tcW w:w="396" w:type="pct"/>
                  <w:vAlign w:val="center"/>
                </w:tcPr>
                <w:p>
                  <w:pPr>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HW49</w:t>
                  </w:r>
                </w:p>
              </w:tc>
              <w:tc>
                <w:tcPr>
                  <w:tcW w:w="643" w:type="pct"/>
                  <w:vAlign w:val="center"/>
                </w:tcPr>
                <w:p>
                  <w:pPr>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900-041-49</w:t>
                  </w:r>
                </w:p>
              </w:tc>
              <w:tc>
                <w:tcPr>
                  <w:tcW w:w="475"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90"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5</w:t>
                  </w:r>
                </w:p>
              </w:tc>
              <w:tc>
                <w:tcPr>
                  <w:tcW w:w="536" w:type="pct"/>
                  <w:vAlign w:val="center"/>
                </w:tcPr>
                <w:p>
                  <w:pPr>
                    <w:pStyle w:val="5"/>
                    <w:ind w:firstLine="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rPr>
                    <w:t>废</w:t>
                  </w:r>
                  <w:r>
                    <w:rPr>
                      <w:rFonts w:hint="default" w:ascii="Times New Roman" w:hAnsi="Times New Roman" w:eastAsia="宋体" w:cs="Times New Roman"/>
                      <w:color w:val="auto"/>
                      <w:szCs w:val="21"/>
                      <w:lang w:val="en-US" w:eastAsia="zh-CN"/>
                    </w:rPr>
                    <w:t>超滤膜</w:t>
                  </w:r>
                </w:p>
              </w:tc>
              <w:tc>
                <w:tcPr>
                  <w:tcW w:w="305"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579" w:type="pct"/>
                  <w:vAlign w:val="center"/>
                </w:tcPr>
                <w:p>
                  <w:pPr>
                    <w:pStyle w:val="5"/>
                    <w:adjustRightInd w:val="0"/>
                    <w:snapToGrid w:val="0"/>
                    <w:ind w:firstLine="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超滤</w:t>
                  </w:r>
                </w:p>
              </w:tc>
              <w:tc>
                <w:tcPr>
                  <w:tcW w:w="332"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固态</w:t>
                  </w:r>
                </w:p>
              </w:tc>
              <w:tc>
                <w:tcPr>
                  <w:tcW w:w="573" w:type="pct"/>
                  <w:vAlign w:val="center"/>
                </w:tcPr>
                <w:p>
                  <w:pPr>
                    <w:adjustRightInd w:val="0"/>
                    <w:snapToGrid w:val="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lang w:val="en-US" w:eastAsia="zh-CN"/>
                    </w:rPr>
                    <w:t>超滤膜</w:t>
                  </w:r>
                </w:p>
              </w:tc>
              <w:tc>
                <w:tcPr>
                  <w:tcW w:w="586"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379"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T/In</w:t>
                  </w:r>
                </w:p>
              </w:tc>
              <w:tc>
                <w:tcPr>
                  <w:tcW w:w="396" w:type="pct"/>
                  <w:vAlign w:val="center"/>
                </w:tcPr>
                <w:p>
                  <w:pPr>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HW49</w:t>
                  </w:r>
                </w:p>
              </w:tc>
              <w:tc>
                <w:tcPr>
                  <w:tcW w:w="643" w:type="pct"/>
                  <w:vAlign w:val="center"/>
                </w:tcPr>
                <w:p>
                  <w:pPr>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900-041-49</w:t>
                  </w:r>
                </w:p>
              </w:tc>
              <w:tc>
                <w:tcPr>
                  <w:tcW w:w="475"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0.04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90"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6</w:t>
                  </w:r>
                </w:p>
              </w:tc>
              <w:tc>
                <w:tcPr>
                  <w:tcW w:w="536" w:type="pct"/>
                  <w:vAlign w:val="center"/>
                </w:tcPr>
                <w:p>
                  <w:pPr>
                    <w:pStyle w:val="5"/>
                    <w:ind w:firstLine="0"/>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污泥</w:t>
                  </w:r>
                </w:p>
              </w:tc>
              <w:tc>
                <w:tcPr>
                  <w:tcW w:w="305"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579" w:type="pct"/>
                  <w:vAlign w:val="center"/>
                </w:tcPr>
                <w:p>
                  <w:pPr>
                    <w:pStyle w:val="5"/>
                    <w:adjustRightInd w:val="0"/>
                    <w:snapToGrid w:val="0"/>
                    <w:ind w:firstLine="0"/>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污水处理</w:t>
                  </w:r>
                </w:p>
              </w:tc>
              <w:tc>
                <w:tcPr>
                  <w:tcW w:w="332" w:type="pct"/>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半固</w:t>
                  </w:r>
                </w:p>
              </w:tc>
              <w:tc>
                <w:tcPr>
                  <w:tcW w:w="573" w:type="pct"/>
                  <w:vAlign w:val="center"/>
                </w:tcPr>
                <w:p>
                  <w:pPr>
                    <w:adjustRightInd w:val="0"/>
                    <w:snapToGrid w:val="0"/>
                    <w:jc w:val="center"/>
                    <w:rPr>
                      <w:rFonts w:hint="default" w:ascii="Times New Roman" w:hAnsi="Times New Roman" w:eastAsia="宋体" w:cs="Times New Roman"/>
                      <w:color w:val="auto"/>
                      <w:lang w:val="en-US" w:eastAsia="zh-CN"/>
                    </w:rPr>
                  </w:pPr>
                  <w:r>
                    <w:rPr>
                      <w:rFonts w:hint="eastAsia" w:cs="Times New Roman"/>
                      <w:color w:val="auto"/>
                      <w:lang w:val="en-US" w:eastAsia="zh-CN"/>
                    </w:rPr>
                    <w:t>污泥</w:t>
                  </w:r>
                </w:p>
              </w:tc>
              <w:tc>
                <w:tcPr>
                  <w:tcW w:w="586"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379"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T/C</w:t>
                  </w:r>
                </w:p>
              </w:tc>
              <w:tc>
                <w:tcPr>
                  <w:tcW w:w="396" w:type="pct"/>
                  <w:vAlign w:val="center"/>
                </w:tcPr>
                <w:p>
                  <w:pPr>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HW17</w:t>
                  </w:r>
                </w:p>
              </w:tc>
              <w:tc>
                <w:tcPr>
                  <w:tcW w:w="643" w:type="pct"/>
                  <w:vAlign w:val="center"/>
                </w:tcPr>
                <w:p>
                  <w:pPr>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336-064-17</w:t>
                  </w:r>
                </w:p>
              </w:tc>
              <w:tc>
                <w:tcPr>
                  <w:tcW w:w="475"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90"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7</w:t>
                  </w:r>
                </w:p>
              </w:tc>
              <w:tc>
                <w:tcPr>
                  <w:tcW w:w="536" w:type="pct"/>
                  <w:vAlign w:val="center"/>
                </w:tcPr>
                <w:p>
                  <w:pPr>
                    <w:pStyle w:val="5"/>
                    <w:ind w:firstLine="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废包装桶</w:t>
                  </w:r>
                </w:p>
              </w:tc>
              <w:tc>
                <w:tcPr>
                  <w:tcW w:w="305"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579" w:type="pct"/>
                  <w:vAlign w:val="center"/>
                </w:tcPr>
                <w:p>
                  <w:pPr>
                    <w:pStyle w:val="5"/>
                    <w:adjustRightInd w:val="0"/>
                    <w:snapToGrid w:val="0"/>
                    <w:ind w:firstLine="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原料包装</w:t>
                  </w:r>
                </w:p>
              </w:tc>
              <w:tc>
                <w:tcPr>
                  <w:tcW w:w="332" w:type="pct"/>
                  <w:vAlign w:val="center"/>
                </w:tcPr>
                <w:p>
                  <w:pPr>
                    <w:adjustRightInd w:val="0"/>
                    <w:snapToGrid w:val="0"/>
                    <w:jc w:val="center"/>
                    <w:rPr>
                      <w:rFonts w:hint="default" w:cs="Times New Roman"/>
                      <w:color w:val="auto"/>
                      <w:szCs w:val="21"/>
                      <w:lang w:val="en-US" w:eastAsia="zh-CN"/>
                    </w:rPr>
                  </w:pPr>
                  <w:r>
                    <w:rPr>
                      <w:rFonts w:hint="eastAsia" w:cs="Times New Roman"/>
                      <w:color w:val="auto"/>
                      <w:szCs w:val="21"/>
                      <w:lang w:val="en-US" w:eastAsia="zh-CN"/>
                    </w:rPr>
                    <w:t>固态</w:t>
                  </w:r>
                </w:p>
              </w:tc>
              <w:tc>
                <w:tcPr>
                  <w:tcW w:w="573" w:type="pct"/>
                  <w:vAlign w:val="center"/>
                </w:tcPr>
                <w:p>
                  <w:pPr>
                    <w:adjustRightInd w:val="0"/>
                    <w:snapToGrid w:val="0"/>
                    <w:jc w:val="center"/>
                    <w:rPr>
                      <w:rFonts w:hint="default" w:cs="Times New Roman"/>
                      <w:color w:val="auto"/>
                      <w:lang w:val="en-US" w:eastAsia="zh-CN"/>
                    </w:rPr>
                  </w:pPr>
                  <w:r>
                    <w:rPr>
                      <w:rFonts w:hint="eastAsia" w:cs="Times New Roman"/>
                      <w:color w:val="auto"/>
                      <w:lang w:val="en-US" w:eastAsia="zh-CN"/>
                    </w:rPr>
                    <w:t>有机溶剂</w:t>
                  </w:r>
                </w:p>
              </w:tc>
              <w:tc>
                <w:tcPr>
                  <w:tcW w:w="586"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379" w:type="pct"/>
                  <w:vAlign w:val="center"/>
                </w:tcPr>
                <w:p>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T/In</w:t>
                  </w:r>
                </w:p>
              </w:tc>
              <w:tc>
                <w:tcPr>
                  <w:tcW w:w="396" w:type="pct"/>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HW49</w:t>
                  </w:r>
                </w:p>
              </w:tc>
              <w:tc>
                <w:tcPr>
                  <w:tcW w:w="643" w:type="pct"/>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900-041-49</w:t>
                  </w:r>
                </w:p>
              </w:tc>
              <w:tc>
                <w:tcPr>
                  <w:tcW w:w="475" w:type="pct"/>
                  <w:vAlign w:val="center"/>
                </w:tcPr>
                <w:p>
                  <w:pPr>
                    <w:adjustRightInd w:val="0"/>
                    <w:snapToGrid w:val="0"/>
                    <w:jc w:val="center"/>
                    <w:rPr>
                      <w:rFonts w:hint="default" w:cs="Times New Roman"/>
                      <w:color w:val="auto"/>
                      <w:szCs w:val="21"/>
                      <w:lang w:val="en-US" w:eastAsia="zh-CN"/>
                    </w:rPr>
                  </w:pPr>
                  <w:r>
                    <w:rPr>
                      <w:rFonts w:hint="eastAsia" w:cs="Times New Roman"/>
                      <w:color w:val="auto"/>
                      <w:szCs w:val="21"/>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90"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8</w:t>
                  </w:r>
                </w:p>
              </w:tc>
              <w:tc>
                <w:tcPr>
                  <w:tcW w:w="536" w:type="pct"/>
                  <w:vAlign w:val="center"/>
                </w:tcPr>
                <w:p>
                  <w:pPr>
                    <w:pStyle w:val="5"/>
                    <w:adjustRightInd w:val="0"/>
                    <w:snapToGrid w:val="0"/>
                    <w:ind w:firstLine="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废活性炭</w:t>
                  </w:r>
                </w:p>
              </w:tc>
              <w:tc>
                <w:tcPr>
                  <w:tcW w:w="305"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579" w:type="pct"/>
                  <w:vAlign w:val="center"/>
                </w:tcPr>
                <w:p>
                  <w:pPr>
                    <w:pStyle w:val="5"/>
                    <w:adjustRightInd w:val="0"/>
                    <w:snapToGrid w:val="0"/>
                    <w:ind w:firstLine="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废气处理</w:t>
                  </w:r>
                </w:p>
              </w:tc>
              <w:tc>
                <w:tcPr>
                  <w:tcW w:w="332"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固态</w:t>
                  </w:r>
                </w:p>
              </w:tc>
              <w:tc>
                <w:tcPr>
                  <w:tcW w:w="573" w:type="pct"/>
                  <w:vAlign w:val="center"/>
                </w:tcPr>
                <w:p>
                  <w:pPr>
                    <w:pStyle w:val="5"/>
                    <w:adjustRightInd w:val="0"/>
                    <w:snapToGrid w:val="0"/>
                    <w:ind w:firstLine="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有机物、活性炭</w:t>
                  </w:r>
                </w:p>
              </w:tc>
              <w:tc>
                <w:tcPr>
                  <w:tcW w:w="586" w:type="pct"/>
                  <w:vMerge w:val="continue"/>
                  <w:vAlign w:val="center"/>
                </w:tcPr>
                <w:p>
                  <w:pPr>
                    <w:adjustRightInd w:val="0"/>
                    <w:snapToGrid w:val="0"/>
                    <w:jc w:val="center"/>
                    <w:rPr>
                      <w:rFonts w:hint="default" w:ascii="Times New Roman" w:hAnsi="Times New Roman" w:eastAsia="宋体" w:cs="Times New Roman"/>
                      <w:color w:val="auto"/>
                      <w:szCs w:val="21"/>
                    </w:rPr>
                  </w:pPr>
                </w:p>
              </w:tc>
              <w:tc>
                <w:tcPr>
                  <w:tcW w:w="379"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T</w:t>
                  </w:r>
                </w:p>
              </w:tc>
              <w:tc>
                <w:tcPr>
                  <w:tcW w:w="396"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HW49</w:t>
                  </w:r>
                </w:p>
              </w:tc>
              <w:tc>
                <w:tcPr>
                  <w:tcW w:w="643"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900-039-49</w:t>
                  </w:r>
                </w:p>
              </w:tc>
              <w:tc>
                <w:tcPr>
                  <w:tcW w:w="475"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43.1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90"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9</w:t>
                  </w:r>
                </w:p>
              </w:tc>
              <w:tc>
                <w:tcPr>
                  <w:tcW w:w="841" w:type="pct"/>
                  <w:gridSpan w:val="2"/>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生活垃圾</w:t>
                  </w:r>
                </w:p>
              </w:tc>
              <w:tc>
                <w:tcPr>
                  <w:tcW w:w="579" w:type="pct"/>
                  <w:vAlign w:val="center"/>
                </w:tcPr>
                <w:p>
                  <w:pPr>
                    <w:pStyle w:val="5"/>
                    <w:adjustRightInd w:val="0"/>
                    <w:snapToGrid w:val="0"/>
                    <w:ind w:firstLine="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员工生活</w:t>
                  </w:r>
                </w:p>
              </w:tc>
              <w:tc>
                <w:tcPr>
                  <w:tcW w:w="332"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半固</w:t>
                  </w:r>
                </w:p>
              </w:tc>
              <w:tc>
                <w:tcPr>
                  <w:tcW w:w="573" w:type="pct"/>
                  <w:vAlign w:val="center"/>
                </w:tcPr>
                <w:p>
                  <w:pPr>
                    <w:pStyle w:val="5"/>
                    <w:adjustRightInd w:val="0"/>
                    <w:snapToGrid w:val="0"/>
                    <w:ind w:firstLine="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生活垃圾</w:t>
                  </w:r>
                </w:p>
              </w:tc>
              <w:tc>
                <w:tcPr>
                  <w:tcW w:w="586"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w:t>
                  </w:r>
                </w:p>
              </w:tc>
              <w:tc>
                <w:tcPr>
                  <w:tcW w:w="379"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w:t>
                  </w:r>
                </w:p>
              </w:tc>
              <w:tc>
                <w:tcPr>
                  <w:tcW w:w="396"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w:t>
                  </w:r>
                </w:p>
              </w:tc>
              <w:tc>
                <w:tcPr>
                  <w:tcW w:w="643"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w:t>
                  </w:r>
                </w:p>
              </w:tc>
              <w:tc>
                <w:tcPr>
                  <w:tcW w:w="475"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9</w:t>
                  </w:r>
                </w:p>
              </w:tc>
            </w:tr>
          </w:tbl>
          <w:p>
            <w:pPr>
              <w:adjustRightInd w:val="0"/>
              <w:snapToGrid w:val="0"/>
              <w:spacing w:line="360" w:lineRule="auto"/>
              <w:ind w:left="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（2）防治措施</w:t>
            </w:r>
          </w:p>
          <w:p>
            <w:pPr>
              <w:adjustRightInd w:val="0"/>
              <w:snapToGrid w:val="0"/>
              <w:spacing w:line="360" w:lineRule="auto"/>
              <w:ind w:firstLine="480" w:firstLineChars="200"/>
              <w:rPr>
                <w:rFonts w:hint="eastAsia"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危险固废：</w:t>
            </w:r>
            <w:r>
              <w:rPr>
                <w:rFonts w:hint="eastAsia" w:ascii="Times New Roman" w:hAnsi="Times New Roman" w:eastAsia="宋体" w:cs="Times New Roman"/>
                <w:color w:val="auto"/>
                <w:sz w:val="24"/>
                <w:lang w:val="en-US" w:eastAsia="zh-CN"/>
              </w:rPr>
              <w:t>陶化槽渣、废</w:t>
            </w:r>
            <w:r>
              <w:rPr>
                <w:rFonts w:hint="default" w:ascii="Times New Roman" w:hAnsi="Times New Roman" w:eastAsia="宋体" w:cs="Times New Roman"/>
                <w:color w:val="auto"/>
                <w:sz w:val="24"/>
                <w:lang w:val="en-US" w:eastAsia="zh-CN"/>
              </w:rPr>
              <w:t>漆渣、废过滤袋、废超滤膜、</w:t>
            </w:r>
            <w:r>
              <w:rPr>
                <w:rFonts w:hint="eastAsia" w:ascii="Times New Roman" w:hAnsi="Times New Roman" w:eastAsia="宋体" w:cs="Times New Roman"/>
                <w:color w:val="auto"/>
                <w:sz w:val="24"/>
                <w:lang w:val="en-US" w:eastAsia="zh-CN"/>
              </w:rPr>
              <w:t>污泥、废包装桶、</w:t>
            </w:r>
            <w:r>
              <w:rPr>
                <w:rFonts w:hint="default" w:ascii="Times New Roman" w:hAnsi="Times New Roman" w:eastAsia="宋体" w:cs="Times New Roman"/>
                <w:color w:val="auto"/>
                <w:sz w:val="24"/>
              </w:rPr>
              <w:t>废活性炭</w:t>
            </w:r>
            <w:r>
              <w:rPr>
                <w:rFonts w:hint="eastAsia" w:cs="Times New Roman"/>
                <w:color w:val="auto"/>
                <w:sz w:val="24"/>
                <w:lang w:val="en-US" w:eastAsia="zh-CN"/>
              </w:rPr>
              <w:t>收集后暂存于危废仓库，定期</w:t>
            </w:r>
            <w:r>
              <w:rPr>
                <w:rFonts w:hint="default" w:ascii="Times New Roman" w:hAnsi="Times New Roman" w:eastAsia="宋体" w:cs="Times New Roman"/>
                <w:color w:val="auto"/>
                <w:sz w:val="24"/>
              </w:rPr>
              <w:t>委托有资质单位处理</w:t>
            </w:r>
            <w:r>
              <w:rPr>
                <w:rFonts w:hint="eastAsia" w:cs="Times New Roman"/>
                <w:color w:val="auto"/>
                <w:sz w:val="24"/>
                <w:lang w:eastAsia="zh-CN"/>
              </w:rPr>
              <w:t>；</w:t>
            </w:r>
            <w:r>
              <w:rPr>
                <w:rFonts w:hint="eastAsia" w:cs="Times New Roman"/>
                <w:color w:val="auto"/>
                <w:sz w:val="24"/>
                <w:lang w:val="en-US" w:eastAsia="zh-CN"/>
              </w:rPr>
              <w:t>陶化废液暂存于陶化槽，定期委托</w:t>
            </w:r>
            <w:r>
              <w:rPr>
                <w:rFonts w:hint="default" w:ascii="Times New Roman" w:hAnsi="Times New Roman" w:eastAsia="宋体" w:cs="Times New Roman"/>
                <w:color w:val="auto"/>
                <w:sz w:val="24"/>
              </w:rPr>
              <w:t>有资质单位处理</w:t>
            </w:r>
            <w:r>
              <w:rPr>
                <w:rFonts w:hint="eastAsia" w:cs="Times New Roman"/>
                <w:color w:val="auto"/>
                <w:sz w:val="24"/>
                <w:lang w:eastAsia="zh-CN"/>
              </w:rPr>
              <w:t>。</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本项目新建一个危废仓库（</w:t>
            </w:r>
            <w:r>
              <w:rPr>
                <w:rFonts w:hint="eastAsia" w:cs="Times New Roman"/>
                <w:color w:val="auto"/>
                <w:sz w:val="24"/>
                <w:lang w:val="en-US" w:eastAsia="zh-CN"/>
              </w:rPr>
              <w:t>3</w:t>
            </w:r>
            <w:r>
              <w:rPr>
                <w:rFonts w:hint="default" w:ascii="Times New Roman" w:hAnsi="Times New Roman" w:eastAsia="宋体" w:cs="Times New Roman"/>
                <w:color w:val="auto"/>
                <w:sz w:val="24"/>
                <w:lang w:val="en-US" w:eastAsia="zh-CN"/>
              </w:rPr>
              <w:t>0</w:t>
            </w:r>
            <w:r>
              <w:rPr>
                <w:rFonts w:hint="default" w:ascii="Times New Roman" w:hAnsi="Times New Roman" w:eastAsia="宋体" w:cs="Times New Roman"/>
                <w:color w:val="auto"/>
                <w:sz w:val="24"/>
              </w:rPr>
              <w:t>m</w:t>
            </w:r>
            <w:r>
              <w:rPr>
                <w:rFonts w:hint="default" w:ascii="Times New Roman" w:hAnsi="Times New Roman" w:eastAsia="宋体" w:cs="Times New Roman"/>
                <w:color w:val="auto"/>
                <w:sz w:val="24"/>
                <w:vertAlign w:val="superscript"/>
              </w:rPr>
              <w:t>2</w:t>
            </w:r>
            <w:r>
              <w:rPr>
                <w:rFonts w:hint="default" w:ascii="Times New Roman" w:hAnsi="Times New Roman" w:eastAsia="宋体" w:cs="Times New Roman"/>
                <w:color w:val="auto"/>
                <w:sz w:val="24"/>
              </w:rPr>
              <w:t>），位于厂区南侧，危废仓库做到防渗漏措施，并设置标示牌。具体采取的措施如下：</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（一）废物贮存设施必须按《环境保护图形标志（GB15562-1995）》的规定设置警示标志；</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（二）废物贮存设施周围应设置围墙或其它防护栅栏；</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（三）废物贮存设施应配备通讯设备、照明设施、安全防护服装及工具，并设有应急防护设施；</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（四）废物贮存设施内清理出来的泄漏物，一律按危险废物处理；</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（五）危废暂存场地面与裙脚要用坚固、防渗的材料建造，建筑材料必须与危险废物相容；</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（六）基础防渗层为粘土层的，其厚度应在1米以上，渗透系数应小于1.0×10</w:t>
            </w:r>
            <w:r>
              <w:rPr>
                <w:rFonts w:hint="default" w:ascii="Times New Roman" w:hAnsi="Times New Roman" w:eastAsia="宋体" w:cs="Times New Roman"/>
                <w:color w:val="auto"/>
                <w:sz w:val="24"/>
                <w:vertAlign w:val="superscript"/>
              </w:rPr>
              <w:t>-7</w:t>
            </w:r>
            <w:r>
              <w:rPr>
                <w:rFonts w:hint="default" w:ascii="Times New Roman" w:hAnsi="Times New Roman" w:eastAsia="宋体" w:cs="Times New Roman"/>
                <w:color w:val="auto"/>
                <w:sz w:val="24"/>
              </w:rPr>
              <w:t>厘米/秒；基础防渗层也可用厚度在2毫米以上的高密度聚乙烯或其他人工防渗材料组成，渗透系数应小于1.0×10</w:t>
            </w:r>
            <w:r>
              <w:rPr>
                <w:rFonts w:hint="default" w:ascii="Times New Roman" w:hAnsi="Times New Roman" w:eastAsia="宋体" w:cs="Times New Roman"/>
                <w:color w:val="auto"/>
                <w:sz w:val="24"/>
                <w:vertAlign w:val="superscript"/>
              </w:rPr>
              <w:t>-10</w:t>
            </w:r>
            <w:r>
              <w:rPr>
                <w:rFonts w:hint="default" w:ascii="Times New Roman" w:hAnsi="Times New Roman" w:eastAsia="宋体" w:cs="Times New Roman"/>
                <w:color w:val="auto"/>
                <w:sz w:val="24"/>
              </w:rPr>
              <w:t>厘米/秒。</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（3）危废暂存分析</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产生的废物应分类收集、分类贮存，并张贴标签储存在专门的场所内，一般固废、生活垃圾、危险废物分开，不得混放。危废定期周转，危废堆场按照《危险废物贮存污染控制标准》(GB18597-2001)及标准修改单（环保局公告2013年36号，2013年6月8日）规范要求设置，设有防渗漏、防雨淋、防扬散措施，并设置危险废物标识和警示牌。各堆场场所按照《环境保护图形标志-固体废物贮存（处置场）》设置标示牌。</w:t>
            </w:r>
          </w:p>
          <w:p>
            <w:pPr>
              <w:spacing w:line="360" w:lineRule="auto"/>
              <w:ind w:firstLine="480" w:firstLineChars="200"/>
              <w:rPr>
                <w:rFonts w:hint="default" w:ascii="Times New Roman" w:hAnsi="Times New Roman" w:eastAsia="宋体" w:cs="Times New Roman"/>
                <w:color w:val="auto"/>
              </w:rPr>
            </w:pPr>
            <w:r>
              <w:rPr>
                <w:rFonts w:hint="default" w:ascii="Times New Roman" w:hAnsi="Times New Roman" w:eastAsia="宋体" w:cs="Times New Roman"/>
                <w:color w:val="auto"/>
                <w:sz w:val="24"/>
              </w:rPr>
              <w:t>危废仓库位于厂区南侧，面积为</w:t>
            </w:r>
            <w:r>
              <w:rPr>
                <w:rFonts w:hint="eastAsia" w:cs="Times New Roman"/>
                <w:color w:val="auto"/>
                <w:sz w:val="24"/>
                <w:lang w:val="en-US" w:eastAsia="zh-CN"/>
              </w:rPr>
              <w:t>3</w:t>
            </w:r>
            <w:r>
              <w:rPr>
                <w:rFonts w:hint="default" w:ascii="Times New Roman" w:hAnsi="Times New Roman" w:eastAsia="宋体" w:cs="Times New Roman"/>
                <w:color w:val="auto"/>
                <w:sz w:val="24"/>
                <w:lang w:val="en-US" w:eastAsia="zh-CN"/>
              </w:rPr>
              <w:t>0</w:t>
            </w:r>
            <w:r>
              <w:rPr>
                <w:rFonts w:hint="default" w:ascii="Times New Roman" w:hAnsi="Times New Roman" w:eastAsia="宋体" w:cs="Times New Roman"/>
                <w:color w:val="auto"/>
                <w:sz w:val="24"/>
              </w:rPr>
              <w:t>m</w:t>
            </w:r>
            <w:r>
              <w:rPr>
                <w:rFonts w:hint="default" w:ascii="Times New Roman" w:hAnsi="Times New Roman" w:eastAsia="宋体" w:cs="Times New Roman"/>
                <w:color w:val="auto"/>
                <w:sz w:val="24"/>
                <w:vertAlign w:val="superscript"/>
              </w:rPr>
              <w:t>2</w:t>
            </w:r>
            <w:r>
              <w:rPr>
                <w:rFonts w:hint="default" w:ascii="Times New Roman" w:hAnsi="Times New Roman" w:eastAsia="宋体" w:cs="Times New Roman"/>
                <w:color w:val="auto"/>
                <w:sz w:val="24"/>
              </w:rPr>
              <w:t>。地面进行防渗防腐处理。本项目的危险废物贮存场选址可行，贮存能力可满足要求，各危废都得到妥善处理，经安全收集、妥善处理，对外环境影响较小，对周围环境不产生二次影响。</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根据《建设项目危险废物环境影响评价指南》</w:t>
            </w:r>
            <w:r>
              <w:rPr>
                <w:rFonts w:hint="default" w:ascii="Times New Roman" w:hAnsi="Times New Roman" w:eastAsia="宋体" w:cs="Times New Roman"/>
                <w:bCs/>
                <w:color w:val="auto"/>
                <w:sz w:val="24"/>
              </w:rPr>
              <w:t>（公告2017年第43号）</w:t>
            </w:r>
            <w:r>
              <w:rPr>
                <w:rFonts w:hint="default" w:ascii="Times New Roman" w:hAnsi="Times New Roman" w:eastAsia="宋体" w:cs="Times New Roman"/>
                <w:color w:val="auto"/>
                <w:sz w:val="24"/>
              </w:rPr>
              <w:t>要求，项目危险废物贮存场所基本情况详见下表。</w:t>
            </w:r>
          </w:p>
          <w:p>
            <w:pPr>
              <w:adjustRightInd w:val="0"/>
              <w:snapToGrid w:val="0"/>
              <w:jc w:val="center"/>
              <w:rPr>
                <w:rFonts w:hint="default" w:ascii="Times New Roman" w:hAnsi="Times New Roman" w:eastAsia="宋体" w:cs="Times New Roman"/>
                <w:b/>
                <w:color w:val="auto"/>
                <w:sz w:val="24"/>
              </w:rPr>
            </w:pPr>
          </w:p>
          <w:p>
            <w:pPr>
              <w:adjustRightInd w:val="0"/>
              <w:snapToGrid w:val="0"/>
              <w:jc w:val="center"/>
              <w:rPr>
                <w:rFonts w:hint="default" w:ascii="Times New Roman" w:hAnsi="Times New Roman" w:eastAsia="宋体" w:cs="Times New Roman"/>
                <w:b/>
                <w:color w:val="auto"/>
                <w:sz w:val="24"/>
              </w:rPr>
            </w:pPr>
          </w:p>
          <w:p>
            <w:pPr>
              <w:adjustRightInd w:val="0"/>
              <w:snapToGrid w:val="0"/>
              <w:jc w:val="center"/>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表4-</w:t>
            </w:r>
            <w:r>
              <w:rPr>
                <w:rFonts w:hint="default" w:ascii="Times New Roman" w:hAnsi="Times New Roman" w:eastAsia="宋体" w:cs="Times New Roman"/>
                <w:b/>
                <w:color w:val="auto"/>
                <w:sz w:val="24"/>
                <w:lang w:val="en-US" w:eastAsia="zh-CN"/>
              </w:rPr>
              <w:t>2</w:t>
            </w:r>
            <w:r>
              <w:rPr>
                <w:rFonts w:hint="eastAsia" w:cs="Times New Roman"/>
                <w:b/>
                <w:color w:val="auto"/>
                <w:sz w:val="24"/>
                <w:lang w:val="en-US" w:eastAsia="zh-CN"/>
              </w:rPr>
              <w:t>3</w:t>
            </w:r>
            <w:r>
              <w:rPr>
                <w:rFonts w:hint="default" w:ascii="Times New Roman" w:hAnsi="Times New Roman" w:eastAsia="宋体" w:cs="Times New Roman"/>
                <w:b/>
                <w:color w:val="auto"/>
                <w:sz w:val="24"/>
              </w:rPr>
              <w:t xml:space="preserve"> 危废仓库现状情况表</w:t>
            </w:r>
          </w:p>
          <w:tbl>
            <w:tblPr>
              <w:tblStyle w:val="22"/>
              <w:tblW w:w="4994"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26"/>
              <w:gridCol w:w="693"/>
              <w:gridCol w:w="1166"/>
              <w:gridCol w:w="707"/>
              <w:gridCol w:w="1056"/>
              <w:gridCol w:w="1181"/>
              <w:gridCol w:w="522"/>
              <w:gridCol w:w="766"/>
              <w:gridCol w:w="740"/>
              <w:gridCol w:w="97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259" w:type="pct"/>
                  <w:tcBorders>
                    <w:top w:val="single" w:color="auto" w:sz="12" w:space="0"/>
                  </w:tcBorders>
                  <w:vAlign w:val="center"/>
                </w:tcPr>
                <w:p>
                  <w:pPr>
                    <w:adjustRightInd w:val="0"/>
                    <w:snapToGrid w:val="0"/>
                    <w:ind w:left="-63" w:leftChars="-30" w:right="-63" w:rightChars="-3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序号</w:t>
                  </w:r>
                </w:p>
              </w:tc>
              <w:tc>
                <w:tcPr>
                  <w:tcW w:w="420" w:type="pct"/>
                  <w:tcBorders>
                    <w:top w:val="single" w:color="auto" w:sz="12" w:space="0"/>
                    <w:bottom w:val="single" w:color="auto" w:sz="2" w:space="0"/>
                  </w:tcBorders>
                  <w:vAlign w:val="center"/>
                </w:tcPr>
                <w:p>
                  <w:pPr>
                    <w:adjustRightInd w:val="0"/>
                    <w:snapToGrid w:val="0"/>
                    <w:ind w:left="-63" w:leftChars="-30" w:right="-63" w:rightChars="-3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贮存场所（设施）名称</w:t>
                  </w:r>
                </w:p>
              </w:tc>
              <w:tc>
                <w:tcPr>
                  <w:tcW w:w="707" w:type="pct"/>
                  <w:tcBorders>
                    <w:top w:val="single" w:color="auto" w:sz="12" w:space="0"/>
                    <w:bottom w:val="single" w:color="auto" w:sz="2" w:space="0"/>
                  </w:tcBorders>
                  <w:vAlign w:val="center"/>
                </w:tcPr>
                <w:p>
                  <w:pPr>
                    <w:adjustRightInd w:val="0"/>
                    <w:snapToGrid w:val="0"/>
                    <w:ind w:left="-63" w:leftChars="-30" w:right="-63" w:rightChars="-3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危险废物名称</w:t>
                  </w:r>
                </w:p>
              </w:tc>
              <w:tc>
                <w:tcPr>
                  <w:tcW w:w="429" w:type="pct"/>
                  <w:tcBorders>
                    <w:top w:val="single" w:color="auto" w:sz="12" w:space="0"/>
                  </w:tcBorders>
                  <w:vAlign w:val="center"/>
                </w:tcPr>
                <w:p>
                  <w:pPr>
                    <w:adjustRightInd w:val="0"/>
                    <w:snapToGrid w:val="0"/>
                    <w:ind w:left="-63" w:leftChars="-30" w:right="-63" w:rightChars="-3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最大储存量/t</w:t>
                  </w:r>
                </w:p>
              </w:tc>
              <w:tc>
                <w:tcPr>
                  <w:tcW w:w="640" w:type="pct"/>
                  <w:tcBorders>
                    <w:top w:val="single" w:color="auto" w:sz="12" w:space="0"/>
                  </w:tcBorders>
                  <w:vAlign w:val="center"/>
                </w:tcPr>
                <w:p>
                  <w:pPr>
                    <w:adjustRightInd w:val="0"/>
                    <w:snapToGrid w:val="0"/>
                    <w:ind w:left="-63" w:leftChars="-30" w:right="-63" w:rightChars="-3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单位重量</w:t>
                  </w:r>
                </w:p>
              </w:tc>
              <w:tc>
                <w:tcPr>
                  <w:tcW w:w="716" w:type="pct"/>
                  <w:tcBorders>
                    <w:top w:val="single" w:color="auto" w:sz="12" w:space="0"/>
                  </w:tcBorders>
                  <w:vAlign w:val="center"/>
                </w:tcPr>
                <w:p>
                  <w:pPr>
                    <w:adjustRightInd w:val="0"/>
                    <w:snapToGrid w:val="0"/>
                    <w:ind w:left="-63" w:leftChars="-30" w:right="-63" w:rightChars="-3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单位占地面积</w:t>
                  </w:r>
                </w:p>
              </w:tc>
              <w:tc>
                <w:tcPr>
                  <w:tcW w:w="317" w:type="pct"/>
                  <w:tcBorders>
                    <w:top w:val="single" w:color="auto" w:sz="12" w:space="0"/>
                  </w:tcBorders>
                  <w:vAlign w:val="center"/>
                </w:tcPr>
                <w:p>
                  <w:pPr>
                    <w:adjustRightInd w:val="0"/>
                    <w:snapToGrid w:val="0"/>
                    <w:ind w:left="-63" w:leftChars="-30" w:right="-63" w:rightChars="-3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堆放层数</w:t>
                  </w:r>
                </w:p>
              </w:tc>
              <w:tc>
                <w:tcPr>
                  <w:tcW w:w="464" w:type="pct"/>
                  <w:tcBorders>
                    <w:top w:val="single" w:color="auto" w:sz="12" w:space="0"/>
                  </w:tcBorders>
                  <w:vAlign w:val="center"/>
                </w:tcPr>
                <w:p>
                  <w:pPr>
                    <w:adjustRightInd w:val="0"/>
                    <w:snapToGrid w:val="0"/>
                    <w:ind w:left="-63" w:leftChars="-30" w:right="-63" w:rightChars="-3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所需占地面积/m</w:t>
                  </w:r>
                  <w:r>
                    <w:rPr>
                      <w:rFonts w:hint="default" w:ascii="Times New Roman" w:hAnsi="Times New Roman" w:eastAsia="宋体" w:cs="Times New Roman"/>
                      <w:b/>
                      <w:color w:val="auto"/>
                      <w:szCs w:val="21"/>
                      <w:vertAlign w:val="superscript"/>
                    </w:rPr>
                    <w:t>2</w:t>
                  </w:r>
                </w:p>
              </w:tc>
              <w:tc>
                <w:tcPr>
                  <w:tcW w:w="449" w:type="pct"/>
                  <w:tcBorders>
                    <w:top w:val="single" w:color="auto" w:sz="12" w:space="0"/>
                    <w:bottom w:val="single" w:color="auto" w:sz="2" w:space="0"/>
                  </w:tcBorders>
                  <w:vAlign w:val="center"/>
                </w:tcPr>
                <w:p>
                  <w:pPr>
                    <w:adjustRightInd w:val="0"/>
                    <w:snapToGrid w:val="0"/>
                    <w:ind w:left="-63" w:leftChars="-30" w:right="-63" w:rightChars="-3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危废暂存所需总面积/m</w:t>
                  </w:r>
                  <w:r>
                    <w:rPr>
                      <w:rFonts w:hint="default" w:ascii="Times New Roman" w:hAnsi="Times New Roman" w:eastAsia="宋体" w:cs="Times New Roman"/>
                      <w:b/>
                      <w:color w:val="auto"/>
                      <w:szCs w:val="21"/>
                      <w:vertAlign w:val="superscript"/>
                    </w:rPr>
                    <w:t>2</w:t>
                  </w:r>
                </w:p>
              </w:tc>
              <w:tc>
                <w:tcPr>
                  <w:tcW w:w="593" w:type="pct"/>
                  <w:tcBorders>
                    <w:top w:val="single" w:color="auto" w:sz="12" w:space="0"/>
                  </w:tcBorders>
                  <w:vAlign w:val="center"/>
                </w:tcPr>
                <w:p>
                  <w:pPr>
                    <w:adjustRightInd w:val="0"/>
                    <w:snapToGrid w:val="0"/>
                    <w:ind w:left="-63" w:leftChars="-30" w:right="-63" w:rightChars="-3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周转周期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9" w:type="pct"/>
                  <w:vAlign w:val="center"/>
                </w:tcPr>
                <w:p>
                  <w:pPr>
                    <w:adjustRightInd w:val="0"/>
                    <w:snapToGrid w:val="0"/>
                    <w:ind w:left="-63" w:leftChars="-30" w:right="-63" w:rightChars="-30"/>
                    <w:jc w:val="center"/>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1</w:t>
                  </w:r>
                </w:p>
              </w:tc>
              <w:tc>
                <w:tcPr>
                  <w:tcW w:w="420" w:type="pct"/>
                  <w:vMerge w:val="restart"/>
                  <w:tcBorders>
                    <w:top w:val="single" w:color="auto" w:sz="2" w:space="0"/>
                  </w:tcBorders>
                  <w:vAlign w:val="center"/>
                </w:tcPr>
                <w:p>
                  <w:pPr>
                    <w:pStyle w:val="5"/>
                    <w:adjustRightInd w:val="0"/>
                    <w:snapToGrid w:val="0"/>
                    <w:ind w:firstLine="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危废仓库</w:t>
                  </w:r>
                </w:p>
              </w:tc>
              <w:tc>
                <w:tcPr>
                  <w:tcW w:w="707" w:type="pct"/>
                  <w:tcBorders>
                    <w:top w:val="single" w:color="auto" w:sz="2" w:space="0"/>
                    <w:bottom w:val="single" w:color="auto" w:sz="2" w:space="0"/>
                  </w:tcBorders>
                  <w:vAlign w:val="center"/>
                </w:tcPr>
                <w:p>
                  <w:pPr>
                    <w:pStyle w:val="5"/>
                    <w:ind w:firstLine="0" w:firstLineChars="0"/>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陶化槽渣</w:t>
                  </w:r>
                </w:p>
              </w:tc>
              <w:tc>
                <w:tcPr>
                  <w:tcW w:w="429"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0.5</w:t>
                  </w:r>
                </w:p>
              </w:tc>
              <w:tc>
                <w:tcPr>
                  <w:tcW w:w="640" w:type="pct"/>
                  <w:vAlign w:val="center"/>
                </w:tcPr>
                <w:p>
                  <w:pPr>
                    <w:adjustRightInd w:val="0"/>
                    <w:snapToGrid w:val="0"/>
                    <w:ind w:left="-63" w:leftChars="-30" w:right="-63" w:rightChars="-3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0.5吨/袋</w:t>
                  </w:r>
                </w:p>
              </w:tc>
              <w:tc>
                <w:tcPr>
                  <w:tcW w:w="716" w:type="pct"/>
                  <w:vAlign w:val="center"/>
                </w:tcPr>
                <w:p>
                  <w:pPr>
                    <w:adjustRightInd w:val="0"/>
                    <w:snapToGrid w:val="0"/>
                    <w:ind w:left="-63" w:leftChars="-30" w:right="-63" w:rightChars="-3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0.3</w:t>
                  </w:r>
                  <w:r>
                    <w:rPr>
                      <w:rFonts w:hint="default" w:ascii="Times New Roman" w:hAnsi="Times New Roman" w:eastAsia="宋体" w:cs="Times New Roman"/>
                      <w:color w:val="auto"/>
                      <w:szCs w:val="21"/>
                    </w:rPr>
                    <w:t>m</w:t>
                  </w:r>
                  <w:r>
                    <w:rPr>
                      <w:rFonts w:hint="default" w:ascii="Times New Roman" w:hAnsi="Times New Roman" w:eastAsia="宋体" w:cs="Times New Roman"/>
                      <w:color w:val="auto"/>
                      <w:szCs w:val="21"/>
                      <w:vertAlign w:val="superscript"/>
                    </w:rPr>
                    <w:t>2</w:t>
                  </w:r>
                  <w:r>
                    <w:rPr>
                      <w:rFonts w:hint="default" w:ascii="Times New Roman" w:hAnsi="Times New Roman" w:eastAsia="宋体" w:cs="Times New Roman"/>
                      <w:color w:val="auto"/>
                      <w:szCs w:val="21"/>
                    </w:rPr>
                    <w:t>/</w:t>
                  </w:r>
                  <w:r>
                    <w:rPr>
                      <w:rFonts w:hint="default" w:ascii="Times New Roman" w:hAnsi="Times New Roman" w:eastAsia="宋体" w:cs="Times New Roman"/>
                      <w:color w:val="auto"/>
                      <w:szCs w:val="21"/>
                      <w:lang w:val="en-US" w:eastAsia="zh-CN"/>
                    </w:rPr>
                    <w:t>袋</w:t>
                  </w:r>
                </w:p>
              </w:tc>
              <w:tc>
                <w:tcPr>
                  <w:tcW w:w="317" w:type="pct"/>
                  <w:vAlign w:val="center"/>
                </w:tcPr>
                <w:p>
                  <w:pPr>
                    <w:adjustRightInd w:val="0"/>
                    <w:snapToGrid w:val="0"/>
                    <w:ind w:left="-63" w:leftChars="-30" w:right="-63" w:rightChars="-3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w:t>
                  </w:r>
                </w:p>
              </w:tc>
              <w:tc>
                <w:tcPr>
                  <w:tcW w:w="464" w:type="pct"/>
                  <w:vAlign w:val="center"/>
                </w:tcPr>
                <w:p>
                  <w:pPr>
                    <w:adjustRightInd w:val="0"/>
                    <w:snapToGrid w:val="0"/>
                    <w:ind w:left="-63" w:leftChars="-30" w:right="-63" w:rightChars="-3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0.3</w:t>
                  </w:r>
                </w:p>
              </w:tc>
              <w:tc>
                <w:tcPr>
                  <w:tcW w:w="449" w:type="pct"/>
                  <w:vMerge w:val="restart"/>
                  <w:tcBorders>
                    <w:top w:val="single" w:color="auto" w:sz="2" w:space="0"/>
                  </w:tcBorders>
                  <w:vAlign w:val="center"/>
                </w:tcPr>
                <w:p>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29.25</w:t>
                  </w:r>
                </w:p>
              </w:tc>
              <w:tc>
                <w:tcPr>
                  <w:tcW w:w="593"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1次/年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9" w:type="pct"/>
                  <w:vAlign w:val="center"/>
                </w:tcPr>
                <w:p>
                  <w:pPr>
                    <w:adjustRightInd w:val="0"/>
                    <w:snapToGrid w:val="0"/>
                    <w:ind w:left="-63" w:leftChars="-30" w:right="-63" w:rightChars="-30"/>
                    <w:jc w:val="center"/>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2</w:t>
                  </w:r>
                </w:p>
              </w:tc>
              <w:tc>
                <w:tcPr>
                  <w:tcW w:w="420" w:type="pct"/>
                  <w:vMerge w:val="continue"/>
                  <w:vAlign w:val="center"/>
                </w:tcPr>
                <w:p>
                  <w:pPr>
                    <w:pStyle w:val="5"/>
                    <w:adjustRightInd w:val="0"/>
                    <w:snapToGrid w:val="0"/>
                    <w:ind w:firstLine="0"/>
                    <w:jc w:val="center"/>
                    <w:rPr>
                      <w:rFonts w:hint="default" w:ascii="Times New Roman" w:hAnsi="Times New Roman" w:eastAsia="宋体" w:cs="Times New Roman"/>
                      <w:color w:val="auto"/>
                      <w:szCs w:val="21"/>
                    </w:rPr>
                  </w:pPr>
                </w:p>
              </w:tc>
              <w:tc>
                <w:tcPr>
                  <w:tcW w:w="707" w:type="pct"/>
                  <w:tcBorders>
                    <w:top w:val="single" w:color="auto" w:sz="2" w:space="0"/>
                    <w:bottom w:val="single" w:color="auto" w:sz="2" w:space="0"/>
                  </w:tcBorders>
                  <w:vAlign w:val="center"/>
                </w:tcPr>
                <w:p>
                  <w:pPr>
                    <w:pStyle w:val="5"/>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废</w:t>
                  </w:r>
                  <w:r>
                    <w:rPr>
                      <w:rFonts w:hint="default" w:ascii="Times New Roman" w:hAnsi="Times New Roman" w:eastAsia="宋体" w:cs="Times New Roman"/>
                      <w:color w:val="auto"/>
                      <w:szCs w:val="21"/>
                      <w:lang w:val="en-US" w:eastAsia="zh-CN"/>
                    </w:rPr>
                    <w:t>漆渣</w:t>
                  </w:r>
                </w:p>
              </w:tc>
              <w:tc>
                <w:tcPr>
                  <w:tcW w:w="429"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1</w:t>
                  </w:r>
                </w:p>
              </w:tc>
              <w:tc>
                <w:tcPr>
                  <w:tcW w:w="640" w:type="pct"/>
                  <w:vAlign w:val="center"/>
                </w:tcPr>
                <w:p>
                  <w:pPr>
                    <w:adjustRightInd w:val="0"/>
                    <w:snapToGrid w:val="0"/>
                    <w:ind w:left="-63" w:leftChars="-30" w:right="-63" w:rightChars="-3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0.04</w:t>
                  </w:r>
                  <w:r>
                    <w:rPr>
                      <w:rFonts w:hint="default" w:ascii="Times New Roman" w:hAnsi="Times New Roman" w:eastAsia="宋体" w:cs="Times New Roman"/>
                      <w:color w:val="auto"/>
                      <w:szCs w:val="21"/>
                    </w:rPr>
                    <w:t>吨</w:t>
                  </w:r>
                  <w:r>
                    <w:rPr>
                      <w:rFonts w:hint="default" w:ascii="Times New Roman" w:hAnsi="Times New Roman" w:eastAsia="宋体" w:cs="Times New Roman"/>
                      <w:color w:val="auto"/>
                      <w:szCs w:val="21"/>
                      <w:lang w:val="en-US" w:eastAsia="zh-CN"/>
                    </w:rPr>
                    <w:t>/袋</w:t>
                  </w:r>
                </w:p>
              </w:tc>
              <w:tc>
                <w:tcPr>
                  <w:tcW w:w="716" w:type="pct"/>
                  <w:vAlign w:val="center"/>
                </w:tcPr>
                <w:p>
                  <w:pPr>
                    <w:adjustRightInd w:val="0"/>
                    <w:snapToGrid w:val="0"/>
                    <w:ind w:left="-63" w:leftChars="-30" w:right="-63" w:rightChars="-3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0.3</w:t>
                  </w:r>
                  <w:r>
                    <w:rPr>
                      <w:rFonts w:hint="default" w:ascii="Times New Roman" w:hAnsi="Times New Roman" w:eastAsia="宋体" w:cs="Times New Roman"/>
                      <w:color w:val="auto"/>
                      <w:szCs w:val="21"/>
                    </w:rPr>
                    <w:t>m</w:t>
                  </w:r>
                  <w:r>
                    <w:rPr>
                      <w:rFonts w:hint="default" w:ascii="Times New Roman" w:hAnsi="Times New Roman" w:eastAsia="宋体" w:cs="Times New Roman"/>
                      <w:color w:val="auto"/>
                      <w:szCs w:val="21"/>
                      <w:vertAlign w:val="superscript"/>
                    </w:rPr>
                    <w:t>2</w:t>
                  </w:r>
                  <w:r>
                    <w:rPr>
                      <w:rFonts w:hint="default" w:ascii="Times New Roman" w:hAnsi="Times New Roman" w:eastAsia="宋体" w:cs="Times New Roman"/>
                      <w:color w:val="auto"/>
                      <w:szCs w:val="21"/>
                    </w:rPr>
                    <w:t>/</w:t>
                  </w:r>
                  <w:r>
                    <w:rPr>
                      <w:rFonts w:hint="default" w:ascii="Times New Roman" w:hAnsi="Times New Roman" w:eastAsia="宋体" w:cs="Times New Roman"/>
                      <w:color w:val="auto"/>
                      <w:szCs w:val="21"/>
                      <w:lang w:val="en-US" w:eastAsia="zh-CN"/>
                    </w:rPr>
                    <w:t>袋</w:t>
                  </w:r>
                </w:p>
              </w:tc>
              <w:tc>
                <w:tcPr>
                  <w:tcW w:w="317" w:type="pct"/>
                  <w:vAlign w:val="center"/>
                </w:tcPr>
                <w:p>
                  <w:pPr>
                    <w:adjustRightInd w:val="0"/>
                    <w:snapToGrid w:val="0"/>
                    <w:ind w:left="-63" w:leftChars="-30" w:right="-63" w:rightChars="-3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2</w:t>
                  </w:r>
                </w:p>
              </w:tc>
              <w:tc>
                <w:tcPr>
                  <w:tcW w:w="464" w:type="pct"/>
                  <w:vAlign w:val="center"/>
                </w:tcPr>
                <w:p>
                  <w:pPr>
                    <w:adjustRightInd w:val="0"/>
                    <w:snapToGrid w:val="0"/>
                    <w:ind w:left="-63" w:leftChars="-30" w:right="-63" w:rightChars="-3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3.75</w:t>
                  </w:r>
                </w:p>
              </w:tc>
              <w:tc>
                <w:tcPr>
                  <w:tcW w:w="449" w:type="pct"/>
                  <w:vMerge w:val="continue"/>
                  <w:vAlign w:val="center"/>
                </w:tcPr>
                <w:p>
                  <w:pPr>
                    <w:jc w:val="center"/>
                    <w:rPr>
                      <w:rFonts w:hint="default" w:ascii="Times New Roman" w:hAnsi="Times New Roman" w:eastAsia="宋体" w:cs="Times New Roman"/>
                      <w:color w:val="auto"/>
                      <w:kern w:val="2"/>
                      <w:sz w:val="21"/>
                      <w:szCs w:val="21"/>
                      <w:highlight w:val="yellow"/>
                      <w:lang w:val="en-US" w:eastAsia="zh-CN" w:bidi="ar-SA"/>
                    </w:rPr>
                  </w:pPr>
                </w:p>
              </w:tc>
              <w:tc>
                <w:tcPr>
                  <w:tcW w:w="593" w:type="pct"/>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1次/年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9" w:type="pct"/>
                  <w:vAlign w:val="center"/>
                </w:tcPr>
                <w:p>
                  <w:pPr>
                    <w:adjustRightInd w:val="0"/>
                    <w:snapToGrid w:val="0"/>
                    <w:ind w:left="-63" w:leftChars="-30" w:right="-63" w:rightChars="-30"/>
                    <w:jc w:val="center"/>
                    <w:rPr>
                      <w:rFonts w:hint="eastAsia" w:ascii="Times New Roman" w:hAnsi="Times New Roman" w:eastAsia="宋体" w:cs="Times New Roman"/>
                      <w:color w:val="auto"/>
                      <w:szCs w:val="21"/>
                      <w:lang w:eastAsia="zh-CN"/>
                    </w:rPr>
                  </w:pPr>
                  <w:r>
                    <w:rPr>
                      <w:rFonts w:hint="eastAsia" w:cs="Times New Roman"/>
                      <w:color w:val="auto"/>
                      <w:szCs w:val="21"/>
                      <w:lang w:val="en-US" w:eastAsia="zh-CN"/>
                    </w:rPr>
                    <w:t>3</w:t>
                  </w:r>
                </w:p>
              </w:tc>
              <w:tc>
                <w:tcPr>
                  <w:tcW w:w="420" w:type="pct"/>
                  <w:vMerge w:val="continue"/>
                  <w:vAlign w:val="center"/>
                </w:tcPr>
                <w:p>
                  <w:pPr>
                    <w:pStyle w:val="5"/>
                    <w:adjustRightInd w:val="0"/>
                    <w:snapToGrid w:val="0"/>
                    <w:ind w:firstLine="0"/>
                    <w:jc w:val="center"/>
                    <w:rPr>
                      <w:rFonts w:hint="default" w:ascii="Times New Roman" w:hAnsi="Times New Roman" w:eastAsia="宋体" w:cs="Times New Roman"/>
                      <w:color w:val="auto"/>
                      <w:szCs w:val="21"/>
                    </w:rPr>
                  </w:pPr>
                </w:p>
              </w:tc>
              <w:tc>
                <w:tcPr>
                  <w:tcW w:w="707" w:type="pct"/>
                  <w:tcBorders>
                    <w:top w:val="single" w:color="auto" w:sz="2" w:space="0"/>
                    <w:bottom w:val="single" w:color="auto" w:sz="2" w:space="0"/>
                  </w:tcBorders>
                  <w:vAlign w:val="center"/>
                </w:tcPr>
                <w:p>
                  <w:pPr>
                    <w:pStyle w:val="5"/>
                    <w:ind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废</w:t>
                  </w:r>
                  <w:r>
                    <w:rPr>
                      <w:rFonts w:hint="default" w:ascii="Times New Roman" w:hAnsi="Times New Roman" w:eastAsia="宋体" w:cs="Times New Roman"/>
                      <w:color w:val="auto"/>
                      <w:szCs w:val="21"/>
                      <w:lang w:val="en-US" w:eastAsia="zh-CN"/>
                    </w:rPr>
                    <w:t>过滤袋</w:t>
                  </w:r>
                </w:p>
              </w:tc>
              <w:tc>
                <w:tcPr>
                  <w:tcW w:w="429"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0.6</w:t>
                  </w:r>
                </w:p>
              </w:tc>
              <w:tc>
                <w:tcPr>
                  <w:tcW w:w="640" w:type="pct"/>
                  <w:vAlign w:val="center"/>
                </w:tcPr>
                <w:p>
                  <w:pPr>
                    <w:adjustRightInd w:val="0"/>
                    <w:snapToGrid w:val="0"/>
                    <w:ind w:left="-63" w:leftChars="-30" w:right="-63" w:rightChars="-3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0.1吨/袋</w:t>
                  </w:r>
                </w:p>
              </w:tc>
              <w:tc>
                <w:tcPr>
                  <w:tcW w:w="716" w:type="pct"/>
                  <w:vAlign w:val="center"/>
                </w:tcPr>
                <w:p>
                  <w:pPr>
                    <w:adjustRightInd w:val="0"/>
                    <w:snapToGrid w:val="0"/>
                    <w:ind w:left="-63" w:leftChars="-30" w:right="-63" w:rightChars="-3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val="en-US" w:eastAsia="zh-CN"/>
                    </w:rPr>
                    <w:t>0.3</w:t>
                  </w:r>
                  <w:r>
                    <w:rPr>
                      <w:rFonts w:hint="default" w:ascii="Times New Roman" w:hAnsi="Times New Roman" w:eastAsia="宋体" w:cs="Times New Roman"/>
                      <w:color w:val="auto"/>
                      <w:szCs w:val="21"/>
                    </w:rPr>
                    <w:t>m</w:t>
                  </w:r>
                  <w:r>
                    <w:rPr>
                      <w:rFonts w:hint="default" w:ascii="Times New Roman" w:hAnsi="Times New Roman" w:eastAsia="宋体" w:cs="Times New Roman"/>
                      <w:color w:val="auto"/>
                      <w:szCs w:val="21"/>
                      <w:vertAlign w:val="superscript"/>
                    </w:rPr>
                    <w:t>2</w:t>
                  </w:r>
                  <w:r>
                    <w:rPr>
                      <w:rFonts w:hint="default" w:ascii="Times New Roman" w:hAnsi="Times New Roman" w:eastAsia="宋体" w:cs="Times New Roman"/>
                      <w:color w:val="auto"/>
                      <w:szCs w:val="21"/>
                    </w:rPr>
                    <w:t>/</w:t>
                  </w:r>
                  <w:r>
                    <w:rPr>
                      <w:rFonts w:hint="default" w:ascii="Times New Roman" w:hAnsi="Times New Roman" w:eastAsia="宋体" w:cs="Times New Roman"/>
                      <w:color w:val="auto"/>
                      <w:szCs w:val="21"/>
                      <w:lang w:val="en-US" w:eastAsia="zh-CN"/>
                    </w:rPr>
                    <w:t>袋</w:t>
                  </w:r>
                </w:p>
              </w:tc>
              <w:tc>
                <w:tcPr>
                  <w:tcW w:w="317" w:type="pct"/>
                  <w:vAlign w:val="center"/>
                </w:tcPr>
                <w:p>
                  <w:pPr>
                    <w:adjustRightInd w:val="0"/>
                    <w:snapToGrid w:val="0"/>
                    <w:ind w:left="-63" w:leftChars="-30" w:right="-63" w:rightChars="-3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2</w:t>
                  </w:r>
                </w:p>
              </w:tc>
              <w:tc>
                <w:tcPr>
                  <w:tcW w:w="464" w:type="pct"/>
                  <w:vAlign w:val="center"/>
                </w:tcPr>
                <w:p>
                  <w:pPr>
                    <w:adjustRightInd w:val="0"/>
                    <w:snapToGrid w:val="0"/>
                    <w:ind w:left="-63" w:leftChars="-30" w:right="-63" w:rightChars="-3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0.9</w:t>
                  </w:r>
                </w:p>
              </w:tc>
              <w:tc>
                <w:tcPr>
                  <w:tcW w:w="449" w:type="pct"/>
                  <w:vMerge w:val="continue"/>
                  <w:vAlign w:val="center"/>
                </w:tcPr>
                <w:p>
                  <w:pPr>
                    <w:jc w:val="center"/>
                    <w:rPr>
                      <w:rFonts w:hint="default" w:ascii="Times New Roman" w:hAnsi="Times New Roman" w:eastAsia="宋体" w:cs="Times New Roman"/>
                      <w:color w:val="auto"/>
                      <w:szCs w:val="21"/>
                    </w:rPr>
                  </w:pPr>
                </w:p>
              </w:tc>
              <w:tc>
                <w:tcPr>
                  <w:tcW w:w="593"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1次/年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9" w:type="pct"/>
                  <w:vAlign w:val="center"/>
                </w:tcPr>
                <w:p>
                  <w:pPr>
                    <w:adjustRightInd w:val="0"/>
                    <w:snapToGrid w:val="0"/>
                    <w:ind w:left="-63" w:leftChars="-30" w:right="-63" w:rightChars="-30"/>
                    <w:jc w:val="center"/>
                    <w:rPr>
                      <w:rFonts w:hint="eastAsia" w:ascii="Times New Roman" w:hAnsi="Times New Roman" w:eastAsia="宋体" w:cs="Times New Roman"/>
                      <w:color w:val="auto"/>
                      <w:szCs w:val="21"/>
                      <w:lang w:eastAsia="zh-CN"/>
                    </w:rPr>
                  </w:pPr>
                  <w:r>
                    <w:rPr>
                      <w:rFonts w:hint="eastAsia" w:cs="Times New Roman"/>
                      <w:color w:val="auto"/>
                      <w:szCs w:val="21"/>
                      <w:lang w:val="en-US" w:eastAsia="zh-CN"/>
                    </w:rPr>
                    <w:t>4</w:t>
                  </w:r>
                </w:p>
              </w:tc>
              <w:tc>
                <w:tcPr>
                  <w:tcW w:w="420" w:type="pct"/>
                  <w:vMerge w:val="continue"/>
                  <w:vAlign w:val="center"/>
                </w:tcPr>
                <w:p>
                  <w:pPr>
                    <w:pStyle w:val="5"/>
                    <w:adjustRightInd w:val="0"/>
                    <w:snapToGrid w:val="0"/>
                    <w:ind w:left="-63" w:leftChars="-30" w:right="-63" w:rightChars="-30" w:firstLine="105" w:firstLineChars="50"/>
                    <w:jc w:val="center"/>
                    <w:rPr>
                      <w:rFonts w:hint="default" w:ascii="Times New Roman" w:hAnsi="Times New Roman" w:eastAsia="宋体" w:cs="Times New Roman"/>
                      <w:color w:val="auto"/>
                      <w:szCs w:val="21"/>
                    </w:rPr>
                  </w:pPr>
                </w:p>
              </w:tc>
              <w:tc>
                <w:tcPr>
                  <w:tcW w:w="707" w:type="pct"/>
                  <w:tcBorders>
                    <w:top w:val="single" w:color="auto" w:sz="2" w:space="0"/>
                    <w:bottom w:val="single" w:color="auto" w:sz="2" w:space="0"/>
                  </w:tcBorders>
                  <w:vAlign w:val="center"/>
                </w:tcPr>
                <w:p>
                  <w:pPr>
                    <w:pStyle w:val="5"/>
                    <w:ind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废</w:t>
                  </w:r>
                  <w:r>
                    <w:rPr>
                      <w:rFonts w:hint="default" w:ascii="Times New Roman" w:hAnsi="Times New Roman" w:eastAsia="宋体" w:cs="Times New Roman"/>
                      <w:color w:val="auto"/>
                      <w:szCs w:val="21"/>
                      <w:lang w:val="en-US" w:eastAsia="zh-CN"/>
                    </w:rPr>
                    <w:t>超滤膜</w:t>
                  </w:r>
                </w:p>
              </w:tc>
              <w:tc>
                <w:tcPr>
                  <w:tcW w:w="429"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0.04</w:t>
                  </w:r>
                </w:p>
              </w:tc>
              <w:tc>
                <w:tcPr>
                  <w:tcW w:w="640" w:type="pct"/>
                  <w:vAlign w:val="center"/>
                </w:tcPr>
                <w:p>
                  <w:pPr>
                    <w:adjustRightInd w:val="0"/>
                    <w:snapToGrid w:val="0"/>
                    <w:ind w:left="-63" w:leftChars="-30" w:right="-63" w:rightChars="-3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0.1</w:t>
                  </w:r>
                  <w:r>
                    <w:rPr>
                      <w:rFonts w:hint="default" w:ascii="Times New Roman" w:hAnsi="Times New Roman" w:eastAsia="宋体" w:cs="Times New Roman"/>
                      <w:color w:val="auto"/>
                      <w:szCs w:val="21"/>
                    </w:rPr>
                    <w:t>吨</w:t>
                  </w:r>
                  <w:r>
                    <w:rPr>
                      <w:rFonts w:hint="default" w:ascii="Times New Roman" w:hAnsi="Times New Roman" w:eastAsia="宋体" w:cs="Times New Roman"/>
                      <w:color w:val="auto"/>
                      <w:szCs w:val="21"/>
                      <w:lang w:val="en-US" w:eastAsia="zh-CN"/>
                    </w:rPr>
                    <w:t>/袋</w:t>
                  </w:r>
                </w:p>
              </w:tc>
              <w:tc>
                <w:tcPr>
                  <w:tcW w:w="716" w:type="pct"/>
                  <w:vAlign w:val="center"/>
                </w:tcPr>
                <w:p>
                  <w:pPr>
                    <w:adjustRightInd w:val="0"/>
                    <w:snapToGrid w:val="0"/>
                    <w:ind w:left="-63" w:leftChars="-30" w:right="-63" w:rightChars="-3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0.3</w:t>
                  </w:r>
                  <w:r>
                    <w:rPr>
                      <w:rFonts w:hint="default" w:ascii="Times New Roman" w:hAnsi="Times New Roman" w:eastAsia="宋体" w:cs="Times New Roman"/>
                      <w:color w:val="auto"/>
                      <w:szCs w:val="21"/>
                    </w:rPr>
                    <w:t>m</w:t>
                  </w:r>
                  <w:r>
                    <w:rPr>
                      <w:rFonts w:hint="default" w:ascii="Times New Roman" w:hAnsi="Times New Roman" w:eastAsia="宋体" w:cs="Times New Roman"/>
                      <w:color w:val="auto"/>
                      <w:szCs w:val="21"/>
                      <w:vertAlign w:val="superscript"/>
                    </w:rPr>
                    <w:t>2</w:t>
                  </w:r>
                  <w:r>
                    <w:rPr>
                      <w:rFonts w:hint="default" w:ascii="Times New Roman" w:hAnsi="Times New Roman" w:eastAsia="宋体" w:cs="Times New Roman"/>
                      <w:color w:val="auto"/>
                      <w:szCs w:val="21"/>
                    </w:rPr>
                    <w:t>/袋</w:t>
                  </w:r>
                </w:p>
              </w:tc>
              <w:tc>
                <w:tcPr>
                  <w:tcW w:w="317" w:type="pct"/>
                  <w:vAlign w:val="center"/>
                </w:tcPr>
                <w:p>
                  <w:pPr>
                    <w:adjustRightInd w:val="0"/>
                    <w:snapToGrid w:val="0"/>
                    <w:ind w:left="-63" w:leftChars="-30" w:right="-63" w:rightChars="-3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464" w:type="pct"/>
                  <w:vAlign w:val="center"/>
                </w:tcPr>
                <w:p>
                  <w:pPr>
                    <w:adjustRightInd w:val="0"/>
                    <w:snapToGrid w:val="0"/>
                    <w:ind w:left="-63" w:leftChars="-30" w:right="-63" w:rightChars="-3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0.3</w:t>
                  </w:r>
                </w:p>
              </w:tc>
              <w:tc>
                <w:tcPr>
                  <w:tcW w:w="449" w:type="pct"/>
                  <w:vMerge w:val="continue"/>
                  <w:vAlign w:val="center"/>
                </w:tcPr>
                <w:p>
                  <w:pPr>
                    <w:jc w:val="center"/>
                    <w:rPr>
                      <w:rFonts w:hint="default" w:ascii="Times New Roman" w:hAnsi="Times New Roman" w:eastAsia="宋体" w:cs="Times New Roman"/>
                      <w:color w:val="auto"/>
                      <w:szCs w:val="21"/>
                      <w:highlight w:val="yellow"/>
                    </w:rPr>
                  </w:pPr>
                </w:p>
              </w:tc>
              <w:tc>
                <w:tcPr>
                  <w:tcW w:w="593"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1次/年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9" w:type="pct"/>
                  <w:vAlign w:val="center"/>
                </w:tcPr>
                <w:p>
                  <w:pPr>
                    <w:adjustRightInd w:val="0"/>
                    <w:snapToGrid w:val="0"/>
                    <w:ind w:left="-63" w:leftChars="-30" w:right="-63" w:rightChars="-30"/>
                    <w:jc w:val="center"/>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5</w:t>
                  </w:r>
                </w:p>
              </w:tc>
              <w:tc>
                <w:tcPr>
                  <w:tcW w:w="420" w:type="pct"/>
                  <w:vMerge w:val="continue"/>
                  <w:vAlign w:val="center"/>
                </w:tcPr>
                <w:p>
                  <w:pPr>
                    <w:pStyle w:val="5"/>
                    <w:adjustRightInd w:val="0"/>
                    <w:snapToGrid w:val="0"/>
                    <w:ind w:left="-63" w:leftChars="-30" w:right="-63" w:rightChars="-30" w:firstLine="105" w:firstLineChars="50"/>
                    <w:jc w:val="center"/>
                    <w:rPr>
                      <w:rFonts w:hint="default" w:ascii="Times New Roman" w:hAnsi="Times New Roman" w:eastAsia="宋体" w:cs="Times New Roman"/>
                      <w:color w:val="auto"/>
                      <w:szCs w:val="21"/>
                    </w:rPr>
                  </w:pPr>
                </w:p>
              </w:tc>
              <w:tc>
                <w:tcPr>
                  <w:tcW w:w="707" w:type="pct"/>
                  <w:tcBorders>
                    <w:top w:val="single" w:color="auto" w:sz="2" w:space="0"/>
                    <w:bottom w:val="single" w:color="auto" w:sz="2" w:space="0"/>
                  </w:tcBorders>
                  <w:vAlign w:val="center"/>
                </w:tcPr>
                <w:p>
                  <w:pPr>
                    <w:pStyle w:val="5"/>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污泥</w:t>
                  </w:r>
                </w:p>
              </w:tc>
              <w:tc>
                <w:tcPr>
                  <w:tcW w:w="429"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10</w:t>
                  </w:r>
                </w:p>
              </w:tc>
              <w:tc>
                <w:tcPr>
                  <w:tcW w:w="640" w:type="pct"/>
                  <w:vAlign w:val="center"/>
                </w:tcPr>
                <w:p>
                  <w:pPr>
                    <w:adjustRightInd w:val="0"/>
                    <w:snapToGrid w:val="0"/>
                    <w:ind w:left="-63" w:leftChars="-30" w:right="-63" w:rightChars="-3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1吨/袋</w:t>
                  </w:r>
                </w:p>
              </w:tc>
              <w:tc>
                <w:tcPr>
                  <w:tcW w:w="716" w:type="pct"/>
                  <w:vAlign w:val="center"/>
                </w:tcPr>
                <w:p>
                  <w:pPr>
                    <w:adjustRightInd w:val="0"/>
                    <w:snapToGrid w:val="0"/>
                    <w:ind w:left="-63" w:leftChars="-30" w:right="-63" w:rightChars="-3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w:t>
                  </w:r>
                  <w:r>
                    <w:rPr>
                      <w:rFonts w:hint="default" w:ascii="Times New Roman" w:hAnsi="Times New Roman" w:eastAsia="宋体" w:cs="Times New Roman"/>
                      <w:color w:val="auto"/>
                      <w:szCs w:val="21"/>
                    </w:rPr>
                    <w:t>m</w:t>
                  </w:r>
                  <w:r>
                    <w:rPr>
                      <w:rFonts w:hint="default" w:ascii="Times New Roman" w:hAnsi="Times New Roman" w:eastAsia="宋体" w:cs="Times New Roman"/>
                      <w:color w:val="auto"/>
                      <w:szCs w:val="21"/>
                      <w:vertAlign w:val="superscript"/>
                    </w:rPr>
                    <w:t>2</w:t>
                  </w:r>
                  <w:r>
                    <w:rPr>
                      <w:rFonts w:hint="default" w:ascii="Times New Roman" w:hAnsi="Times New Roman" w:eastAsia="宋体" w:cs="Times New Roman"/>
                      <w:color w:val="auto"/>
                      <w:szCs w:val="21"/>
                    </w:rPr>
                    <w:t>/</w:t>
                  </w:r>
                  <w:r>
                    <w:rPr>
                      <w:rFonts w:hint="default" w:ascii="Times New Roman" w:hAnsi="Times New Roman" w:eastAsia="宋体" w:cs="Times New Roman"/>
                      <w:color w:val="auto"/>
                      <w:szCs w:val="21"/>
                      <w:lang w:val="en-US" w:eastAsia="zh-CN"/>
                    </w:rPr>
                    <w:t>袋</w:t>
                  </w:r>
                </w:p>
              </w:tc>
              <w:tc>
                <w:tcPr>
                  <w:tcW w:w="317" w:type="pct"/>
                  <w:vAlign w:val="center"/>
                </w:tcPr>
                <w:p>
                  <w:pPr>
                    <w:adjustRightInd w:val="0"/>
                    <w:snapToGrid w:val="0"/>
                    <w:ind w:left="-63" w:leftChars="-30" w:right="-63" w:rightChars="-3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w:t>
                  </w:r>
                </w:p>
              </w:tc>
              <w:tc>
                <w:tcPr>
                  <w:tcW w:w="464" w:type="pct"/>
                  <w:vAlign w:val="center"/>
                </w:tcPr>
                <w:p>
                  <w:pPr>
                    <w:adjustRightInd w:val="0"/>
                    <w:snapToGrid w:val="0"/>
                    <w:ind w:left="-63" w:leftChars="-30" w:right="-63" w:rightChars="-3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5</w:t>
                  </w:r>
                </w:p>
              </w:tc>
              <w:tc>
                <w:tcPr>
                  <w:tcW w:w="449" w:type="pct"/>
                  <w:vMerge w:val="continue"/>
                  <w:vAlign w:val="center"/>
                </w:tcPr>
                <w:p>
                  <w:pPr>
                    <w:jc w:val="center"/>
                    <w:rPr>
                      <w:rFonts w:hint="default" w:ascii="Times New Roman" w:hAnsi="Times New Roman" w:eastAsia="宋体" w:cs="Times New Roman"/>
                      <w:color w:val="auto"/>
                      <w:szCs w:val="21"/>
                      <w:highlight w:val="yellow"/>
                    </w:rPr>
                  </w:pPr>
                </w:p>
              </w:tc>
              <w:tc>
                <w:tcPr>
                  <w:tcW w:w="593" w:type="pct"/>
                  <w:vAlign w:val="center"/>
                </w:tcPr>
                <w:p>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1次/半年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9" w:type="pct"/>
                  <w:vAlign w:val="center"/>
                </w:tcPr>
                <w:p>
                  <w:pPr>
                    <w:adjustRightInd w:val="0"/>
                    <w:snapToGrid w:val="0"/>
                    <w:ind w:left="-63" w:leftChars="-30" w:right="-63" w:rightChars="-30"/>
                    <w:jc w:val="center"/>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6</w:t>
                  </w:r>
                </w:p>
              </w:tc>
              <w:tc>
                <w:tcPr>
                  <w:tcW w:w="420" w:type="pct"/>
                  <w:vMerge w:val="continue"/>
                  <w:vAlign w:val="center"/>
                </w:tcPr>
                <w:p>
                  <w:pPr>
                    <w:pStyle w:val="5"/>
                    <w:adjustRightInd w:val="0"/>
                    <w:snapToGrid w:val="0"/>
                    <w:ind w:left="-63" w:leftChars="-30" w:right="-63" w:rightChars="-30" w:firstLine="105" w:firstLineChars="50"/>
                    <w:jc w:val="center"/>
                    <w:rPr>
                      <w:rFonts w:hint="default" w:ascii="Times New Roman" w:hAnsi="Times New Roman" w:eastAsia="宋体" w:cs="Times New Roman"/>
                      <w:color w:val="auto"/>
                      <w:szCs w:val="21"/>
                    </w:rPr>
                  </w:pPr>
                </w:p>
              </w:tc>
              <w:tc>
                <w:tcPr>
                  <w:tcW w:w="707" w:type="pct"/>
                  <w:tcBorders>
                    <w:top w:val="single" w:color="auto" w:sz="2" w:space="0"/>
                    <w:bottom w:val="single" w:color="auto" w:sz="2" w:space="0"/>
                  </w:tcBorders>
                  <w:vAlign w:val="center"/>
                </w:tcPr>
                <w:p>
                  <w:pPr>
                    <w:pStyle w:val="5"/>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废包装桶</w:t>
                  </w:r>
                </w:p>
              </w:tc>
              <w:tc>
                <w:tcPr>
                  <w:tcW w:w="429"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w:t>
                  </w:r>
                </w:p>
              </w:tc>
              <w:tc>
                <w:tcPr>
                  <w:tcW w:w="640" w:type="pct"/>
                  <w:vAlign w:val="center"/>
                </w:tcPr>
                <w:p>
                  <w:pPr>
                    <w:adjustRightInd w:val="0"/>
                    <w:snapToGrid w:val="0"/>
                    <w:ind w:left="-63" w:leftChars="-30" w:right="-63" w:rightChars="-3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25千克/个</w:t>
                  </w:r>
                </w:p>
              </w:tc>
              <w:tc>
                <w:tcPr>
                  <w:tcW w:w="716" w:type="pct"/>
                  <w:vAlign w:val="center"/>
                </w:tcPr>
                <w:p>
                  <w:pPr>
                    <w:adjustRightInd w:val="0"/>
                    <w:snapToGrid w:val="0"/>
                    <w:ind w:left="-63" w:leftChars="-30" w:right="-63" w:rightChars="-3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0.4m</w:t>
                  </w:r>
                  <w:r>
                    <w:rPr>
                      <w:rFonts w:hint="eastAsia" w:ascii="Times New Roman" w:hAnsi="Times New Roman" w:eastAsia="宋体" w:cs="Times New Roman"/>
                      <w:color w:val="auto"/>
                      <w:szCs w:val="21"/>
                      <w:vertAlign w:val="superscript"/>
                      <w:lang w:val="en-US" w:eastAsia="zh-CN"/>
                    </w:rPr>
                    <w:t>2</w:t>
                  </w:r>
                  <w:r>
                    <w:rPr>
                      <w:rFonts w:hint="eastAsia" w:ascii="Times New Roman" w:hAnsi="Times New Roman" w:eastAsia="宋体" w:cs="Times New Roman"/>
                      <w:color w:val="auto"/>
                      <w:szCs w:val="21"/>
                      <w:lang w:val="en-US" w:eastAsia="zh-CN"/>
                    </w:rPr>
                    <w:t>/个</w:t>
                  </w:r>
                </w:p>
              </w:tc>
              <w:tc>
                <w:tcPr>
                  <w:tcW w:w="317" w:type="pct"/>
                  <w:vAlign w:val="center"/>
                </w:tcPr>
                <w:p>
                  <w:pPr>
                    <w:adjustRightInd w:val="0"/>
                    <w:snapToGrid w:val="0"/>
                    <w:ind w:left="-63" w:leftChars="-30" w:right="-63" w:rightChars="-3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2</w:t>
                  </w:r>
                </w:p>
              </w:tc>
              <w:tc>
                <w:tcPr>
                  <w:tcW w:w="464" w:type="pct"/>
                  <w:vAlign w:val="center"/>
                </w:tcPr>
                <w:p>
                  <w:pPr>
                    <w:adjustRightInd w:val="0"/>
                    <w:snapToGrid w:val="0"/>
                    <w:ind w:left="-63" w:leftChars="-30" w:right="-63" w:rightChars="-3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8</w:t>
                  </w:r>
                </w:p>
              </w:tc>
              <w:tc>
                <w:tcPr>
                  <w:tcW w:w="449" w:type="pct"/>
                  <w:vMerge w:val="continue"/>
                  <w:vAlign w:val="center"/>
                </w:tcPr>
                <w:p>
                  <w:pPr>
                    <w:jc w:val="center"/>
                    <w:rPr>
                      <w:rFonts w:hint="default" w:ascii="Times New Roman" w:hAnsi="Times New Roman" w:eastAsia="宋体" w:cs="Times New Roman"/>
                      <w:color w:val="auto"/>
                      <w:szCs w:val="21"/>
                      <w:highlight w:val="yellow"/>
                    </w:rPr>
                  </w:pPr>
                </w:p>
              </w:tc>
              <w:tc>
                <w:tcPr>
                  <w:tcW w:w="593"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1次/年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9" w:type="pct"/>
                  <w:vAlign w:val="center"/>
                </w:tcPr>
                <w:p>
                  <w:pPr>
                    <w:adjustRightInd w:val="0"/>
                    <w:snapToGrid w:val="0"/>
                    <w:ind w:left="-63" w:leftChars="-30" w:right="-63" w:rightChars="-30"/>
                    <w:jc w:val="center"/>
                    <w:rPr>
                      <w:rFonts w:hint="eastAsia" w:ascii="Times New Roman" w:hAnsi="Times New Roman" w:eastAsia="宋体" w:cs="Times New Roman"/>
                      <w:color w:val="auto"/>
                      <w:szCs w:val="21"/>
                      <w:lang w:eastAsia="zh-CN"/>
                    </w:rPr>
                  </w:pPr>
                  <w:r>
                    <w:rPr>
                      <w:rFonts w:hint="eastAsia" w:cs="Times New Roman"/>
                      <w:color w:val="auto"/>
                      <w:szCs w:val="21"/>
                      <w:lang w:val="en-US" w:eastAsia="zh-CN"/>
                    </w:rPr>
                    <w:t>7</w:t>
                  </w:r>
                </w:p>
              </w:tc>
              <w:tc>
                <w:tcPr>
                  <w:tcW w:w="420" w:type="pct"/>
                  <w:vMerge w:val="continue"/>
                  <w:vAlign w:val="center"/>
                </w:tcPr>
                <w:p>
                  <w:pPr>
                    <w:pStyle w:val="5"/>
                    <w:adjustRightInd w:val="0"/>
                    <w:snapToGrid w:val="0"/>
                    <w:ind w:left="-63" w:leftChars="-30" w:right="-63" w:rightChars="-30" w:firstLine="105" w:firstLineChars="50"/>
                    <w:jc w:val="center"/>
                    <w:rPr>
                      <w:rFonts w:hint="default" w:ascii="Times New Roman" w:hAnsi="Times New Roman" w:eastAsia="宋体" w:cs="Times New Roman"/>
                      <w:color w:val="auto"/>
                      <w:szCs w:val="21"/>
                    </w:rPr>
                  </w:pPr>
                </w:p>
              </w:tc>
              <w:tc>
                <w:tcPr>
                  <w:tcW w:w="707" w:type="pct"/>
                  <w:tcBorders>
                    <w:top w:val="single" w:color="auto" w:sz="2" w:space="0"/>
                    <w:bottom w:val="single" w:color="auto" w:sz="12" w:space="0"/>
                  </w:tcBorders>
                  <w:vAlign w:val="center"/>
                </w:tcPr>
                <w:p>
                  <w:pPr>
                    <w:pStyle w:val="5"/>
                    <w:adjustRightInd w:val="0"/>
                    <w:snapToGrid w:val="0"/>
                    <w:ind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废活性炭</w:t>
                  </w:r>
                </w:p>
              </w:tc>
              <w:tc>
                <w:tcPr>
                  <w:tcW w:w="429" w:type="pc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22</w:t>
                  </w:r>
                </w:p>
              </w:tc>
              <w:tc>
                <w:tcPr>
                  <w:tcW w:w="640" w:type="pct"/>
                  <w:vAlign w:val="center"/>
                </w:tcPr>
                <w:p>
                  <w:pPr>
                    <w:adjustRightInd w:val="0"/>
                    <w:snapToGrid w:val="0"/>
                    <w:ind w:left="-63" w:leftChars="-30" w:right="-63" w:rightChars="-30"/>
                    <w:jc w:val="center"/>
                    <w:rPr>
                      <w:rFonts w:hint="default" w:ascii="Times New Roman" w:hAnsi="Times New Roman" w:eastAsia="宋体" w:cs="Times New Roman"/>
                      <w:color w:val="auto"/>
                      <w:szCs w:val="21"/>
                    </w:rPr>
                  </w:pPr>
                  <w:r>
                    <w:rPr>
                      <w:rFonts w:hint="eastAsia" w:cs="Times New Roman"/>
                      <w:color w:val="auto"/>
                      <w:szCs w:val="21"/>
                      <w:lang w:val="en-US" w:eastAsia="zh-CN"/>
                    </w:rPr>
                    <w:t>1</w:t>
                  </w:r>
                  <w:r>
                    <w:rPr>
                      <w:rFonts w:hint="default" w:ascii="Times New Roman" w:hAnsi="Times New Roman" w:eastAsia="宋体" w:cs="Times New Roman"/>
                      <w:color w:val="auto"/>
                      <w:szCs w:val="21"/>
                    </w:rPr>
                    <w:t>吨</w:t>
                  </w:r>
                  <w:r>
                    <w:rPr>
                      <w:rFonts w:hint="default" w:ascii="Times New Roman" w:hAnsi="Times New Roman" w:eastAsia="宋体" w:cs="Times New Roman"/>
                      <w:color w:val="auto"/>
                      <w:szCs w:val="21"/>
                      <w:lang w:val="en-US" w:eastAsia="zh-CN"/>
                    </w:rPr>
                    <w:t>/袋</w:t>
                  </w:r>
                </w:p>
              </w:tc>
              <w:tc>
                <w:tcPr>
                  <w:tcW w:w="716" w:type="pct"/>
                  <w:vAlign w:val="center"/>
                </w:tcPr>
                <w:p>
                  <w:pPr>
                    <w:adjustRightInd w:val="0"/>
                    <w:snapToGrid w:val="0"/>
                    <w:ind w:left="-63" w:leftChars="-30" w:right="-63" w:rightChars="-3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1</w:t>
                  </w:r>
                  <w:r>
                    <w:rPr>
                      <w:rFonts w:hint="default" w:ascii="Times New Roman" w:hAnsi="Times New Roman" w:eastAsia="宋体" w:cs="Times New Roman"/>
                      <w:color w:val="auto"/>
                      <w:szCs w:val="21"/>
                    </w:rPr>
                    <w:t>m</w:t>
                  </w:r>
                  <w:r>
                    <w:rPr>
                      <w:rFonts w:hint="default" w:ascii="Times New Roman" w:hAnsi="Times New Roman" w:eastAsia="宋体" w:cs="Times New Roman"/>
                      <w:color w:val="auto"/>
                      <w:szCs w:val="21"/>
                      <w:vertAlign w:val="superscript"/>
                    </w:rPr>
                    <w:t>2</w:t>
                  </w:r>
                  <w:r>
                    <w:rPr>
                      <w:rFonts w:hint="default" w:ascii="Times New Roman" w:hAnsi="Times New Roman" w:eastAsia="宋体" w:cs="Times New Roman"/>
                      <w:color w:val="auto"/>
                      <w:szCs w:val="21"/>
                    </w:rPr>
                    <w:t>/</w:t>
                  </w:r>
                  <w:r>
                    <w:rPr>
                      <w:rFonts w:hint="default" w:ascii="Times New Roman" w:hAnsi="Times New Roman" w:eastAsia="宋体" w:cs="Times New Roman"/>
                      <w:color w:val="auto"/>
                      <w:szCs w:val="21"/>
                      <w:lang w:val="en-US" w:eastAsia="zh-CN"/>
                    </w:rPr>
                    <w:t>袋</w:t>
                  </w:r>
                </w:p>
              </w:tc>
              <w:tc>
                <w:tcPr>
                  <w:tcW w:w="317" w:type="pct"/>
                  <w:vAlign w:val="center"/>
                </w:tcPr>
                <w:p>
                  <w:pPr>
                    <w:adjustRightInd w:val="0"/>
                    <w:snapToGrid w:val="0"/>
                    <w:ind w:left="-63" w:leftChars="-30" w:right="-63" w:rightChars="-30"/>
                    <w:jc w:val="center"/>
                    <w:rPr>
                      <w:rFonts w:hint="default" w:ascii="Times New Roman" w:hAnsi="Times New Roman" w:eastAsia="宋体" w:cs="Times New Roman"/>
                      <w:color w:val="auto"/>
                      <w:szCs w:val="21"/>
                      <w:lang w:eastAsia="zh-CN"/>
                    </w:rPr>
                  </w:pPr>
                  <w:r>
                    <w:rPr>
                      <w:rFonts w:hint="eastAsia" w:cs="Times New Roman"/>
                      <w:color w:val="auto"/>
                      <w:szCs w:val="21"/>
                      <w:lang w:val="en-US" w:eastAsia="zh-CN"/>
                    </w:rPr>
                    <w:t>2</w:t>
                  </w:r>
                </w:p>
              </w:tc>
              <w:tc>
                <w:tcPr>
                  <w:tcW w:w="464" w:type="pct"/>
                  <w:vAlign w:val="center"/>
                </w:tcPr>
                <w:p>
                  <w:pPr>
                    <w:adjustRightInd w:val="0"/>
                    <w:snapToGrid w:val="0"/>
                    <w:ind w:left="-63" w:leftChars="-30" w:right="-63" w:rightChars="-3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11</w:t>
                  </w:r>
                </w:p>
              </w:tc>
              <w:tc>
                <w:tcPr>
                  <w:tcW w:w="449" w:type="pct"/>
                  <w:vMerge w:val="continue"/>
                  <w:vAlign w:val="center"/>
                </w:tcPr>
                <w:p>
                  <w:pPr>
                    <w:jc w:val="center"/>
                    <w:rPr>
                      <w:rFonts w:hint="default" w:ascii="Times New Roman" w:hAnsi="Times New Roman" w:eastAsia="宋体" w:cs="Times New Roman"/>
                      <w:color w:val="auto"/>
                      <w:szCs w:val="21"/>
                      <w:highlight w:val="yellow"/>
                    </w:rPr>
                  </w:pPr>
                </w:p>
              </w:tc>
              <w:tc>
                <w:tcPr>
                  <w:tcW w:w="593" w:type="pct"/>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1次/半年</w:t>
                  </w:r>
                </w:p>
              </w:tc>
            </w:tr>
          </w:tbl>
          <w:p>
            <w:pPr>
              <w:pStyle w:val="5"/>
              <w:adjustRightInd w:val="0"/>
              <w:snapToGrid w:val="0"/>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根据《省生态环境厅关于进一步加强危险废物污染防治工作的实施意见》（苏环办[2019]327号）要求：①强化危废申报登记。应按规定申报危废产生、贮存、转移、利用处置等信息，制定危险废物年度管理计划，并在“江苏省危险废物动态管理信息系统”中备案。管理计划如需调整变更的，应重新在系统中申请备案。应结合自身实际，建立危废台账，如实记载危险废物种类、数量、性质、产生环节、流向、贮存、利用处理等信息，并在“江苏省危险废物动态管理信息系统”中进行如实规范申报，申报数据应与台账、管理计划数据相一致。②落实信息公开制度。按照要求在厂门口显著位置设置危险废物信息公开栏，主动公开危险废物产生、利用处置等情况；有官方网站的，在官网同时公开相关信息。</w:t>
            </w:r>
          </w:p>
          <w:p>
            <w:pPr>
              <w:pStyle w:val="5"/>
              <w:adjustRightInd w:val="0"/>
              <w:snapToGrid w:val="0"/>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危险固废（常温常压下不水解、不挥发、不相互反应）均使用包装材料包装后分类堆放于场内，并粘贴符合要求的标签。</w:t>
            </w:r>
          </w:p>
          <w:p>
            <w:pPr>
              <w:pStyle w:val="5"/>
              <w:adjustRightInd w:val="0"/>
              <w:snapToGrid w:val="0"/>
              <w:spacing w:line="360" w:lineRule="auto"/>
              <w:ind w:firstLine="0"/>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5、地下水环境影响分析</w:t>
            </w:r>
          </w:p>
          <w:p>
            <w:pPr>
              <w:adjustRightInd w:val="0"/>
              <w:snapToGrid w:val="0"/>
              <w:spacing w:line="360" w:lineRule="auto"/>
              <w:ind w:firstLine="520" w:firstLineChars="217"/>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本项目为</w:t>
            </w:r>
            <w:r>
              <w:rPr>
                <w:rFonts w:hint="default" w:ascii="Times New Roman" w:hAnsi="Times New Roman" w:eastAsia="宋体" w:cs="Times New Roman"/>
                <w:color w:val="auto"/>
                <w:sz w:val="24"/>
                <w:lang w:eastAsia="zh-CN"/>
              </w:rPr>
              <w:t>金属表面处理及热处理加工</w:t>
            </w:r>
            <w:r>
              <w:rPr>
                <w:rFonts w:hint="default" w:ascii="Times New Roman" w:hAnsi="Times New Roman" w:eastAsia="宋体" w:cs="Times New Roman"/>
                <w:color w:val="auto"/>
                <w:sz w:val="24"/>
              </w:rPr>
              <w:t>项目，对照《环境影响评价技术导则—地下水环境》（HJ610-2016）中6.2.1.1提及的附录A，本项目属于“</w:t>
            </w:r>
            <w:r>
              <w:rPr>
                <w:rFonts w:hint="default" w:ascii="Times New Roman" w:hAnsi="Times New Roman" w:eastAsia="宋体" w:cs="Times New Roman"/>
                <w:color w:val="auto"/>
                <w:sz w:val="24"/>
                <w:lang w:val="en-US" w:eastAsia="zh-CN"/>
              </w:rPr>
              <w:t>I金属制品</w:t>
            </w:r>
            <w:r>
              <w:rPr>
                <w:rFonts w:hint="default" w:ascii="Times New Roman" w:hAnsi="Times New Roman" w:eastAsia="宋体" w:cs="Times New Roman"/>
                <w:color w:val="auto"/>
                <w:sz w:val="24"/>
              </w:rPr>
              <w:t>”大类中的“</w:t>
            </w:r>
            <w:r>
              <w:rPr>
                <w:rFonts w:hint="default" w:ascii="Times New Roman" w:hAnsi="Times New Roman" w:eastAsia="宋体" w:cs="Times New Roman"/>
                <w:color w:val="auto"/>
                <w:sz w:val="24"/>
                <w:lang w:val="en-US" w:eastAsia="zh-CN"/>
              </w:rPr>
              <w:t>51表面</w:t>
            </w:r>
            <w:r>
              <w:rPr>
                <w:rFonts w:hint="default" w:ascii="Times New Roman" w:hAnsi="Times New Roman" w:eastAsia="宋体" w:cs="Times New Roman"/>
                <w:color w:val="auto"/>
                <w:sz w:val="24"/>
                <w:lang w:eastAsia="zh-CN"/>
              </w:rPr>
              <w:t>处理及热处理加工</w:t>
            </w:r>
            <w:r>
              <w:rPr>
                <w:rFonts w:hint="default" w:ascii="Times New Roman" w:hAnsi="Times New Roman" w:eastAsia="宋体" w:cs="Times New Roman"/>
                <w:color w:val="auto"/>
                <w:sz w:val="24"/>
              </w:rPr>
              <w:t>”中“其他”类别。本项目属于IV类项目，无需开展地下水环境影响评价。</w:t>
            </w:r>
          </w:p>
          <w:p>
            <w:pPr>
              <w:pStyle w:val="5"/>
              <w:adjustRightInd w:val="0"/>
              <w:snapToGrid w:val="0"/>
              <w:spacing w:line="360" w:lineRule="auto"/>
              <w:ind w:firstLine="0"/>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6、土壤环境影响分析</w:t>
            </w:r>
          </w:p>
          <w:p>
            <w:pPr>
              <w:adjustRightInd w:val="0"/>
              <w:snapToGrid w:val="0"/>
              <w:spacing w:line="360" w:lineRule="auto"/>
              <w:ind w:firstLine="520" w:firstLineChars="217"/>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根据《环境影响评价技术导则 土壤环境（试行》（HJ964-2018）中附录 A 规定，本项目属于“制造业”中“设备制造、金属制品、汽车制造及其他用品制造”中“金属制品表面处理”类别，</w:t>
            </w:r>
            <w:r>
              <w:rPr>
                <w:rFonts w:hint="default" w:ascii="Times New Roman" w:hAnsi="Times New Roman" w:eastAsia="宋体" w:cs="Times New Roman"/>
                <w:color w:val="auto"/>
                <w:sz w:val="24"/>
                <w:lang w:val="en-US" w:eastAsia="zh-CN"/>
              </w:rPr>
              <w:t>行业类别为</w:t>
            </w:r>
            <w:r>
              <w:rPr>
                <w:rFonts w:hint="default" w:ascii="Times New Roman" w:hAnsi="Times New Roman" w:eastAsia="宋体" w:cs="Times New Roman"/>
                <w:color w:val="auto"/>
                <w:sz w:val="24"/>
                <w:szCs w:val="24"/>
              </w:rPr>
              <w:t>Ⅰ</w:t>
            </w:r>
            <w:r>
              <w:rPr>
                <w:rFonts w:hint="default" w:ascii="Times New Roman" w:hAnsi="Times New Roman" w:eastAsia="宋体" w:cs="Times New Roman"/>
                <w:color w:val="auto"/>
                <w:sz w:val="24"/>
                <w:szCs w:val="24"/>
                <w:lang w:val="en-US" w:eastAsia="zh-CN"/>
              </w:rPr>
              <w:t>类</w:t>
            </w:r>
            <w:r>
              <w:rPr>
                <w:rFonts w:hint="default" w:ascii="Times New Roman" w:hAnsi="Times New Roman" w:eastAsia="宋体" w:cs="Times New Roman"/>
                <w:color w:val="auto"/>
                <w:sz w:val="24"/>
              </w:rPr>
              <w:t>。经分析，本项目属于污染影响型项目，</w:t>
            </w:r>
            <w:r>
              <w:rPr>
                <w:rFonts w:hint="default" w:ascii="Times New Roman" w:hAnsi="Times New Roman" w:eastAsia="宋体" w:cs="Times New Roman"/>
                <w:color w:val="auto"/>
                <w:sz w:val="24"/>
                <w:lang w:val="en-US" w:eastAsia="zh-CN"/>
              </w:rPr>
              <w:t>厂区</w:t>
            </w:r>
            <w:r>
              <w:rPr>
                <w:rFonts w:hint="default" w:ascii="Times New Roman" w:hAnsi="Times New Roman" w:eastAsia="宋体" w:cs="Times New Roman"/>
                <w:color w:val="auto"/>
                <w:sz w:val="24"/>
              </w:rPr>
              <w:t>占地面积约</w:t>
            </w:r>
            <w:r>
              <w:rPr>
                <w:rFonts w:hint="default" w:ascii="Times New Roman" w:hAnsi="Times New Roman" w:eastAsia="宋体" w:cs="Times New Roman"/>
                <w:color w:val="auto"/>
                <w:sz w:val="24"/>
                <w:szCs w:val="21"/>
              </w:rPr>
              <w:t>0.</w:t>
            </w:r>
            <w:r>
              <w:rPr>
                <w:rFonts w:hint="default" w:ascii="Times New Roman" w:hAnsi="Times New Roman" w:eastAsia="宋体" w:cs="Times New Roman"/>
                <w:color w:val="auto"/>
                <w:sz w:val="24"/>
                <w:szCs w:val="21"/>
                <w:lang w:val="en-US" w:eastAsia="zh-CN"/>
              </w:rPr>
              <w:t>4875</w:t>
            </w:r>
            <w:r>
              <w:rPr>
                <w:rFonts w:hint="default" w:ascii="Times New Roman" w:hAnsi="Times New Roman" w:eastAsia="宋体" w:cs="Times New Roman"/>
                <w:color w:val="auto"/>
                <w:sz w:val="24"/>
              </w:rPr>
              <w:t>公顷，属于小型</w:t>
            </w:r>
            <w:r>
              <w:rPr>
                <w:rFonts w:hint="default" w:ascii="Times New Roman" w:hAnsi="Times New Roman" w:eastAsia="宋体" w:cs="Times New Roman"/>
                <w:color w:val="auto"/>
                <w:sz w:val="24"/>
                <w:lang w:val="en-US" w:eastAsia="zh-CN"/>
              </w:rPr>
              <w:t>占地规模</w:t>
            </w:r>
            <w:r>
              <w:rPr>
                <w:rFonts w:hint="default" w:ascii="Times New Roman" w:hAnsi="Times New Roman" w:eastAsia="宋体" w:cs="Times New Roman"/>
                <w:color w:val="auto"/>
                <w:sz w:val="24"/>
              </w:rPr>
              <w:t>。经现场调查，本项目厂界周边100m范围内无居民区等土壤环境敏感目标，故土壤环境敏感程度属于不敏感。根据《环境影响评价技术导则 土壤环境（试行》（HJ964-2018）中表4的评价工作等级划分表，本项目土壤环境评价等级为“</w:t>
            </w:r>
            <w:r>
              <w:rPr>
                <w:rFonts w:hint="default" w:ascii="Times New Roman" w:hAnsi="Times New Roman" w:eastAsia="宋体" w:cs="Times New Roman"/>
                <w:color w:val="auto"/>
                <w:sz w:val="24"/>
                <w:lang w:val="en-US" w:eastAsia="zh-CN"/>
              </w:rPr>
              <w:t>二级</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val="en-US" w:eastAsia="zh-CN"/>
              </w:rPr>
              <w:t>需</w:t>
            </w:r>
            <w:r>
              <w:rPr>
                <w:rFonts w:hint="default" w:ascii="Times New Roman" w:hAnsi="Times New Roman" w:eastAsia="宋体" w:cs="Times New Roman"/>
                <w:color w:val="auto"/>
                <w:sz w:val="24"/>
              </w:rPr>
              <w:t>开展土壤环境影响评价工作。</w:t>
            </w:r>
          </w:p>
          <w:p>
            <w:pPr>
              <w:pStyle w:val="72"/>
              <w:spacing w:after="0" w:line="360" w:lineRule="auto"/>
              <w:ind w:firstLine="499"/>
              <w:jc w:val="left"/>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lang w:val="en-US" w:eastAsia="zh-CN"/>
              </w:rPr>
              <w:t>（1）</w:t>
            </w:r>
            <w:r>
              <w:rPr>
                <w:rFonts w:hint="default" w:ascii="Times New Roman" w:hAnsi="Times New Roman" w:eastAsia="宋体" w:cs="Times New Roman"/>
                <w:b/>
                <w:bCs/>
                <w:color w:val="auto"/>
                <w:sz w:val="24"/>
                <w:szCs w:val="24"/>
              </w:rPr>
              <w:t>土壤环境影响评价</w:t>
            </w:r>
          </w:p>
          <w:p>
            <w:pPr>
              <w:pStyle w:val="72"/>
              <w:snapToGrid w:val="0"/>
              <w:spacing w:after="0" w:line="360" w:lineRule="auto"/>
              <w:ind w:firstLine="480" w:firstLineChars="200"/>
              <w:jc w:val="left"/>
              <w:rPr>
                <w:rFonts w:hint="default" w:ascii="Times New Roman" w:hAnsi="Times New Roman" w:eastAsia="宋体" w:cs="Times New Roman"/>
                <w:color w:val="auto"/>
                <w:sz w:val="24"/>
                <w:szCs w:val="24"/>
              </w:rPr>
            </w:pPr>
            <w:bookmarkStart w:id="8" w:name="bookmark235"/>
            <w:bookmarkEnd w:id="8"/>
            <w:r>
              <w:rPr>
                <w:rFonts w:hint="default" w:ascii="Times New Roman" w:hAnsi="Times New Roman" w:eastAsia="宋体" w:cs="Times New Roman"/>
                <w:color w:val="auto"/>
                <w:sz w:val="24"/>
                <w:szCs w:val="24"/>
              </w:rPr>
              <w:t>土壤评价范围</w:t>
            </w:r>
          </w:p>
          <w:p>
            <w:pPr>
              <w:pStyle w:val="72"/>
              <w:snapToGrid w:val="0"/>
              <w:spacing w:after="0" w:line="360" w:lineRule="auto"/>
              <w:ind w:firstLine="480" w:firstLineChars="20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根据《环境影响评价技术导则土壤环境》</w:t>
            </w:r>
            <w:r>
              <w:rPr>
                <w:rFonts w:hint="default" w:ascii="Times New Roman" w:hAnsi="Times New Roman" w:eastAsia="宋体" w:cs="Times New Roman"/>
                <w:color w:val="auto"/>
                <w:sz w:val="24"/>
                <w:szCs w:val="24"/>
                <w:lang w:val="en-US" w:eastAsia="zh-CN"/>
              </w:rPr>
              <w:t>(HJ964—</w:t>
            </w:r>
            <w:r>
              <w:rPr>
                <w:rFonts w:hint="default" w:ascii="Times New Roman" w:hAnsi="Times New Roman" w:eastAsia="宋体" w:cs="Times New Roman"/>
                <w:color w:val="auto"/>
                <w:sz w:val="24"/>
                <w:szCs w:val="24"/>
              </w:rPr>
              <w:t>2018)，本项目评价工作等级为</w:t>
            </w:r>
            <w:r>
              <w:rPr>
                <w:rFonts w:hint="default" w:ascii="Times New Roman" w:hAnsi="Times New Roman" w:eastAsia="宋体" w:cs="Times New Roman"/>
                <w:color w:val="auto"/>
                <w:sz w:val="24"/>
                <w:szCs w:val="24"/>
                <w:lang w:eastAsia="zh-CN"/>
              </w:rPr>
              <w:t>三级</w:t>
            </w:r>
            <w:r>
              <w:rPr>
                <w:rFonts w:hint="default" w:ascii="Times New Roman" w:hAnsi="Times New Roman" w:eastAsia="宋体" w:cs="Times New Roman"/>
                <w:color w:val="auto"/>
                <w:sz w:val="24"/>
                <w:szCs w:val="24"/>
              </w:rPr>
              <w:t>的污染影响型项目，对照</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zh-CN" w:eastAsia="zh-CN"/>
              </w:rPr>
              <w:t>表</w:t>
            </w:r>
            <w:r>
              <w:rPr>
                <w:rFonts w:hint="default" w:ascii="Times New Roman" w:hAnsi="Times New Roman" w:eastAsia="宋体" w:cs="Times New Roman"/>
                <w:color w:val="auto"/>
                <w:sz w:val="24"/>
                <w:szCs w:val="24"/>
              </w:rPr>
              <w:t>5现状调查范围</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zh-CN" w:eastAsia="zh-CN"/>
              </w:rPr>
              <w:t>，调</w:t>
            </w:r>
            <w:r>
              <w:rPr>
                <w:rFonts w:hint="default" w:ascii="Times New Roman" w:hAnsi="Times New Roman" w:eastAsia="宋体" w:cs="Times New Roman"/>
                <w:color w:val="auto"/>
                <w:sz w:val="24"/>
                <w:szCs w:val="24"/>
              </w:rPr>
              <w:t>查范围为厂界外扩</w:t>
            </w:r>
            <w:r>
              <w:rPr>
                <w:rFonts w:hint="default" w:ascii="Times New Roman" w:hAnsi="Times New Roman" w:eastAsia="宋体" w:cs="Times New Roman"/>
                <w:color w:val="auto"/>
                <w:sz w:val="24"/>
                <w:szCs w:val="24"/>
                <w:lang w:val="en-US" w:eastAsia="zh-CN"/>
              </w:rPr>
              <w:t>0.05km。</w:t>
            </w:r>
          </w:p>
          <w:p>
            <w:pPr>
              <w:pStyle w:val="72"/>
              <w:snapToGrid w:val="0"/>
              <w:spacing w:after="0" w:line="360" w:lineRule="auto"/>
              <w:ind w:firstLine="480" w:firstLineChars="200"/>
              <w:jc w:val="left"/>
              <w:rPr>
                <w:rFonts w:hint="default" w:ascii="Times New Roman" w:hAnsi="Times New Roman" w:eastAsia="宋体" w:cs="Times New Roman"/>
                <w:color w:val="auto"/>
                <w:sz w:val="24"/>
                <w:szCs w:val="24"/>
              </w:rPr>
            </w:pPr>
            <w:bookmarkStart w:id="9" w:name="bookmark236"/>
            <w:bookmarkEnd w:id="9"/>
            <w:r>
              <w:rPr>
                <w:rFonts w:hint="default" w:ascii="Times New Roman" w:hAnsi="Times New Roman" w:eastAsia="宋体" w:cs="Times New Roman"/>
                <w:color w:val="auto"/>
                <w:sz w:val="24"/>
                <w:szCs w:val="24"/>
              </w:rPr>
              <w:t>土壤环境影响识别</w:t>
            </w:r>
          </w:p>
          <w:p>
            <w:pPr>
              <w:pStyle w:val="72"/>
              <w:snapToGrid w:val="0"/>
              <w:spacing w:after="0" w:line="360" w:lineRule="auto"/>
              <w:ind w:firstLine="480" w:firstLineChars="200"/>
              <w:jc w:val="left"/>
              <w:rPr>
                <w:rFonts w:hint="default" w:ascii="Times New Roman" w:hAnsi="Times New Roman" w:eastAsia="宋体" w:cs="Times New Roman"/>
                <w:color w:val="auto"/>
              </w:rPr>
            </w:pPr>
            <w:r>
              <w:rPr>
                <w:rFonts w:hint="default" w:ascii="Times New Roman" w:hAnsi="Times New Roman" w:eastAsia="宋体" w:cs="Times New Roman"/>
                <w:color w:val="auto"/>
                <w:sz w:val="24"/>
                <w:szCs w:val="24"/>
              </w:rPr>
              <w:t>根据工程组成，建设项目对土壤的影响可分为建设期、运营期、服务期满后</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服务期满后须另作分析评价，本报告不包含服务期满后内容。</w:t>
            </w:r>
          </w:p>
          <w:p>
            <w:pPr>
              <w:pStyle w:val="72"/>
              <w:snapToGrid w:val="0"/>
              <w:spacing w:after="0" w:line="360" w:lineRule="auto"/>
              <w:ind w:firstLine="480" w:firstLineChars="200"/>
              <w:jc w:val="left"/>
              <w:rPr>
                <w:rFonts w:hint="default" w:ascii="Times New Roman" w:hAnsi="Times New Roman" w:eastAsia="宋体" w:cs="Times New Roman"/>
                <w:color w:val="auto"/>
              </w:rPr>
            </w:pPr>
            <w:r>
              <w:rPr>
                <w:rFonts w:hint="default" w:ascii="Times New Roman" w:hAnsi="Times New Roman" w:eastAsia="宋体" w:cs="Times New Roman"/>
                <w:color w:val="auto"/>
                <w:sz w:val="24"/>
                <w:szCs w:val="24"/>
              </w:rPr>
              <w:t>本项目利用现有厂房进行扩建，施工期主要是对生产、环保及公辅设备进行安装、调试，因此本项目建设期对土壤环境产生的影响不明显。</w:t>
            </w:r>
          </w:p>
          <w:p>
            <w:pPr>
              <w:pStyle w:val="72"/>
              <w:snapToGrid w:val="0"/>
              <w:spacing w:after="0" w:line="360" w:lineRule="auto"/>
              <w:ind w:firstLine="480" w:firstLineChars="200"/>
              <w:jc w:val="left"/>
              <w:rPr>
                <w:rFonts w:hint="default" w:ascii="Times New Roman" w:hAnsi="Times New Roman" w:eastAsia="宋体" w:cs="Times New Roman"/>
                <w:color w:val="auto"/>
              </w:rPr>
            </w:pPr>
            <w:r>
              <w:rPr>
                <w:rFonts w:hint="default" w:ascii="Times New Roman" w:hAnsi="Times New Roman" w:eastAsia="宋体" w:cs="Times New Roman"/>
                <w:color w:val="auto"/>
                <w:sz w:val="24"/>
                <w:szCs w:val="24"/>
              </w:rPr>
              <w:t>运营期环境影响识别主要针对排放的大气污染物、水污染物等，本项目主要包各生产车间等对土壤产生的影响。</w:t>
            </w:r>
          </w:p>
          <w:p>
            <w:pPr>
              <w:pStyle w:val="72"/>
              <w:snapToGrid w:val="0"/>
              <w:spacing w:after="0" w:line="360" w:lineRule="auto"/>
              <w:ind w:firstLine="480" w:firstLineChars="200"/>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本项目土壤环境影响类型及影响途径见表</w:t>
            </w:r>
            <w:r>
              <w:rPr>
                <w:rFonts w:hint="default" w:ascii="Times New Roman" w:hAnsi="Times New Roman" w:eastAsia="宋体" w:cs="Times New Roman"/>
                <w:color w:val="auto"/>
                <w:sz w:val="24"/>
                <w:szCs w:val="24"/>
                <w:lang w:val="en-US" w:eastAsia="zh-CN"/>
              </w:rPr>
              <w:t>4-2</w:t>
            </w:r>
            <w:r>
              <w:rPr>
                <w:rFonts w:hint="eastAsia" w:ascii="Times New Roman" w:hAnsi="Times New Roman" w:cs="Times New Roman"/>
                <w:color w:val="auto"/>
                <w:sz w:val="24"/>
                <w:szCs w:val="24"/>
                <w:lang w:val="en-US" w:eastAsia="zh-CN"/>
              </w:rPr>
              <w:t>4</w:t>
            </w:r>
            <w:r>
              <w:rPr>
                <w:rFonts w:hint="default"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rPr>
              <w:t>土壤环境影响源及影响因子识别见表</w:t>
            </w:r>
            <w:r>
              <w:rPr>
                <w:rFonts w:hint="default" w:ascii="Times New Roman" w:hAnsi="Times New Roman" w:eastAsia="宋体" w:cs="Times New Roman"/>
                <w:color w:val="auto"/>
                <w:sz w:val="24"/>
                <w:szCs w:val="24"/>
                <w:lang w:val="en-US" w:eastAsia="zh-CN"/>
              </w:rPr>
              <w:t>4-2</w:t>
            </w:r>
            <w:r>
              <w:rPr>
                <w:rFonts w:hint="eastAsia" w:ascii="Times New Roman" w:hAnsi="Times New Roman" w:cs="Times New Roman"/>
                <w:color w:val="auto"/>
                <w:sz w:val="24"/>
                <w:szCs w:val="24"/>
                <w:lang w:val="en-US" w:eastAsia="zh-CN"/>
              </w:rPr>
              <w:t>5</w:t>
            </w:r>
            <w:r>
              <w:rPr>
                <w:rFonts w:hint="default" w:ascii="Times New Roman" w:hAnsi="Times New Roman" w:eastAsia="宋体" w:cs="Times New Roman"/>
                <w:color w:val="auto"/>
                <w:sz w:val="24"/>
                <w:szCs w:val="24"/>
              </w:rPr>
              <w:t>。</w:t>
            </w:r>
          </w:p>
          <w:p>
            <w:pPr>
              <w:pStyle w:val="73"/>
              <w:ind w:left="1627"/>
              <w:jc w:val="left"/>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rPr>
              <w:t>表</w:t>
            </w:r>
            <w:r>
              <w:rPr>
                <w:rFonts w:hint="default" w:ascii="Times New Roman" w:hAnsi="Times New Roman" w:eastAsia="宋体" w:cs="Times New Roman"/>
                <w:b/>
                <w:bCs/>
                <w:color w:val="auto"/>
                <w:sz w:val="24"/>
                <w:szCs w:val="24"/>
                <w:lang w:val="en-US" w:eastAsia="zh-CN"/>
              </w:rPr>
              <w:t>4-2</w:t>
            </w:r>
            <w:r>
              <w:rPr>
                <w:rFonts w:hint="eastAsia" w:ascii="Times New Roman" w:hAnsi="Times New Roman" w:eastAsia="宋体" w:cs="Times New Roman"/>
                <w:b/>
                <w:bCs/>
                <w:color w:val="auto"/>
                <w:sz w:val="24"/>
                <w:szCs w:val="24"/>
                <w:lang w:val="en-US" w:eastAsia="zh-CN"/>
              </w:rPr>
              <w:t>4</w:t>
            </w:r>
            <w:r>
              <w:rPr>
                <w:rFonts w:hint="default" w:ascii="Times New Roman" w:hAnsi="Times New Roman" w:eastAsia="宋体" w:cs="Times New Roman"/>
                <w:b/>
                <w:bCs/>
                <w:color w:val="auto"/>
                <w:sz w:val="24"/>
                <w:szCs w:val="24"/>
                <w:lang w:val="en-US" w:eastAsia="zh-CN" w:bidi="en-US"/>
              </w:rPr>
              <w:t xml:space="preserve"> </w:t>
            </w:r>
            <w:r>
              <w:rPr>
                <w:rFonts w:hint="default" w:ascii="Times New Roman" w:hAnsi="Times New Roman" w:eastAsia="宋体" w:cs="Times New Roman"/>
                <w:b/>
                <w:bCs/>
                <w:color w:val="auto"/>
                <w:sz w:val="24"/>
                <w:szCs w:val="24"/>
              </w:rPr>
              <w:t>本项目土壤环境影响类型及影响途径表</w:t>
            </w:r>
          </w:p>
          <w:tbl>
            <w:tblPr>
              <w:tblStyle w:val="22"/>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 w:type="dxa"/>
                <w:bottom w:w="0" w:type="dxa"/>
                <w:right w:w="10" w:type="dxa"/>
              </w:tblCellMar>
            </w:tblPr>
            <w:tblGrid>
              <w:gridCol w:w="2084"/>
              <w:gridCol w:w="2040"/>
              <w:gridCol w:w="2040"/>
              <w:gridCol w:w="207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jc w:val="center"/>
              </w:trPr>
              <w:tc>
                <w:tcPr>
                  <w:tcW w:w="1264" w:type="pct"/>
                  <w:vMerge w:val="restart"/>
                  <w:vAlign w:val="center"/>
                </w:tcPr>
                <w:p>
                  <w:pPr>
                    <w:pStyle w:val="71"/>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不同时段</w:t>
                  </w:r>
                </w:p>
              </w:tc>
              <w:tc>
                <w:tcPr>
                  <w:tcW w:w="3735" w:type="pct"/>
                  <w:gridSpan w:val="3"/>
                  <w:vAlign w:val="center"/>
                </w:tcPr>
                <w:p>
                  <w:pPr>
                    <w:pStyle w:val="71"/>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污染影响型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jc w:val="center"/>
              </w:trPr>
              <w:tc>
                <w:tcPr>
                  <w:tcW w:w="1264" w:type="pct"/>
                  <w:vMerge w:val="continue"/>
                  <w:vAlign w:val="center"/>
                </w:tcPr>
                <w:p>
                  <w:pPr>
                    <w:jc w:val="center"/>
                    <w:rPr>
                      <w:rFonts w:hint="default" w:ascii="Times New Roman" w:hAnsi="Times New Roman" w:eastAsia="宋体" w:cs="Times New Roman"/>
                      <w:b/>
                      <w:color w:val="auto"/>
                      <w:szCs w:val="21"/>
                    </w:rPr>
                  </w:pPr>
                </w:p>
              </w:tc>
              <w:tc>
                <w:tcPr>
                  <w:tcW w:w="1237" w:type="pct"/>
                  <w:vAlign w:val="center"/>
                </w:tcPr>
                <w:p>
                  <w:pPr>
                    <w:pStyle w:val="71"/>
                    <w:jc w:val="center"/>
                    <w:rPr>
                      <w:rFonts w:hint="default" w:ascii="Times New Roman" w:hAnsi="Times New Roman" w:eastAsia="宋体" w:cs="Times New Roman"/>
                      <w:b/>
                      <w:color w:val="auto"/>
                      <w:sz w:val="21"/>
                      <w:szCs w:val="21"/>
                      <w:lang w:eastAsia="zh-CN"/>
                    </w:rPr>
                  </w:pPr>
                  <w:r>
                    <w:rPr>
                      <w:rFonts w:hint="default" w:ascii="Times New Roman" w:hAnsi="Times New Roman" w:eastAsia="宋体" w:cs="Times New Roman"/>
                      <w:b/>
                      <w:color w:val="auto"/>
                      <w:sz w:val="21"/>
                      <w:szCs w:val="21"/>
                    </w:rPr>
                    <w:t>大气</w:t>
                  </w:r>
                  <w:r>
                    <w:rPr>
                      <w:rFonts w:hint="default" w:ascii="Times New Roman" w:hAnsi="Times New Roman" w:eastAsia="宋体" w:cs="Times New Roman"/>
                      <w:b/>
                      <w:color w:val="auto"/>
                      <w:sz w:val="21"/>
                      <w:szCs w:val="21"/>
                      <w:lang w:eastAsia="zh-CN"/>
                    </w:rPr>
                    <w:t>沉降</w:t>
                  </w:r>
                </w:p>
              </w:tc>
              <w:tc>
                <w:tcPr>
                  <w:tcW w:w="1237" w:type="pct"/>
                  <w:vAlign w:val="center"/>
                </w:tcPr>
                <w:p>
                  <w:pPr>
                    <w:pStyle w:val="71"/>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地面漫流</w:t>
                  </w:r>
                </w:p>
              </w:tc>
              <w:tc>
                <w:tcPr>
                  <w:tcW w:w="1261" w:type="pct"/>
                  <w:vAlign w:val="center"/>
                </w:tcPr>
                <w:p>
                  <w:pPr>
                    <w:pStyle w:val="71"/>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垂直入渗</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jc w:val="center"/>
              </w:trPr>
              <w:tc>
                <w:tcPr>
                  <w:tcW w:w="1264" w:type="pct"/>
                  <w:vAlign w:val="center"/>
                </w:tcPr>
                <w:p>
                  <w:pPr>
                    <w:pStyle w:val="71"/>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建设期</w:t>
                  </w:r>
                </w:p>
              </w:tc>
              <w:tc>
                <w:tcPr>
                  <w:tcW w:w="1237" w:type="pct"/>
                  <w:vAlign w:val="center"/>
                </w:tcPr>
                <w:p>
                  <w:pPr>
                    <w:pStyle w:val="71"/>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237" w:type="pct"/>
                  <w:vAlign w:val="center"/>
                </w:tcPr>
                <w:p>
                  <w:pPr>
                    <w:pStyle w:val="71"/>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261" w:type="pct"/>
                  <w:vAlign w:val="center"/>
                </w:tcPr>
                <w:p>
                  <w:pPr>
                    <w:pStyle w:val="71"/>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jc w:val="center"/>
              </w:trPr>
              <w:tc>
                <w:tcPr>
                  <w:tcW w:w="1264" w:type="pct"/>
                  <w:vAlign w:val="center"/>
                </w:tcPr>
                <w:p>
                  <w:pPr>
                    <w:pStyle w:val="71"/>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运营期</w:t>
                  </w:r>
                </w:p>
              </w:tc>
              <w:tc>
                <w:tcPr>
                  <w:tcW w:w="1237"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w:t>
                  </w:r>
                </w:p>
                <w:p>
                  <w:pPr>
                    <w:jc w:val="center"/>
                    <w:rPr>
                      <w:rFonts w:hint="default" w:ascii="Times New Roman" w:hAnsi="Times New Roman" w:eastAsia="宋体" w:cs="Times New Roman"/>
                      <w:color w:val="auto"/>
                      <w:szCs w:val="21"/>
                    </w:rPr>
                  </w:pPr>
                </w:p>
              </w:tc>
              <w:tc>
                <w:tcPr>
                  <w:tcW w:w="1237"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1261"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jc w:val="center"/>
              </w:trPr>
              <w:tc>
                <w:tcPr>
                  <w:tcW w:w="1264" w:type="pct"/>
                  <w:vAlign w:val="center"/>
                </w:tcPr>
                <w:p>
                  <w:pPr>
                    <w:pStyle w:val="71"/>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服务期满后</w:t>
                  </w:r>
                </w:p>
              </w:tc>
              <w:tc>
                <w:tcPr>
                  <w:tcW w:w="1237" w:type="pct"/>
                  <w:vAlign w:val="center"/>
                </w:tcPr>
                <w:p>
                  <w:pPr>
                    <w:pStyle w:val="71"/>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b/>
                      <w:bCs/>
                      <w:color w:val="auto"/>
                      <w:sz w:val="21"/>
                      <w:szCs w:val="21"/>
                    </w:rPr>
                    <w:t>-</w:t>
                  </w:r>
                </w:p>
              </w:tc>
              <w:tc>
                <w:tcPr>
                  <w:tcW w:w="1237" w:type="pct"/>
                  <w:vAlign w:val="center"/>
                </w:tcPr>
                <w:p>
                  <w:pPr>
                    <w:pStyle w:val="71"/>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b/>
                      <w:bCs/>
                      <w:color w:val="auto"/>
                      <w:sz w:val="21"/>
                      <w:szCs w:val="21"/>
                    </w:rPr>
                    <w:t>-</w:t>
                  </w:r>
                </w:p>
              </w:tc>
              <w:tc>
                <w:tcPr>
                  <w:tcW w:w="1261" w:type="pct"/>
                  <w:vAlign w:val="center"/>
                </w:tcPr>
                <w:p>
                  <w:pPr>
                    <w:pStyle w:val="71"/>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b/>
                      <w:bCs/>
                      <w:color w:val="auto"/>
                      <w:sz w:val="21"/>
                      <w:szCs w:val="21"/>
                    </w:rPr>
                    <w:t>-</w:t>
                  </w:r>
                </w:p>
              </w:tc>
            </w:tr>
          </w:tbl>
          <w:p>
            <w:pPr>
              <w:pStyle w:val="73"/>
              <w:ind w:left="1512"/>
              <w:jc w:val="left"/>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rPr>
              <w:t>表</w:t>
            </w:r>
            <w:r>
              <w:rPr>
                <w:rFonts w:hint="default" w:ascii="Times New Roman" w:hAnsi="Times New Roman" w:eastAsia="宋体" w:cs="Times New Roman"/>
                <w:b/>
                <w:bCs/>
                <w:color w:val="auto"/>
                <w:sz w:val="24"/>
                <w:szCs w:val="24"/>
                <w:lang w:val="en-US" w:eastAsia="zh-CN"/>
              </w:rPr>
              <w:t>4-2</w:t>
            </w:r>
            <w:r>
              <w:rPr>
                <w:rFonts w:hint="eastAsia" w:ascii="Times New Roman" w:hAnsi="Times New Roman" w:eastAsia="宋体" w:cs="Times New Roman"/>
                <w:b/>
                <w:bCs/>
                <w:color w:val="auto"/>
                <w:sz w:val="24"/>
                <w:szCs w:val="24"/>
                <w:lang w:val="en-US" w:eastAsia="zh-CN"/>
              </w:rPr>
              <w:t>5</w:t>
            </w:r>
            <w:r>
              <w:rPr>
                <w:rFonts w:hint="default" w:ascii="Times New Roman" w:hAnsi="Times New Roman" w:eastAsia="宋体" w:cs="Times New Roman"/>
                <w:b/>
                <w:bCs/>
                <w:color w:val="auto"/>
                <w:sz w:val="24"/>
                <w:szCs w:val="24"/>
                <w:lang w:val="en-US" w:eastAsia="zh-CN" w:bidi="en-US"/>
              </w:rPr>
              <w:t xml:space="preserve"> </w:t>
            </w:r>
            <w:r>
              <w:rPr>
                <w:rFonts w:hint="default" w:ascii="Times New Roman" w:hAnsi="Times New Roman" w:eastAsia="宋体" w:cs="Times New Roman"/>
                <w:b/>
                <w:bCs/>
                <w:color w:val="auto"/>
                <w:sz w:val="24"/>
                <w:szCs w:val="24"/>
              </w:rPr>
              <w:t>本项目土壤环境影响源及影响因子识别表</w:t>
            </w:r>
          </w:p>
          <w:tbl>
            <w:tblPr>
              <w:tblStyle w:val="22"/>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 w:type="dxa"/>
                <w:bottom w:w="0" w:type="dxa"/>
                <w:right w:w="10" w:type="dxa"/>
              </w:tblCellMar>
            </w:tblPr>
            <w:tblGrid>
              <w:gridCol w:w="1310"/>
              <w:gridCol w:w="1978"/>
              <w:gridCol w:w="1342"/>
              <w:gridCol w:w="1804"/>
              <w:gridCol w:w="1140"/>
              <w:gridCol w:w="66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atLeast"/>
                <w:jc w:val="center"/>
              </w:trPr>
              <w:tc>
                <w:tcPr>
                  <w:tcW w:w="795" w:type="pct"/>
                  <w:vAlign w:val="center"/>
                </w:tcPr>
                <w:p>
                  <w:pPr>
                    <w:pStyle w:val="71"/>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污染源</w:t>
                  </w:r>
                </w:p>
              </w:tc>
              <w:tc>
                <w:tcPr>
                  <w:tcW w:w="1200" w:type="pct"/>
                  <w:vAlign w:val="center"/>
                </w:tcPr>
                <w:p>
                  <w:pPr>
                    <w:pStyle w:val="71"/>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工艺流程/节点</w:t>
                  </w:r>
                </w:p>
              </w:tc>
              <w:tc>
                <w:tcPr>
                  <w:tcW w:w="814" w:type="pct"/>
                  <w:vAlign w:val="center"/>
                </w:tcPr>
                <w:p>
                  <w:pPr>
                    <w:pStyle w:val="71"/>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污染途径</w:t>
                  </w:r>
                </w:p>
              </w:tc>
              <w:tc>
                <w:tcPr>
                  <w:tcW w:w="1094" w:type="pct"/>
                  <w:vAlign w:val="center"/>
                </w:tcPr>
                <w:p>
                  <w:pPr>
                    <w:pStyle w:val="71"/>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全部污染物指标</w:t>
                  </w:r>
                </w:p>
              </w:tc>
              <w:tc>
                <w:tcPr>
                  <w:tcW w:w="692" w:type="pct"/>
                  <w:vAlign w:val="center"/>
                </w:tcPr>
                <w:p>
                  <w:pPr>
                    <w:pStyle w:val="71"/>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特征因子</w:t>
                  </w:r>
                </w:p>
              </w:tc>
              <w:tc>
                <w:tcPr>
                  <w:tcW w:w="404" w:type="pct"/>
                  <w:vAlign w:val="center"/>
                </w:tcPr>
                <w:p>
                  <w:pPr>
                    <w:pStyle w:val="71"/>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atLeast"/>
                <w:jc w:val="center"/>
              </w:trPr>
              <w:tc>
                <w:tcPr>
                  <w:tcW w:w="795" w:type="pct"/>
                  <w:vAlign w:val="center"/>
                </w:tcPr>
                <w:p>
                  <w:pPr>
                    <w:pStyle w:val="71"/>
                    <w:ind w:firstLine="14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生产车间</w:t>
                  </w:r>
                </w:p>
              </w:tc>
              <w:tc>
                <w:tcPr>
                  <w:tcW w:w="1200" w:type="pct"/>
                  <w:vAlign w:val="center"/>
                </w:tcPr>
                <w:p>
                  <w:pPr>
                    <w:pStyle w:val="71"/>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电泳线</w:t>
                  </w:r>
                </w:p>
              </w:tc>
              <w:tc>
                <w:tcPr>
                  <w:tcW w:w="814" w:type="pct"/>
                  <w:vAlign w:val="center"/>
                </w:tcPr>
                <w:p>
                  <w:pPr>
                    <w:pStyle w:val="71"/>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大气沉降</w:t>
                  </w:r>
                </w:p>
              </w:tc>
              <w:tc>
                <w:tcPr>
                  <w:tcW w:w="1094" w:type="pct"/>
                  <w:vAlign w:val="center"/>
                </w:tcPr>
                <w:p>
                  <w:pPr>
                    <w:pStyle w:val="71"/>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非甲烷总烃</w:t>
                  </w:r>
                </w:p>
              </w:tc>
              <w:tc>
                <w:tcPr>
                  <w:tcW w:w="692" w:type="pct"/>
                  <w:vAlign w:val="center"/>
                </w:tcPr>
                <w:p>
                  <w:pPr>
                    <w:pStyle w:val="71"/>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404" w:type="pct"/>
                  <w:vAlign w:val="center"/>
                </w:tcPr>
                <w:p>
                  <w:pPr>
                    <w:pStyle w:val="71"/>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连续</w:t>
                  </w:r>
                </w:p>
              </w:tc>
            </w:tr>
          </w:tbl>
          <w:p>
            <w:pPr>
              <w:pStyle w:val="73"/>
              <w:spacing w:line="360" w:lineRule="auto"/>
              <w:ind w:firstLine="482" w:firstLineChars="200"/>
              <w:jc w:val="left"/>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lang w:val="en-US" w:eastAsia="zh-CN"/>
              </w:rPr>
              <w:t>（2）</w:t>
            </w:r>
            <w:r>
              <w:rPr>
                <w:rFonts w:hint="default" w:ascii="Times New Roman" w:hAnsi="Times New Roman" w:eastAsia="宋体" w:cs="Times New Roman"/>
                <w:b/>
                <w:bCs/>
                <w:color w:val="auto"/>
                <w:sz w:val="24"/>
                <w:szCs w:val="24"/>
              </w:rPr>
              <w:t>区域土壤环境现状</w:t>
            </w:r>
          </w:p>
          <w:p>
            <w:pPr>
              <w:pStyle w:val="72"/>
              <w:numPr>
                <w:ilvl w:val="0"/>
                <w:numId w:val="3"/>
              </w:numPr>
              <w:tabs>
                <w:tab w:val="left" w:pos="921"/>
              </w:tabs>
              <w:spacing w:after="0" w:line="360" w:lineRule="auto"/>
              <w:ind w:firstLine="499"/>
              <w:rPr>
                <w:rFonts w:hint="default" w:ascii="Times New Roman" w:hAnsi="Times New Roman" w:eastAsia="宋体" w:cs="Times New Roman"/>
                <w:color w:val="auto"/>
                <w:sz w:val="24"/>
                <w:szCs w:val="24"/>
              </w:rPr>
            </w:pPr>
            <w:bookmarkStart w:id="10" w:name="bookmark238"/>
            <w:bookmarkEnd w:id="10"/>
            <w:r>
              <w:rPr>
                <w:rFonts w:hint="default" w:ascii="Times New Roman" w:hAnsi="Times New Roman" w:eastAsia="宋体" w:cs="Times New Roman"/>
                <w:color w:val="auto"/>
                <w:sz w:val="24"/>
                <w:szCs w:val="24"/>
              </w:rPr>
              <w:t>地形地貌</w:t>
            </w:r>
          </w:p>
          <w:p>
            <w:pPr>
              <w:pStyle w:val="72"/>
              <w:spacing w:after="0" w:line="360" w:lineRule="auto"/>
              <w:ind w:firstLine="480" w:firstLineChars="20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武进区地处长江三角洲太湖平原西部，境内地势平坦，河网稠密，具有典型的江南水乡自然风貌。地形西高东低，略呈倾斜，构造上属下扬子台褶带，平原面积占总面积的99%。平原高差不大，一般海拔（高程以吴淞零点起算）5〜</w:t>
            </w:r>
            <w:r>
              <w:rPr>
                <w:rFonts w:hint="default" w:ascii="Times New Roman" w:hAnsi="Times New Roman" w:eastAsia="宋体" w:cs="Times New Roman"/>
                <w:color w:val="auto"/>
                <w:sz w:val="24"/>
                <w:szCs w:val="24"/>
                <w:lang w:val="en-US" w:eastAsia="zh-CN"/>
              </w:rPr>
              <w:t>7 m。</w:t>
            </w:r>
            <w:r>
              <w:rPr>
                <w:rFonts w:hint="default" w:ascii="Times New Roman" w:hAnsi="Times New Roman" w:eastAsia="宋体" w:cs="Times New Roman"/>
                <w:color w:val="auto"/>
                <w:sz w:val="24"/>
                <w:szCs w:val="24"/>
              </w:rPr>
              <w:t>东南东北西北边缘地带，有低山丘陵，占总面积的1.84%</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山丘一般海拔70〜</w:t>
            </w:r>
            <w:r>
              <w:rPr>
                <w:rFonts w:hint="default" w:ascii="Times New Roman" w:hAnsi="Times New Roman" w:eastAsia="宋体" w:cs="Times New Roman"/>
                <w:color w:val="auto"/>
                <w:sz w:val="24"/>
                <w:szCs w:val="24"/>
                <w:lang w:val="en-US" w:eastAsia="zh-CN"/>
              </w:rPr>
              <w:t>150 m。</w:t>
            </w:r>
            <w:r>
              <w:rPr>
                <w:rFonts w:hint="default" w:ascii="Times New Roman" w:hAnsi="Times New Roman" w:eastAsia="宋体" w:cs="Times New Roman"/>
                <w:color w:val="auto"/>
                <w:sz w:val="24"/>
                <w:szCs w:val="24"/>
              </w:rPr>
              <w:t>平原主要为黄土和乌土；圩区主要为乌土和清泥土；山区主要为红沙土和砾石土。地质条件较好，土层较厚，地基承载力为150〜</w:t>
            </w:r>
            <w:r>
              <w:rPr>
                <w:rFonts w:hint="default" w:ascii="Times New Roman" w:hAnsi="Times New Roman" w:eastAsia="宋体" w:cs="Times New Roman"/>
                <w:color w:val="auto"/>
                <w:sz w:val="24"/>
                <w:szCs w:val="24"/>
                <w:lang w:val="en-US" w:eastAsia="zh-CN"/>
              </w:rPr>
              <w:t>270 kPa。</w:t>
            </w:r>
          </w:p>
          <w:p>
            <w:pPr>
              <w:pStyle w:val="72"/>
              <w:numPr>
                <w:ilvl w:val="0"/>
                <w:numId w:val="3"/>
              </w:numPr>
              <w:tabs>
                <w:tab w:val="left" w:pos="921"/>
              </w:tabs>
              <w:spacing w:after="0" w:line="360" w:lineRule="auto"/>
              <w:ind w:firstLine="480" w:firstLineChars="200"/>
              <w:rPr>
                <w:rFonts w:hint="default" w:ascii="Times New Roman" w:hAnsi="Times New Roman" w:eastAsia="宋体" w:cs="Times New Roman"/>
                <w:color w:val="auto"/>
                <w:sz w:val="24"/>
                <w:szCs w:val="24"/>
              </w:rPr>
            </w:pPr>
            <w:bookmarkStart w:id="11" w:name="bookmark239"/>
            <w:bookmarkEnd w:id="11"/>
            <w:r>
              <w:rPr>
                <w:rFonts w:hint="default" w:ascii="Times New Roman" w:hAnsi="Times New Roman" w:eastAsia="宋体" w:cs="Times New Roman"/>
                <w:color w:val="auto"/>
                <w:sz w:val="24"/>
                <w:szCs w:val="24"/>
              </w:rPr>
              <w:t>土壤类型及理化性质</w:t>
            </w:r>
          </w:p>
          <w:p>
            <w:pPr>
              <w:pStyle w:val="72"/>
              <w:spacing w:after="0" w:line="360" w:lineRule="auto"/>
              <w:ind w:firstLine="480" w:firstLineChars="20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武进区上层地质为第四纪冲击层，由粘土和淤泥组成，厚达</w:t>
            </w:r>
            <w:r>
              <w:rPr>
                <w:rFonts w:hint="default" w:ascii="Times New Roman" w:hAnsi="Times New Roman" w:eastAsia="宋体" w:cs="Times New Roman"/>
                <w:color w:val="auto"/>
                <w:sz w:val="24"/>
                <w:szCs w:val="24"/>
                <w:lang w:val="en-US" w:eastAsia="zh-CN"/>
              </w:rPr>
              <w:t>190m</w:t>
            </w:r>
            <w:r>
              <w:rPr>
                <w:rFonts w:hint="default" w:ascii="Times New Roman" w:hAnsi="Times New Roman" w:eastAsia="宋体" w:cs="Times New Roman"/>
                <w:color w:val="auto"/>
                <w:sz w:val="24"/>
                <w:szCs w:val="24"/>
              </w:rPr>
              <w:t>，冲击层主要组成如下：</w:t>
            </w:r>
          </w:p>
          <w:p>
            <w:pPr>
              <w:pStyle w:val="72"/>
              <w:spacing w:after="0" w:line="360" w:lineRule="auto"/>
              <w:ind w:firstLine="480" w:firstLineChars="20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0〜</w:t>
            </w:r>
            <w:r>
              <w:rPr>
                <w:rFonts w:hint="default" w:ascii="Times New Roman" w:hAnsi="Times New Roman" w:eastAsia="宋体" w:cs="Times New Roman"/>
                <w:color w:val="auto"/>
                <w:sz w:val="24"/>
                <w:szCs w:val="24"/>
                <w:lang w:val="en-US" w:eastAsia="zh-CN"/>
              </w:rPr>
              <w:t>5 m</w:t>
            </w:r>
            <w:r>
              <w:rPr>
                <w:rFonts w:hint="default" w:ascii="Times New Roman" w:hAnsi="Times New Roman" w:eastAsia="宋体" w:cs="Times New Roman"/>
                <w:color w:val="auto"/>
                <w:sz w:val="24"/>
                <w:szCs w:val="24"/>
              </w:rPr>
              <w:t>上表层：由泥土、棕黄粘土组成，有机质含量为</w:t>
            </w:r>
            <w:r>
              <w:rPr>
                <w:rFonts w:hint="default" w:ascii="Times New Roman" w:hAnsi="Times New Roman" w:eastAsia="宋体" w:cs="Times New Roman"/>
                <w:color w:val="auto"/>
                <w:sz w:val="24"/>
                <w:szCs w:val="24"/>
                <w:lang w:val="en-US" w:eastAsia="zh-CN"/>
              </w:rPr>
              <w:t>0.09</w:t>
            </w:r>
            <w:r>
              <w:rPr>
                <w:rFonts w:hint="default" w:ascii="Times New Roman" w:hAnsi="Times New Roman" w:eastAsia="宋体" w:cs="Times New Roman"/>
                <w:color w:val="auto"/>
                <w:sz w:val="24"/>
                <w:szCs w:val="24"/>
              </w:rPr>
              <w:t>〜0.23%</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松散地分布着一些铁锰颗粒；</w:t>
            </w:r>
          </w:p>
          <w:p>
            <w:pPr>
              <w:pStyle w:val="72"/>
              <w:spacing w:after="0" w:line="360" w:lineRule="auto"/>
              <w:ind w:firstLine="480" w:firstLineChars="20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5〜</w:t>
            </w:r>
            <w:r>
              <w:rPr>
                <w:rFonts w:hint="default" w:ascii="Times New Roman" w:hAnsi="Times New Roman" w:eastAsia="宋体" w:cs="Times New Roman"/>
                <w:color w:val="auto"/>
                <w:sz w:val="24"/>
                <w:szCs w:val="24"/>
                <w:lang w:val="en-US" w:eastAsia="zh-CN"/>
              </w:rPr>
              <w:t>40 m</w:t>
            </w:r>
            <w:r>
              <w:rPr>
                <w:rFonts w:hint="default" w:ascii="Times New Roman" w:hAnsi="Times New Roman" w:eastAsia="宋体" w:cs="Times New Roman"/>
                <w:color w:val="auto"/>
                <w:sz w:val="24"/>
                <w:szCs w:val="24"/>
              </w:rPr>
              <w:t>平均分布着淤泥，包括植物化石，处于一系列粘土和淤泥层上面；</w:t>
            </w:r>
          </w:p>
          <w:p>
            <w:pPr>
              <w:pStyle w:val="72"/>
              <w:spacing w:after="0" w:line="360" w:lineRule="auto"/>
              <w:ind w:firstLine="480" w:firstLineChars="20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40〜</w:t>
            </w:r>
            <w:r>
              <w:rPr>
                <w:rFonts w:hint="default" w:ascii="Times New Roman" w:hAnsi="Times New Roman" w:eastAsia="宋体" w:cs="Times New Roman"/>
                <w:color w:val="auto"/>
                <w:sz w:val="24"/>
                <w:szCs w:val="24"/>
                <w:lang w:val="en-US" w:eastAsia="zh-CN"/>
              </w:rPr>
              <w:t>190 m</w:t>
            </w:r>
            <w:r>
              <w:rPr>
                <w:rFonts w:hint="default" w:ascii="Times New Roman" w:hAnsi="Times New Roman" w:eastAsia="宋体" w:cs="Times New Roman"/>
                <w:color w:val="auto"/>
                <w:sz w:val="24"/>
                <w:szCs w:val="24"/>
              </w:rPr>
              <w:t>由粘土、淤泥和砂粘组成的一些其他结构，地下水位一般在地面下1〜</w:t>
            </w:r>
            <w:r>
              <w:rPr>
                <w:rFonts w:hint="default" w:ascii="Times New Roman" w:hAnsi="Times New Roman" w:eastAsia="宋体" w:cs="Times New Roman"/>
                <w:color w:val="auto"/>
                <w:sz w:val="24"/>
                <w:szCs w:val="24"/>
                <w:lang w:val="en-US" w:eastAsia="zh-CN"/>
              </w:rPr>
              <w:t>3m。</w:t>
            </w:r>
            <w:r>
              <w:rPr>
                <w:rFonts w:hint="default" w:ascii="Times New Roman" w:hAnsi="Times New Roman" w:eastAsia="宋体" w:cs="Times New Roman"/>
                <w:color w:val="auto"/>
                <w:sz w:val="24"/>
                <w:szCs w:val="24"/>
              </w:rPr>
              <w:t>第一承压含水层水位约在地面下30〜</w:t>
            </w:r>
            <w:r>
              <w:rPr>
                <w:rFonts w:hint="default" w:ascii="Times New Roman" w:hAnsi="Times New Roman" w:eastAsia="宋体" w:cs="Times New Roman"/>
                <w:color w:val="auto"/>
                <w:sz w:val="24"/>
                <w:szCs w:val="24"/>
                <w:lang w:val="en-US" w:eastAsia="zh-CN"/>
              </w:rPr>
              <w:t>50m，</w:t>
            </w:r>
            <w:r>
              <w:rPr>
                <w:rFonts w:hint="default" w:ascii="Times New Roman" w:hAnsi="Times New Roman" w:eastAsia="宋体" w:cs="Times New Roman"/>
                <w:color w:val="auto"/>
                <w:sz w:val="24"/>
                <w:szCs w:val="24"/>
              </w:rPr>
              <w:t>第二承压含水层约在地面下</w:t>
            </w:r>
            <w:r>
              <w:rPr>
                <w:rFonts w:hint="default" w:ascii="Times New Roman" w:hAnsi="Times New Roman" w:eastAsia="宋体" w:cs="Times New Roman"/>
                <w:color w:val="auto"/>
                <w:sz w:val="24"/>
                <w:szCs w:val="24"/>
                <w:lang w:val="en-US" w:eastAsia="zh-CN"/>
              </w:rPr>
              <w:t>70～100m</w:t>
            </w:r>
            <w:r>
              <w:rPr>
                <w:rFonts w:hint="default" w:ascii="Times New Roman" w:hAnsi="Times New Roman" w:eastAsia="宋体" w:cs="Times New Roman"/>
                <w:color w:val="auto"/>
                <w:sz w:val="24"/>
                <w:szCs w:val="24"/>
              </w:rPr>
              <w:t>，第三承压含水层在</w:t>
            </w:r>
            <w:r>
              <w:rPr>
                <w:rFonts w:hint="default" w:ascii="Times New Roman" w:hAnsi="Times New Roman" w:eastAsia="宋体" w:cs="Times New Roman"/>
                <w:color w:val="auto"/>
                <w:sz w:val="24"/>
                <w:szCs w:val="24"/>
                <w:lang w:val="en-US" w:eastAsia="zh-CN"/>
              </w:rPr>
              <w:t>130m</w:t>
            </w:r>
            <w:r>
              <w:rPr>
                <w:rFonts w:hint="default" w:ascii="Times New Roman" w:hAnsi="Times New Roman" w:eastAsia="宋体" w:cs="Times New Roman"/>
                <w:color w:val="auto"/>
                <w:sz w:val="24"/>
                <w:szCs w:val="24"/>
              </w:rPr>
              <w:t>以下。</w:t>
            </w:r>
          </w:p>
          <w:p>
            <w:pPr>
              <w:pStyle w:val="72"/>
              <w:spacing w:after="0" w:line="360" w:lineRule="auto"/>
              <w:ind w:firstLine="480" w:firstLineChars="200"/>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本项目土壤理化特性调查见表</w:t>
            </w:r>
            <w:r>
              <w:rPr>
                <w:rFonts w:hint="default" w:ascii="Times New Roman" w:hAnsi="Times New Roman" w:eastAsia="宋体" w:cs="Times New Roman"/>
                <w:color w:val="auto"/>
                <w:sz w:val="24"/>
                <w:szCs w:val="24"/>
                <w:lang w:val="en-US" w:eastAsia="zh-CN"/>
              </w:rPr>
              <w:t>4-2</w:t>
            </w:r>
            <w:r>
              <w:rPr>
                <w:rFonts w:hint="eastAsia" w:ascii="Times New Roman" w:hAnsi="Times New Roman" w:cs="Times New Roman"/>
                <w:color w:val="auto"/>
                <w:sz w:val="24"/>
                <w:szCs w:val="24"/>
                <w:lang w:val="en-US" w:eastAsia="zh-CN"/>
              </w:rPr>
              <w:t>6</w:t>
            </w:r>
            <w:r>
              <w:rPr>
                <w:rFonts w:hint="default" w:ascii="Times New Roman" w:hAnsi="Times New Roman" w:eastAsia="宋体" w:cs="Times New Roman"/>
                <w:color w:val="auto"/>
                <w:sz w:val="24"/>
                <w:szCs w:val="24"/>
              </w:rPr>
              <w:t>。</w:t>
            </w:r>
          </w:p>
          <w:p>
            <w:pPr>
              <w:pStyle w:val="73"/>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rPr>
              <w:t>表</w:t>
            </w:r>
            <w:r>
              <w:rPr>
                <w:rFonts w:hint="default" w:ascii="Times New Roman" w:hAnsi="Times New Roman" w:eastAsia="宋体" w:cs="Times New Roman"/>
                <w:b/>
                <w:bCs/>
                <w:color w:val="auto"/>
                <w:sz w:val="24"/>
                <w:szCs w:val="24"/>
                <w:lang w:val="en-US" w:eastAsia="zh-CN"/>
              </w:rPr>
              <w:t>4-2</w:t>
            </w:r>
            <w:r>
              <w:rPr>
                <w:rFonts w:hint="eastAsia" w:ascii="Times New Roman" w:hAnsi="Times New Roman" w:eastAsia="宋体" w:cs="Times New Roman"/>
                <w:b/>
                <w:bCs/>
                <w:color w:val="auto"/>
                <w:sz w:val="24"/>
                <w:szCs w:val="24"/>
                <w:lang w:val="en-US" w:eastAsia="zh-CN"/>
              </w:rPr>
              <w:t>6</w:t>
            </w:r>
            <w:r>
              <w:rPr>
                <w:rFonts w:hint="default" w:ascii="Times New Roman" w:hAnsi="Times New Roman" w:eastAsia="宋体" w:cs="Times New Roman"/>
                <w:b/>
                <w:bCs/>
                <w:color w:val="auto"/>
                <w:sz w:val="24"/>
                <w:szCs w:val="24"/>
                <w:lang w:val="en-US" w:eastAsia="zh-CN" w:bidi="en-US"/>
              </w:rPr>
              <w:t xml:space="preserve"> </w:t>
            </w:r>
            <w:r>
              <w:rPr>
                <w:rFonts w:hint="default" w:ascii="Times New Roman" w:hAnsi="Times New Roman" w:eastAsia="宋体" w:cs="Times New Roman"/>
                <w:b/>
                <w:bCs/>
                <w:color w:val="auto"/>
                <w:sz w:val="24"/>
                <w:szCs w:val="24"/>
              </w:rPr>
              <w:t>土壤理化特性调査表</w:t>
            </w:r>
          </w:p>
          <w:tbl>
            <w:tblPr>
              <w:tblStyle w:val="22"/>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 w:type="dxa"/>
                <w:bottom w:w="0" w:type="dxa"/>
                <w:right w:w="10" w:type="dxa"/>
              </w:tblCellMar>
            </w:tblPr>
            <w:tblGrid>
              <w:gridCol w:w="1007"/>
              <w:gridCol w:w="959"/>
              <w:gridCol w:w="1655"/>
              <w:gridCol w:w="1459"/>
              <w:gridCol w:w="1348"/>
              <w:gridCol w:w="181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2197" w:type="pct"/>
                  <w:gridSpan w:val="3"/>
                  <w:tcBorders>
                    <w:tl2br w:val="nil"/>
                    <w:tr2bl w:val="nil"/>
                  </w:tcBorders>
                  <w:vAlign w:val="bottom"/>
                </w:tcPr>
                <w:p>
                  <w:pPr>
                    <w:pStyle w:val="71"/>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点号</w:t>
                  </w:r>
                </w:p>
              </w:tc>
              <w:tc>
                <w:tcPr>
                  <w:tcW w:w="885" w:type="pct"/>
                  <w:tcBorders>
                    <w:tl2br w:val="nil"/>
                    <w:tr2bl w:val="nil"/>
                  </w:tcBorders>
                  <w:vAlign w:val="bottom"/>
                </w:tcPr>
                <w:p>
                  <w:pPr>
                    <w:pStyle w:val="71"/>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b/>
                      <w:bCs/>
                      <w:color w:val="auto"/>
                      <w:sz w:val="21"/>
                      <w:szCs w:val="21"/>
                      <w:lang w:val="en-US" w:eastAsia="zh-CN" w:bidi="en-US"/>
                    </w:rPr>
                    <w:t>T1</w:t>
                  </w:r>
                </w:p>
              </w:tc>
              <w:tc>
                <w:tcPr>
                  <w:tcW w:w="818" w:type="pct"/>
                  <w:tcBorders>
                    <w:tl2br w:val="nil"/>
                    <w:tr2bl w:val="nil"/>
                  </w:tcBorders>
                  <w:vAlign w:val="bottom"/>
                </w:tcPr>
                <w:p>
                  <w:pPr>
                    <w:pStyle w:val="71"/>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时间</w:t>
                  </w:r>
                </w:p>
              </w:tc>
              <w:tc>
                <w:tcPr>
                  <w:tcW w:w="1100" w:type="pct"/>
                  <w:tcBorders>
                    <w:tl2br w:val="nil"/>
                    <w:tr2bl w:val="nil"/>
                  </w:tcBorders>
                  <w:vAlign w:val="bottom"/>
                </w:tcPr>
                <w:p>
                  <w:pPr>
                    <w:pStyle w:val="71"/>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bCs/>
                      <w:color w:val="auto"/>
                      <w:sz w:val="21"/>
                      <w:szCs w:val="21"/>
                      <w:lang w:val="en-US" w:eastAsia="zh-CN" w:bidi="en-US"/>
                    </w:rPr>
                    <w:t>2020.11.19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2197" w:type="pct"/>
                  <w:gridSpan w:val="3"/>
                  <w:tcBorders>
                    <w:tl2br w:val="nil"/>
                    <w:tr2bl w:val="nil"/>
                  </w:tcBorders>
                  <w:vAlign w:val="bottom"/>
                </w:tcPr>
                <w:p>
                  <w:pPr>
                    <w:pStyle w:val="71"/>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经度</w:t>
                  </w:r>
                </w:p>
              </w:tc>
              <w:tc>
                <w:tcPr>
                  <w:tcW w:w="885" w:type="pct"/>
                  <w:tcBorders>
                    <w:tl2br w:val="nil"/>
                    <w:tr2bl w:val="nil"/>
                  </w:tcBorders>
                  <w:vAlign w:val="bottom"/>
                </w:tcPr>
                <w:p>
                  <w:pPr>
                    <w:pStyle w:val="71"/>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119.591372°</w:t>
                  </w:r>
                </w:p>
              </w:tc>
              <w:tc>
                <w:tcPr>
                  <w:tcW w:w="818" w:type="pct"/>
                  <w:tcBorders>
                    <w:tl2br w:val="nil"/>
                    <w:tr2bl w:val="nil"/>
                  </w:tcBorders>
                  <w:vAlign w:val="bottom"/>
                </w:tcPr>
                <w:p>
                  <w:pPr>
                    <w:pStyle w:val="71"/>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纬度</w:t>
                  </w:r>
                </w:p>
              </w:tc>
              <w:tc>
                <w:tcPr>
                  <w:tcW w:w="1100" w:type="pct"/>
                  <w:tcBorders>
                    <w:tl2br w:val="nil"/>
                    <w:tr2bl w:val="nil"/>
                  </w:tcBorders>
                  <w:vAlign w:val="bottom"/>
                </w:tcPr>
                <w:p>
                  <w:pPr>
                    <w:pStyle w:val="71"/>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31.37395°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611" w:type="pct"/>
                  <w:vMerge w:val="restart"/>
                  <w:tcBorders>
                    <w:tl2br w:val="nil"/>
                    <w:tr2bl w:val="nil"/>
                  </w:tcBorders>
                  <w:vAlign w:val="center"/>
                </w:tcPr>
                <w:p>
                  <w:pPr>
                    <w:pStyle w:val="71"/>
                    <w:tabs>
                      <w:tab w:val="left" w:pos="1475"/>
                    </w:tabs>
                    <w:ind w:firstLine="16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现</w:t>
                  </w:r>
                </w:p>
                <w:p>
                  <w:pPr>
                    <w:pStyle w:val="71"/>
                    <w:ind w:firstLine="16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场</w:t>
                  </w:r>
                </w:p>
                <w:p>
                  <w:pPr>
                    <w:pStyle w:val="71"/>
                    <w:ind w:firstLine="16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记</w:t>
                  </w:r>
                </w:p>
                <w:p>
                  <w:pPr>
                    <w:pStyle w:val="71"/>
                    <w:tabs>
                      <w:tab w:val="left" w:pos="1221"/>
                    </w:tabs>
                    <w:ind w:firstLine="16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录</w:t>
                  </w:r>
                </w:p>
              </w:tc>
              <w:tc>
                <w:tcPr>
                  <w:tcW w:w="1586" w:type="pct"/>
                  <w:gridSpan w:val="2"/>
                  <w:tcBorders>
                    <w:tl2br w:val="nil"/>
                    <w:tr2bl w:val="nil"/>
                  </w:tcBorders>
                  <w:vAlign w:val="bottom"/>
                </w:tcPr>
                <w:p>
                  <w:pPr>
                    <w:pStyle w:val="71"/>
                    <w:tabs>
                      <w:tab w:val="left" w:pos="1475"/>
                    </w:tabs>
                    <w:ind w:firstLine="16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颜色</w:t>
                  </w:r>
                </w:p>
              </w:tc>
              <w:tc>
                <w:tcPr>
                  <w:tcW w:w="2803" w:type="pct"/>
                  <w:gridSpan w:val="3"/>
                  <w:tcBorders>
                    <w:tl2br w:val="nil"/>
                    <w:tr2bl w:val="nil"/>
                  </w:tcBorders>
                  <w:vAlign w:val="center"/>
                </w:tcPr>
                <w:p>
                  <w:pPr>
                    <w:pStyle w:val="71"/>
                    <w:jc w:val="center"/>
                    <w:rPr>
                      <w:rFonts w:hint="default" w:ascii="Times New Roman" w:hAnsi="Times New Roman" w:eastAsia="宋体" w:cs="Times New Roman"/>
                      <w:color w:val="auto"/>
                      <w:sz w:val="21"/>
                      <w:szCs w:val="21"/>
                      <w:lang w:val="en-US" w:eastAsia="zh-CN" w:bidi="en-US"/>
                    </w:rPr>
                  </w:pPr>
                  <w:r>
                    <w:rPr>
                      <w:rFonts w:hint="default" w:ascii="Times New Roman" w:hAnsi="Times New Roman" w:eastAsia="宋体" w:cs="Times New Roman"/>
                      <w:color w:val="auto"/>
                      <w:sz w:val="21"/>
                      <w:szCs w:val="21"/>
                      <w:lang w:val="en-US" w:eastAsia="zh-CN" w:bidi="en-US"/>
                    </w:rPr>
                    <w:t>棕色</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611" w:type="pct"/>
                  <w:vMerge w:val="continue"/>
                  <w:tcBorders>
                    <w:tl2br w:val="nil"/>
                    <w:tr2bl w:val="nil"/>
                  </w:tcBorders>
                  <w:vAlign w:val="center"/>
                </w:tcPr>
                <w:p>
                  <w:pPr>
                    <w:pStyle w:val="71"/>
                    <w:tabs>
                      <w:tab w:val="left" w:pos="1437"/>
                    </w:tabs>
                    <w:ind w:firstLine="160"/>
                    <w:jc w:val="center"/>
                    <w:rPr>
                      <w:rFonts w:hint="default" w:ascii="Times New Roman" w:hAnsi="Times New Roman" w:eastAsia="宋体" w:cs="Times New Roman"/>
                      <w:color w:val="auto"/>
                      <w:sz w:val="21"/>
                      <w:szCs w:val="21"/>
                    </w:rPr>
                  </w:pPr>
                </w:p>
              </w:tc>
              <w:tc>
                <w:tcPr>
                  <w:tcW w:w="1586" w:type="pct"/>
                  <w:gridSpan w:val="2"/>
                  <w:tcBorders>
                    <w:tl2br w:val="nil"/>
                    <w:tr2bl w:val="nil"/>
                  </w:tcBorders>
                  <w:vAlign w:val="center"/>
                </w:tcPr>
                <w:p>
                  <w:pPr>
                    <w:pStyle w:val="71"/>
                    <w:tabs>
                      <w:tab w:val="left" w:pos="1437"/>
                    </w:tabs>
                    <w:ind w:firstLine="16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结构</w:t>
                  </w:r>
                </w:p>
              </w:tc>
              <w:tc>
                <w:tcPr>
                  <w:tcW w:w="2803" w:type="pct"/>
                  <w:gridSpan w:val="3"/>
                  <w:tcBorders>
                    <w:tl2br w:val="nil"/>
                    <w:tr2bl w:val="nil"/>
                  </w:tcBorders>
                  <w:vAlign w:val="center"/>
                </w:tcPr>
                <w:p>
                  <w:pPr>
                    <w:pStyle w:val="71"/>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松散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611" w:type="pct"/>
                  <w:vMerge w:val="continue"/>
                  <w:tcBorders>
                    <w:tl2br w:val="nil"/>
                    <w:tr2bl w:val="nil"/>
                  </w:tcBorders>
                  <w:vAlign w:val="center"/>
                </w:tcPr>
                <w:p>
                  <w:pPr>
                    <w:pStyle w:val="71"/>
                    <w:tabs>
                      <w:tab w:val="left" w:pos="1422"/>
                    </w:tabs>
                    <w:ind w:firstLine="160"/>
                    <w:jc w:val="center"/>
                    <w:rPr>
                      <w:rFonts w:hint="default" w:ascii="Times New Roman" w:hAnsi="Times New Roman" w:eastAsia="宋体" w:cs="Times New Roman"/>
                      <w:color w:val="auto"/>
                      <w:sz w:val="21"/>
                      <w:szCs w:val="21"/>
                    </w:rPr>
                  </w:pPr>
                </w:p>
              </w:tc>
              <w:tc>
                <w:tcPr>
                  <w:tcW w:w="1586" w:type="pct"/>
                  <w:gridSpan w:val="2"/>
                  <w:tcBorders>
                    <w:tl2br w:val="nil"/>
                    <w:tr2bl w:val="nil"/>
                  </w:tcBorders>
                  <w:vAlign w:val="center"/>
                </w:tcPr>
                <w:p>
                  <w:pPr>
                    <w:pStyle w:val="71"/>
                    <w:tabs>
                      <w:tab w:val="left" w:pos="1422"/>
                    </w:tabs>
                    <w:ind w:firstLine="16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地质</w:t>
                  </w:r>
                </w:p>
              </w:tc>
              <w:tc>
                <w:tcPr>
                  <w:tcW w:w="2803" w:type="pct"/>
                  <w:gridSpan w:val="3"/>
                  <w:tcBorders>
                    <w:tl2br w:val="nil"/>
                    <w:tr2bl w:val="nil"/>
                  </w:tcBorders>
                  <w:vAlign w:val="center"/>
                </w:tcPr>
                <w:p>
                  <w:pPr>
                    <w:pStyle w:val="71"/>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填土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611" w:type="pct"/>
                  <w:vMerge w:val="continue"/>
                  <w:tcBorders>
                    <w:tl2br w:val="nil"/>
                    <w:tr2bl w:val="nil"/>
                  </w:tcBorders>
                  <w:vAlign w:val="center"/>
                </w:tcPr>
                <w:p>
                  <w:pPr>
                    <w:pStyle w:val="71"/>
                    <w:tabs>
                      <w:tab w:val="left" w:pos="1221"/>
                    </w:tabs>
                    <w:ind w:firstLine="160"/>
                    <w:jc w:val="center"/>
                    <w:rPr>
                      <w:rFonts w:hint="default" w:ascii="Times New Roman" w:hAnsi="Times New Roman" w:eastAsia="宋体" w:cs="Times New Roman"/>
                      <w:color w:val="auto"/>
                      <w:sz w:val="21"/>
                      <w:szCs w:val="21"/>
                    </w:rPr>
                  </w:pPr>
                </w:p>
              </w:tc>
              <w:tc>
                <w:tcPr>
                  <w:tcW w:w="1586" w:type="pct"/>
                  <w:gridSpan w:val="2"/>
                  <w:tcBorders>
                    <w:tl2br w:val="nil"/>
                    <w:tr2bl w:val="nil"/>
                  </w:tcBorders>
                  <w:vAlign w:val="bottom"/>
                </w:tcPr>
                <w:p>
                  <w:pPr>
                    <w:pStyle w:val="71"/>
                    <w:tabs>
                      <w:tab w:val="left" w:pos="1221"/>
                    </w:tabs>
                    <w:ind w:firstLine="16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氧化还原电位（</w:t>
                  </w:r>
                  <w:r>
                    <w:rPr>
                      <w:rFonts w:hint="default" w:ascii="Times New Roman" w:hAnsi="Times New Roman" w:eastAsia="宋体" w:cs="Times New Roman"/>
                      <w:color w:val="auto"/>
                      <w:sz w:val="21"/>
                      <w:szCs w:val="21"/>
                      <w:lang w:val="en-US" w:eastAsia="zh-CN"/>
                    </w:rPr>
                    <w:t>mv</w:t>
                  </w:r>
                  <w:r>
                    <w:rPr>
                      <w:rFonts w:hint="default" w:ascii="Times New Roman" w:hAnsi="Times New Roman" w:eastAsia="宋体" w:cs="Times New Roman"/>
                      <w:color w:val="auto"/>
                      <w:sz w:val="21"/>
                      <w:szCs w:val="21"/>
                      <w:lang w:eastAsia="zh-CN"/>
                    </w:rPr>
                    <w:t>）</w:t>
                  </w:r>
                </w:p>
              </w:tc>
              <w:tc>
                <w:tcPr>
                  <w:tcW w:w="2803" w:type="pct"/>
                  <w:gridSpan w:val="3"/>
                  <w:tcBorders>
                    <w:tl2br w:val="nil"/>
                    <w:tr2bl w:val="nil"/>
                  </w:tcBorders>
                  <w:vAlign w:val="center"/>
                </w:tcPr>
                <w:p>
                  <w:pPr>
                    <w:pStyle w:val="71"/>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512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611" w:type="pct"/>
                  <w:vMerge w:val="continue"/>
                  <w:tcBorders>
                    <w:tl2br w:val="nil"/>
                    <w:tr2bl w:val="nil"/>
                  </w:tcBorders>
                  <w:vAlign w:val="center"/>
                </w:tcPr>
                <w:p>
                  <w:pPr>
                    <w:pStyle w:val="71"/>
                    <w:tabs>
                      <w:tab w:val="left" w:pos="1226"/>
                    </w:tabs>
                    <w:ind w:firstLine="160"/>
                    <w:jc w:val="center"/>
                    <w:rPr>
                      <w:rFonts w:hint="default" w:ascii="Times New Roman" w:hAnsi="Times New Roman" w:eastAsia="宋体" w:cs="Times New Roman"/>
                      <w:color w:val="auto"/>
                      <w:sz w:val="21"/>
                      <w:szCs w:val="21"/>
                    </w:rPr>
                  </w:pPr>
                </w:p>
              </w:tc>
              <w:tc>
                <w:tcPr>
                  <w:tcW w:w="1586" w:type="pct"/>
                  <w:gridSpan w:val="2"/>
                  <w:tcBorders>
                    <w:tl2br w:val="nil"/>
                    <w:tr2bl w:val="nil"/>
                  </w:tcBorders>
                  <w:vAlign w:val="bottom"/>
                </w:tcPr>
                <w:p>
                  <w:pPr>
                    <w:pStyle w:val="71"/>
                    <w:tabs>
                      <w:tab w:val="left" w:pos="1226"/>
                    </w:tabs>
                    <w:ind w:firstLine="16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其他异物</w:t>
                  </w:r>
                </w:p>
              </w:tc>
              <w:tc>
                <w:tcPr>
                  <w:tcW w:w="2803" w:type="pct"/>
                  <w:gridSpan w:val="3"/>
                  <w:tcBorders>
                    <w:tl2br w:val="nil"/>
                    <w:tr2bl w:val="nil"/>
                  </w:tcBorders>
                  <w:vAlign w:val="center"/>
                </w:tcPr>
                <w:p>
                  <w:pPr>
                    <w:pStyle w:val="71"/>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无异物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611" w:type="pct"/>
                  <w:vMerge w:val="restart"/>
                  <w:tcBorders>
                    <w:tl2br w:val="nil"/>
                    <w:tr2bl w:val="nil"/>
                  </w:tcBorders>
                  <w:vAlign w:val="center"/>
                </w:tcPr>
                <w:p>
                  <w:pPr>
                    <w:pStyle w:val="71"/>
                    <w:tabs>
                      <w:tab w:val="left" w:pos="1370"/>
                    </w:tabs>
                    <w:ind w:firstLine="16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实</w:t>
                  </w:r>
                </w:p>
                <w:p>
                  <w:pPr>
                    <w:pStyle w:val="71"/>
                    <w:ind w:firstLine="16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验</w:t>
                  </w:r>
                </w:p>
                <w:p>
                  <w:pPr>
                    <w:pStyle w:val="71"/>
                    <w:ind w:firstLine="16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室</w:t>
                  </w:r>
                </w:p>
                <w:p>
                  <w:pPr>
                    <w:pStyle w:val="71"/>
                    <w:ind w:firstLine="16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记</w:t>
                  </w:r>
                </w:p>
                <w:p>
                  <w:pPr>
                    <w:pStyle w:val="71"/>
                    <w:tabs>
                      <w:tab w:val="left" w:pos="707"/>
                    </w:tabs>
                    <w:ind w:firstLine="16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录</w:t>
                  </w:r>
                </w:p>
              </w:tc>
              <w:tc>
                <w:tcPr>
                  <w:tcW w:w="1586" w:type="pct"/>
                  <w:gridSpan w:val="2"/>
                  <w:tcBorders>
                    <w:tl2br w:val="nil"/>
                    <w:tr2bl w:val="nil"/>
                  </w:tcBorders>
                  <w:vAlign w:val="bottom"/>
                </w:tcPr>
                <w:p>
                  <w:pPr>
                    <w:pStyle w:val="71"/>
                    <w:tabs>
                      <w:tab w:val="left" w:pos="1370"/>
                    </w:tabs>
                    <w:ind w:firstLine="16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en-US" w:bidi="en-US"/>
                    </w:rPr>
                    <w:t>P</w:t>
                  </w:r>
                  <w:r>
                    <w:rPr>
                      <w:rFonts w:hint="default" w:ascii="Times New Roman" w:hAnsi="Times New Roman" w:eastAsia="宋体" w:cs="Times New Roman"/>
                      <w:color w:val="auto"/>
                      <w:sz w:val="21"/>
                      <w:szCs w:val="21"/>
                      <w:lang w:val="en-US" w:eastAsia="zh-CN" w:bidi="en-US"/>
                    </w:rPr>
                    <w:t>H</w:t>
                  </w:r>
                  <w:r>
                    <w:rPr>
                      <w:rFonts w:hint="default" w:ascii="Times New Roman" w:hAnsi="Times New Roman" w:eastAsia="宋体" w:cs="Times New Roman"/>
                      <w:color w:val="auto"/>
                      <w:sz w:val="21"/>
                      <w:szCs w:val="21"/>
                    </w:rPr>
                    <w:t>值</w:t>
                  </w:r>
                </w:p>
              </w:tc>
              <w:tc>
                <w:tcPr>
                  <w:tcW w:w="2803" w:type="pct"/>
                  <w:gridSpan w:val="3"/>
                  <w:tcBorders>
                    <w:tl2br w:val="nil"/>
                    <w:tr2bl w:val="nil"/>
                  </w:tcBorders>
                  <w:vAlign w:val="center"/>
                </w:tcPr>
                <w:p>
                  <w:pPr>
                    <w:pStyle w:val="71"/>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7.38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611" w:type="pct"/>
                  <w:vMerge w:val="continue"/>
                  <w:tcBorders>
                    <w:tl2br w:val="nil"/>
                    <w:tr2bl w:val="nil"/>
                  </w:tcBorders>
                  <w:vAlign w:val="bottom"/>
                </w:tcPr>
                <w:p>
                  <w:pPr>
                    <w:pStyle w:val="71"/>
                    <w:tabs>
                      <w:tab w:val="left" w:pos="1072"/>
                    </w:tabs>
                    <w:ind w:firstLine="160"/>
                    <w:jc w:val="center"/>
                    <w:rPr>
                      <w:rFonts w:hint="default" w:ascii="Times New Roman" w:hAnsi="Times New Roman" w:eastAsia="宋体" w:cs="Times New Roman"/>
                      <w:color w:val="auto"/>
                      <w:sz w:val="21"/>
                      <w:szCs w:val="21"/>
                    </w:rPr>
                  </w:pPr>
                </w:p>
              </w:tc>
              <w:tc>
                <w:tcPr>
                  <w:tcW w:w="1586" w:type="pct"/>
                  <w:gridSpan w:val="2"/>
                  <w:tcBorders>
                    <w:tl2br w:val="nil"/>
                    <w:tr2bl w:val="nil"/>
                  </w:tcBorders>
                  <w:vAlign w:val="bottom"/>
                </w:tcPr>
                <w:p>
                  <w:pPr>
                    <w:pStyle w:val="71"/>
                    <w:tabs>
                      <w:tab w:val="left" w:pos="1072"/>
                    </w:tabs>
                    <w:ind w:firstLine="16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阳离子交换</w:t>
                  </w:r>
                  <w:r>
                    <w:rPr>
                      <w:rFonts w:hint="default" w:ascii="Times New Roman" w:hAnsi="Times New Roman" w:eastAsia="宋体" w:cs="Times New Roman"/>
                      <w:color w:val="auto"/>
                      <w:sz w:val="21"/>
                      <w:szCs w:val="21"/>
                      <w:lang w:eastAsia="zh-CN"/>
                    </w:rPr>
                    <w:t>量（</w:t>
                  </w:r>
                  <w:r>
                    <w:rPr>
                      <w:rFonts w:hint="default" w:ascii="Times New Roman" w:hAnsi="Times New Roman" w:eastAsia="宋体" w:cs="Times New Roman"/>
                      <w:color w:val="auto"/>
                      <w:sz w:val="21"/>
                      <w:szCs w:val="21"/>
                      <w:lang w:val="en-US" w:eastAsia="zh-CN"/>
                    </w:rPr>
                    <w:t>cmol</w:t>
                  </w:r>
                  <w:r>
                    <w:rPr>
                      <w:rFonts w:hint="default" w:ascii="Times New Roman" w:hAnsi="Times New Roman" w:eastAsia="宋体" w:cs="Times New Roman"/>
                      <w:color w:val="auto"/>
                      <w:sz w:val="21"/>
                      <w:szCs w:val="21"/>
                      <w:vertAlign w:val="superscript"/>
                      <w:lang w:val="en-US" w:eastAsia="zh-CN"/>
                    </w:rPr>
                    <w:t>+</w:t>
                  </w:r>
                  <w:r>
                    <w:rPr>
                      <w:rFonts w:hint="default" w:ascii="Times New Roman" w:hAnsi="Times New Roman" w:eastAsia="宋体" w:cs="Times New Roman"/>
                      <w:color w:val="auto"/>
                      <w:sz w:val="21"/>
                      <w:szCs w:val="21"/>
                      <w:lang w:val="en-US" w:eastAsia="zh-CN"/>
                    </w:rPr>
                    <w:t>/kg</w:t>
                  </w:r>
                  <w:r>
                    <w:rPr>
                      <w:rFonts w:hint="default" w:ascii="Times New Roman" w:hAnsi="Times New Roman" w:eastAsia="宋体" w:cs="Times New Roman"/>
                      <w:color w:val="auto"/>
                      <w:sz w:val="21"/>
                      <w:szCs w:val="21"/>
                      <w:lang w:eastAsia="zh-CN"/>
                    </w:rPr>
                    <w:t>）</w:t>
                  </w:r>
                </w:p>
              </w:tc>
              <w:tc>
                <w:tcPr>
                  <w:tcW w:w="2803" w:type="pct"/>
                  <w:gridSpan w:val="3"/>
                  <w:tcBorders>
                    <w:tl2br w:val="nil"/>
                    <w:tr2bl w:val="nil"/>
                  </w:tcBorders>
                  <w:vAlign w:val="center"/>
                </w:tcPr>
                <w:p>
                  <w:pPr>
                    <w:pStyle w:val="71"/>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611" w:type="pct"/>
                  <w:vMerge w:val="continue"/>
                  <w:tcBorders>
                    <w:tl2br w:val="nil"/>
                    <w:tr2bl w:val="nil"/>
                  </w:tcBorders>
                  <w:vAlign w:val="bottom"/>
                </w:tcPr>
                <w:p>
                  <w:pPr>
                    <w:pStyle w:val="71"/>
                    <w:tabs>
                      <w:tab w:val="left" w:pos="1053"/>
                    </w:tabs>
                    <w:ind w:firstLine="160"/>
                    <w:jc w:val="center"/>
                    <w:rPr>
                      <w:rFonts w:hint="default" w:ascii="Times New Roman" w:hAnsi="Times New Roman" w:eastAsia="宋体" w:cs="Times New Roman"/>
                      <w:color w:val="auto"/>
                      <w:sz w:val="21"/>
                      <w:szCs w:val="21"/>
                    </w:rPr>
                  </w:pPr>
                </w:p>
              </w:tc>
              <w:tc>
                <w:tcPr>
                  <w:tcW w:w="582" w:type="pct"/>
                  <w:vMerge w:val="restart"/>
                  <w:tcBorders>
                    <w:tl2br w:val="nil"/>
                    <w:tr2bl w:val="nil"/>
                  </w:tcBorders>
                  <w:vAlign w:val="center"/>
                </w:tcPr>
                <w:p>
                  <w:pPr>
                    <w:pStyle w:val="71"/>
                    <w:tabs>
                      <w:tab w:val="left" w:pos="1053"/>
                    </w:tabs>
                    <w:ind w:firstLine="16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颗粒分析（</w:t>
                  </w:r>
                  <w:r>
                    <w:rPr>
                      <w:rFonts w:hint="default"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lang w:eastAsia="zh-CN"/>
                    </w:rPr>
                    <w:t>）</w:t>
                  </w:r>
                </w:p>
              </w:tc>
              <w:tc>
                <w:tcPr>
                  <w:tcW w:w="1004" w:type="pct"/>
                  <w:tcBorders>
                    <w:tl2br w:val="nil"/>
                    <w:tr2bl w:val="nil"/>
                  </w:tcBorders>
                  <w:vAlign w:val="bottom"/>
                </w:tcPr>
                <w:p>
                  <w:pPr>
                    <w:pStyle w:val="71"/>
                    <w:tabs>
                      <w:tab w:val="left" w:pos="1053"/>
                    </w:tabs>
                    <w:ind w:firstLine="16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&lt;0.005mm</w:t>
                  </w:r>
                </w:p>
              </w:tc>
              <w:tc>
                <w:tcPr>
                  <w:tcW w:w="2803" w:type="pct"/>
                  <w:gridSpan w:val="3"/>
                  <w:tcBorders>
                    <w:tl2br w:val="nil"/>
                    <w:tr2bl w:val="nil"/>
                  </w:tcBorders>
                  <w:vAlign w:val="center"/>
                </w:tcPr>
                <w:p>
                  <w:pPr>
                    <w:pStyle w:val="71"/>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26.1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611" w:type="pct"/>
                  <w:vMerge w:val="continue"/>
                  <w:tcBorders>
                    <w:tl2br w:val="nil"/>
                    <w:tr2bl w:val="nil"/>
                  </w:tcBorders>
                  <w:vAlign w:val="bottom"/>
                </w:tcPr>
                <w:p>
                  <w:pPr>
                    <w:pStyle w:val="71"/>
                    <w:tabs>
                      <w:tab w:val="left" w:pos="1053"/>
                    </w:tabs>
                    <w:ind w:firstLine="160"/>
                    <w:jc w:val="center"/>
                    <w:rPr>
                      <w:rFonts w:hint="default" w:ascii="Times New Roman" w:hAnsi="Times New Roman" w:eastAsia="宋体" w:cs="Times New Roman"/>
                      <w:color w:val="auto"/>
                      <w:sz w:val="21"/>
                      <w:szCs w:val="21"/>
                    </w:rPr>
                  </w:pPr>
                </w:p>
              </w:tc>
              <w:tc>
                <w:tcPr>
                  <w:tcW w:w="582" w:type="pct"/>
                  <w:vMerge w:val="continue"/>
                  <w:tcBorders>
                    <w:tl2br w:val="nil"/>
                    <w:tr2bl w:val="nil"/>
                  </w:tcBorders>
                  <w:vAlign w:val="bottom"/>
                </w:tcPr>
                <w:p>
                  <w:pPr>
                    <w:pStyle w:val="71"/>
                    <w:tabs>
                      <w:tab w:val="left" w:pos="1053"/>
                    </w:tabs>
                    <w:ind w:firstLine="160"/>
                    <w:jc w:val="center"/>
                    <w:rPr>
                      <w:rFonts w:hint="default" w:ascii="Times New Roman" w:hAnsi="Times New Roman" w:eastAsia="宋体" w:cs="Times New Roman"/>
                      <w:color w:val="auto"/>
                      <w:sz w:val="21"/>
                      <w:szCs w:val="21"/>
                      <w:lang w:eastAsia="zh-CN"/>
                    </w:rPr>
                  </w:pPr>
                </w:p>
              </w:tc>
              <w:tc>
                <w:tcPr>
                  <w:tcW w:w="1004" w:type="pct"/>
                  <w:tcBorders>
                    <w:tl2br w:val="nil"/>
                    <w:tr2bl w:val="nil"/>
                  </w:tcBorders>
                  <w:vAlign w:val="bottom"/>
                </w:tcPr>
                <w:p>
                  <w:pPr>
                    <w:pStyle w:val="71"/>
                    <w:tabs>
                      <w:tab w:val="left" w:pos="1053"/>
                    </w:tabs>
                    <w:ind w:firstLine="16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0.005-0.010mm</w:t>
                  </w:r>
                </w:p>
              </w:tc>
              <w:tc>
                <w:tcPr>
                  <w:tcW w:w="2803" w:type="pct"/>
                  <w:gridSpan w:val="3"/>
                  <w:tcBorders>
                    <w:tl2br w:val="nil"/>
                    <w:tr2bl w:val="nil"/>
                  </w:tcBorders>
                  <w:vAlign w:val="center"/>
                </w:tcPr>
                <w:p>
                  <w:pPr>
                    <w:pStyle w:val="71"/>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611" w:type="pct"/>
                  <w:vMerge w:val="continue"/>
                  <w:tcBorders>
                    <w:tl2br w:val="nil"/>
                    <w:tr2bl w:val="nil"/>
                  </w:tcBorders>
                  <w:vAlign w:val="bottom"/>
                </w:tcPr>
                <w:p>
                  <w:pPr>
                    <w:pStyle w:val="71"/>
                    <w:tabs>
                      <w:tab w:val="left" w:pos="1053"/>
                    </w:tabs>
                    <w:ind w:firstLine="160"/>
                    <w:jc w:val="center"/>
                    <w:rPr>
                      <w:rFonts w:hint="default" w:ascii="Times New Roman" w:hAnsi="Times New Roman" w:eastAsia="宋体" w:cs="Times New Roman"/>
                      <w:color w:val="auto"/>
                      <w:sz w:val="21"/>
                      <w:szCs w:val="21"/>
                    </w:rPr>
                  </w:pPr>
                </w:p>
              </w:tc>
              <w:tc>
                <w:tcPr>
                  <w:tcW w:w="582" w:type="pct"/>
                  <w:vMerge w:val="continue"/>
                  <w:tcBorders>
                    <w:tl2br w:val="nil"/>
                    <w:tr2bl w:val="nil"/>
                  </w:tcBorders>
                  <w:vAlign w:val="bottom"/>
                </w:tcPr>
                <w:p>
                  <w:pPr>
                    <w:pStyle w:val="71"/>
                    <w:tabs>
                      <w:tab w:val="left" w:pos="1053"/>
                    </w:tabs>
                    <w:ind w:firstLine="160"/>
                    <w:jc w:val="center"/>
                    <w:rPr>
                      <w:rFonts w:hint="default" w:ascii="Times New Roman" w:hAnsi="Times New Roman" w:eastAsia="宋体" w:cs="Times New Roman"/>
                      <w:color w:val="auto"/>
                      <w:sz w:val="21"/>
                      <w:szCs w:val="21"/>
                      <w:lang w:eastAsia="zh-CN"/>
                    </w:rPr>
                  </w:pPr>
                </w:p>
              </w:tc>
              <w:tc>
                <w:tcPr>
                  <w:tcW w:w="1004" w:type="pct"/>
                  <w:tcBorders>
                    <w:tl2br w:val="nil"/>
                    <w:tr2bl w:val="nil"/>
                  </w:tcBorders>
                  <w:vAlign w:val="bottom"/>
                </w:tcPr>
                <w:p>
                  <w:pPr>
                    <w:pStyle w:val="71"/>
                    <w:tabs>
                      <w:tab w:val="left" w:pos="1053"/>
                    </w:tabs>
                    <w:ind w:firstLine="16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0.010-0.050mm</w:t>
                  </w:r>
                </w:p>
              </w:tc>
              <w:tc>
                <w:tcPr>
                  <w:tcW w:w="2803" w:type="pct"/>
                  <w:gridSpan w:val="3"/>
                  <w:tcBorders>
                    <w:tl2br w:val="nil"/>
                    <w:tr2bl w:val="nil"/>
                  </w:tcBorders>
                  <w:vAlign w:val="center"/>
                </w:tcPr>
                <w:p>
                  <w:pPr>
                    <w:pStyle w:val="71"/>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17.3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611" w:type="pct"/>
                  <w:vMerge w:val="continue"/>
                  <w:tcBorders>
                    <w:tl2br w:val="nil"/>
                    <w:tr2bl w:val="nil"/>
                  </w:tcBorders>
                  <w:vAlign w:val="bottom"/>
                </w:tcPr>
                <w:p>
                  <w:pPr>
                    <w:pStyle w:val="71"/>
                    <w:tabs>
                      <w:tab w:val="left" w:pos="1053"/>
                    </w:tabs>
                    <w:ind w:firstLine="160"/>
                    <w:jc w:val="center"/>
                    <w:rPr>
                      <w:rFonts w:hint="default" w:ascii="Times New Roman" w:hAnsi="Times New Roman" w:eastAsia="宋体" w:cs="Times New Roman"/>
                      <w:color w:val="auto"/>
                      <w:sz w:val="21"/>
                      <w:szCs w:val="21"/>
                    </w:rPr>
                  </w:pPr>
                </w:p>
              </w:tc>
              <w:tc>
                <w:tcPr>
                  <w:tcW w:w="582" w:type="pct"/>
                  <w:vMerge w:val="continue"/>
                  <w:tcBorders>
                    <w:tl2br w:val="nil"/>
                    <w:tr2bl w:val="nil"/>
                  </w:tcBorders>
                  <w:vAlign w:val="bottom"/>
                </w:tcPr>
                <w:p>
                  <w:pPr>
                    <w:pStyle w:val="71"/>
                    <w:tabs>
                      <w:tab w:val="left" w:pos="1053"/>
                    </w:tabs>
                    <w:ind w:firstLine="160"/>
                    <w:jc w:val="center"/>
                    <w:rPr>
                      <w:rFonts w:hint="default" w:ascii="Times New Roman" w:hAnsi="Times New Roman" w:eastAsia="宋体" w:cs="Times New Roman"/>
                      <w:color w:val="auto"/>
                      <w:sz w:val="21"/>
                      <w:szCs w:val="21"/>
                      <w:lang w:eastAsia="zh-CN"/>
                    </w:rPr>
                  </w:pPr>
                </w:p>
              </w:tc>
              <w:tc>
                <w:tcPr>
                  <w:tcW w:w="1004" w:type="pct"/>
                  <w:tcBorders>
                    <w:tl2br w:val="nil"/>
                    <w:tr2bl w:val="nil"/>
                  </w:tcBorders>
                  <w:vAlign w:val="bottom"/>
                </w:tcPr>
                <w:p>
                  <w:pPr>
                    <w:pStyle w:val="71"/>
                    <w:tabs>
                      <w:tab w:val="left" w:pos="1053"/>
                    </w:tabs>
                    <w:ind w:firstLine="16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0.050-0.075mm</w:t>
                  </w:r>
                </w:p>
              </w:tc>
              <w:tc>
                <w:tcPr>
                  <w:tcW w:w="2803" w:type="pct"/>
                  <w:gridSpan w:val="3"/>
                  <w:tcBorders>
                    <w:tl2br w:val="nil"/>
                    <w:tr2bl w:val="nil"/>
                  </w:tcBorders>
                  <w:vAlign w:val="center"/>
                </w:tcPr>
                <w:p>
                  <w:pPr>
                    <w:pStyle w:val="71"/>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32.1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611" w:type="pct"/>
                  <w:vMerge w:val="continue"/>
                  <w:tcBorders>
                    <w:tl2br w:val="nil"/>
                    <w:tr2bl w:val="nil"/>
                  </w:tcBorders>
                  <w:vAlign w:val="bottom"/>
                </w:tcPr>
                <w:p>
                  <w:pPr>
                    <w:pStyle w:val="71"/>
                    <w:tabs>
                      <w:tab w:val="left" w:pos="1053"/>
                    </w:tabs>
                    <w:ind w:firstLine="160"/>
                    <w:jc w:val="center"/>
                    <w:rPr>
                      <w:rFonts w:hint="default" w:ascii="Times New Roman" w:hAnsi="Times New Roman" w:eastAsia="宋体" w:cs="Times New Roman"/>
                      <w:color w:val="auto"/>
                      <w:sz w:val="21"/>
                      <w:szCs w:val="21"/>
                    </w:rPr>
                  </w:pPr>
                </w:p>
              </w:tc>
              <w:tc>
                <w:tcPr>
                  <w:tcW w:w="582" w:type="pct"/>
                  <w:vMerge w:val="continue"/>
                  <w:tcBorders>
                    <w:tl2br w:val="nil"/>
                    <w:tr2bl w:val="nil"/>
                  </w:tcBorders>
                  <w:vAlign w:val="bottom"/>
                </w:tcPr>
                <w:p>
                  <w:pPr>
                    <w:pStyle w:val="71"/>
                    <w:tabs>
                      <w:tab w:val="left" w:pos="1053"/>
                    </w:tabs>
                    <w:ind w:firstLine="160"/>
                    <w:jc w:val="center"/>
                    <w:rPr>
                      <w:rFonts w:hint="default" w:ascii="Times New Roman" w:hAnsi="Times New Roman" w:eastAsia="宋体" w:cs="Times New Roman"/>
                      <w:color w:val="auto"/>
                      <w:sz w:val="21"/>
                      <w:szCs w:val="21"/>
                      <w:lang w:eastAsia="zh-CN"/>
                    </w:rPr>
                  </w:pPr>
                </w:p>
              </w:tc>
              <w:tc>
                <w:tcPr>
                  <w:tcW w:w="1004" w:type="pct"/>
                  <w:tcBorders>
                    <w:tl2br w:val="nil"/>
                    <w:tr2bl w:val="nil"/>
                  </w:tcBorders>
                  <w:vAlign w:val="bottom"/>
                </w:tcPr>
                <w:p>
                  <w:pPr>
                    <w:pStyle w:val="71"/>
                    <w:tabs>
                      <w:tab w:val="left" w:pos="1053"/>
                    </w:tabs>
                    <w:ind w:firstLine="16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&lt;0.075mm</w:t>
                  </w:r>
                </w:p>
              </w:tc>
              <w:tc>
                <w:tcPr>
                  <w:tcW w:w="2803" w:type="pct"/>
                  <w:gridSpan w:val="3"/>
                  <w:tcBorders>
                    <w:tl2br w:val="nil"/>
                    <w:tr2bl w:val="nil"/>
                  </w:tcBorders>
                  <w:vAlign w:val="center"/>
                </w:tcPr>
                <w:p>
                  <w:pPr>
                    <w:pStyle w:val="71"/>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611" w:type="pct"/>
                  <w:vMerge w:val="continue"/>
                  <w:tcBorders>
                    <w:tl2br w:val="nil"/>
                    <w:tr2bl w:val="nil"/>
                  </w:tcBorders>
                  <w:vAlign w:val="bottom"/>
                </w:tcPr>
                <w:p>
                  <w:pPr>
                    <w:pStyle w:val="71"/>
                    <w:ind w:firstLine="740"/>
                    <w:jc w:val="center"/>
                    <w:rPr>
                      <w:rFonts w:hint="default" w:ascii="Times New Roman" w:hAnsi="Times New Roman" w:eastAsia="宋体" w:cs="Times New Roman"/>
                      <w:color w:val="auto"/>
                      <w:sz w:val="21"/>
                      <w:szCs w:val="21"/>
                    </w:rPr>
                  </w:pPr>
                </w:p>
              </w:tc>
              <w:tc>
                <w:tcPr>
                  <w:tcW w:w="1586" w:type="pct"/>
                  <w:gridSpan w:val="2"/>
                  <w:tcBorders>
                    <w:tl2br w:val="nil"/>
                    <w:tr2bl w:val="nil"/>
                  </w:tcBorders>
                  <w:vAlign w:val="bottom"/>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渗透系数K</w:t>
                  </w:r>
                  <w:r>
                    <w:rPr>
                      <w:rFonts w:hint="default" w:ascii="Times New Roman" w:hAnsi="Times New Roman" w:eastAsia="宋体" w:cs="Times New Roman"/>
                      <w:color w:val="auto"/>
                      <w:kern w:val="0"/>
                      <w:szCs w:val="21"/>
                      <w:vertAlign w:val="subscript"/>
                    </w:rPr>
                    <w:t>20</w:t>
                  </w:r>
                  <w:r>
                    <w:rPr>
                      <w:rFonts w:hint="default" w:ascii="Times New Roman" w:hAnsi="Times New Roman" w:eastAsia="宋体" w:cs="Times New Roman"/>
                      <w:color w:val="auto"/>
                      <w:kern w:val="0"/>
                      <w:szCs w:val="21"/>
                    </w:rPr>
                    <w:t>（cm/s）</w:t>
                  </w:r>
                </w:p>
                <w:p>
                  <w:pPr>
                    <w:pStyle w:val="71"/>
                    <w:ind w:firstLine="740"/>
                    <w:jc w:val="center"/>
                    <w:rPr>
                      <w:rFonts w:hint="default" w:ascii="Times New Roman" w:hAnsi="Times New Roman" w:eastAsia="宋体" w:cs="Times New Roman"/>
                      <w:color w:val="auto"/>
                      <w:sz w:val="21"/>
                      <w:szCs w:val="21"/>
                    </w:rPr>
                  </w:pPr>
                </w:p>
              </w:tc>
              <w:tc>
                <w:tcPr>
                  <w:tcW w:w="2803" w:type="pct"/>
                  <w:gridSpan w:val="3"/>
                  <w:tcBorders>
                    <w:tl2br w:val="nil"/>
                    <w:tr2bl w:val="nil"/>
                  </w:tcBorders>
                  <w:vAlign w:val="center"/>
                </w:tcPr>
                <w:p>
                  <w:pPr>
                    <w:pStyle w:val="71"/>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0.107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611" w:type="pct"/>
                  <w:vMerge w:val="continue"/>
                  <w:tcBorders>
                    <w:tl2br w:val="nil"/>
                    <w:tr2bl w:val="nil"/>
                  </w:tcBorders>
                  <w:vAlign w:val="bottom"/>
                </w:tcPr>
                <w:p>
                  <w:pPr>
                    <w:pStyle w:val="71"/>
                    <w:tabs>
                      <w:tab w:val="left" w:pos="707"/>
                    </w:tabs>
                    <w:ind w:firstLine="160"/>
                    <w:jc w:val="center"/>
                    <w:rPr>
                      <w:rFonts w:hint="default" w:ascii="Times New Roman" w:hAnsi="Times New Roman" w:eastAsia="宋体" w:cs="Times New Roman"/>
                      <w:color w:val="auto"/>
                      <w:sz w:val="21"/>
                      <w:szCs w:val="21"/>
                    </w:rPr>
                  </w:pPr>
                </w:p>
              </w:tc>
              <w:tc>
                <w:tcPr>
                  <w:tcW w:w="1586" w:type="pct"/>
                  <w:gridSpan w:val="2"/>
                  <w:tcBorders>
                    <w:tl2br w:val="nil"/>
                    <w:tr2bl w:val="nil"/>
                  </w:tcBorders>
                  <w:vAlign w:val="bottom"/>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土壤容重/（g/m</w:t>
                  </w:r>
                  <w:r>
                    <w:rPr>
                      <w:rFonts w:hint="default" w:ascii="Times New Roman" w:hAnsi="Times New Roman" w:eastAsia="宋体" w:cs="Times New Roman"/>
                      <w:color w:val="auto"/>
                      <w:kern w:val="0"/>
                      <w:szCs w:val="21"/>
                      <w:vertAlign w:val="superscript"/>
                    </w:rPr>
                    <w:t>3</w:t>
                  </w:r>
                  <w:r>
                    <w:rPr>
                      <w:rFonts w:hint="default" w:ascii="Times New Roman" w:hAnsi="Times New Roman" w:eastAsia="宋体" w:cs="Times New Roman"/>
                      <w:color w:val="auto"/>
                      <w:kern w:val="0"/>
                      <w:szCs w:val="21"/>
                    </w:rPr>
                    <w:t>）</w:t>
                  </w:r>
                </w:p>
                <w:p>
                  <w:pPr>
                    <w:pStyle w:val="71"/>
                    <w:tabs>
                      <w:tab w:val="left" w:pos="707"/>
                    </w:tabs>
                    <w:ind w:firstLine="160"/>
                    <w:jc w:val="center"/>
                    <w:rPr>
                      <w:rFonts w:hint="default" w:ascii="Times New Roman" w:hAnsi="Times New Roman" w:eastAsia="宋体" w:cs="Times New Roman"/>
                      <w:color w:val="auto"/>
                      <w:sz w:val="21"/>
                      <w:szCs w:val="21"/>
                    </w:rPr>
                  </w:pPr>
                </w:p>
              </w:tc>
              <w:tc>
                <w:tcPr>
                  <w:tcW w:w="2803" w:type="pct"/>
                  <w:gridSpan w:val="3"/>
                  <w:tcBorders>
                    <w:tl2br w:val="nil"/>
                    <w:tr2bl w:val="nil"/>
                  </w:tcBorders>
                  <w:vAlign w:val="center"/>
                </w:tcPr>
                <w:p>
                  <w:pPr>
                    <w:pStyle w:val="71"/>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611" w:type="pct"/>
                  <w:vMerge w:val="continue"/>
                  <w:tcBorders>
                    <w:tl2br w:val="nil"/>
                    <w:tr2bl w:val="nil"/>
                  </w:tcBorders>
                </w:tcPr>
                <w:p>
                  <w:pPr>
                    <w:pStyle w:val="71"/>
                    <w:tabs>
                      <w:tab w:val="left" w:pos="1374"/>
                    </w:tabs>
                    <w:ind w:firstLine="160"/>
                    <w:jc w:val="center"/>
                    <w:rPr>
                      <w:rFonts w:hint="default" w:ascii="Times New Roman" w:hAnsi="Times New Roman" w:eastAsia="宋体" w:cs="Times New Roman"/>
                      <w:color w:val="auto"/>
                      <w:sz w:val="21"/>
                      <w:szCs w:val="21"/>
                    </w:rPr>
                  </w:pPr>
                </w:p>
              </w:tc>
              <w:tc>
                <w:tcPr>
                  <w:tcW w:w="1586" w:type="pct"/>
                  <w:gridSpan w:val="2"/>
                  <w:tcBorders>
                    <w:tl2br w:val="nil"/>
                    <w:tr2bl w:val="nil"/>
                  </w:tcBorders>
                </w:tcPr>
                <w:p>
                  <w:pPr>
                    <w:pStyle w:val="71"/>
                    <w:tabs>
                      <w:tab w:val="left" w:pos="1374"/>
                    </w:tabs>
                    <w:ind w:firstLine="16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孔隙</w:t>
                  </w:r>
                  <w:r>
                    <w:rPr>
                      <w:rFonts w:hint="default" w:ascii="Times New Roman" w:hAnsi="Times New Roman" w:eastAsia="宋体" w:cs="Times New Roman"/>
                      <w:color w:val="auto"/>
                      <w:sz w:val="21"/>
                      <w:szCs w:val="21"/>
                      <w:lang w:eastAsia="zh-CN"/>
                    </w:rPr>
                    <w:t>度（</w:t>
                  </w:r>
                  <w:r>
                    <w:rPr>
                      <w:rFonts w:hint="default"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lang w:eastAsia="zh-CN"/>
                    </w:rPr>
                    <w:t>）</w:t>
                  </w:r>
                </w:p>
              </w:tc>
              <w:tc>
                <w:tcPr>
                  <w:tcW w:w="2803" w:type="pct"/>
                  <w:gridSpan w:val="3"/>
                  <w:tcBorders>
                    <w:tl2br w:val="nil"/>
                    <w:tr2bl w:val="nil"/>
                  </w:tcBorders>
                  <w:vAlign w:val="center"/>
                </w:tcPr>
                <w:p>
                  <w:pPr>
                    <w:pStyle w:val="71"/>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11.3</w:t>
                  </w:r>
                </w:p>
              </w:tc>
            </w:tr>
          </w:tbl>
          <w:p>
            <w:pPr>
              <w:pStyle w:val="5"/>
              <w:adjustRightInd w:val="0"/>
              <w:snapToGrid w:val="0"/>
              <w:spacing w:line="360" w:lineRule="auto"/>
              <w:ind w:left="482" w:firstLine="0"/>
              <w:rPr>
                <w:rFonts w:hint="default" w:ascii="Times New Roman" w:hAnsi="Times New Roman" w:eastAsia="宋体" w:cs="Times New Roman"/>
                <w:b/>
                <w:bCs/>
                <w:color w:val="auto"/>
                <w:sz w:val="24"/>
                <w:szCs w:val="24"/>
                <w:lang w:val="zh-TW" w:eastAsia="zh-TW" w:bidi="zh-TW"/>
              </w:rPr>
            </w:pPr>
            <w:r>
              <w:rPr>
                <w:rFonts w:hint="default" w:ascii="Times New Roman" w:hAnsi="Times New Roman" w:eastAsia="宋体" w:cs="Times New Roman"/>
                <w:b/>
                <w:bCs/>
                <w:color w:val="auto"/>
                <w:sz w:val="24"/>
                <w:szCs w:val="24"/>
              </w:rPr>
              <w:t>（3）土壤环境预测与评价</w:t>
            </w:r>
          </w:p>
          <w:p>
            <w:pPr>
              <w:pStyle w:val="5"/>
              <w:adjustRightInd w:val="0"/>
              <w:snapToGrid w:val="0"/>
              <w:spacing w:line="360" w:lineRule="auto"/>
              <w:ind w:firstLine="480" w:firstLineChars="200"/>
              <w:rPr>
                <w:rFonts w:hint="default" w:ascii="Times New Roman" w:hAnsi="Times New Roman" w:eastAsia="宋体" w:cs="Times New Roman"/>
                <w:color w:val="auto"/>
                <w:sz w:val="24"/>
                <w:szCs w:val="24"/>
                <w:lang w:val="zh-TW" w:eastAsia="zh-TW" w:bidi="zh-TW"/>
              </w:rPr>
            </w:pPr>
            <w:r>
              <w:rPr>
                <w:rFonts w:hint="default" w:ascii="Times New Roman" w:hAnsi="Times New Roman" w:eastAsia="宋体" w:cs="Times New Roman"/>
                <w:color w:val="auto"/>
                <w:sz w:val="24"/>
                <w:szCs w:val="24"/>
                <w:lang w:val="zh-TW" w:eastAsia="zh-TW" w:bidi="zh-TW"/>
              </w:rPr>
              <w:t>①大气沉降</w:t>
            </w:r>
          </w:p>
          <w:p>
            <w:pPr>
              <w:pStyle w:val="5"/>
              <w:adjustRightInd w:val="0"/>
              <w:snapToGrid w:val="0"/>
              <w:spacing w:line="360" w:lineRule="auto"/>
              <w:ind w:firstLine="480" w:firstLineChars="200"/>
              <w:rPr>
                <w:rFonts w:hint="default" w:ascii="Times New Roman" w:hAnsi="Times New Roman" w:eastAsia="宋体" w:cs="Times New Roman"/>
                <w:color w:val="auto"/>
                <w:sz w:val="24"/>
                <w:szCs w:val="21"/>
              </w:rPr>
            </w:pPr>
            <w:r>
              <w:rPr>
                <w:rFonts w:hint="default" w:ascii="Times New Roman" w:hAnsi="Times New Roman" w:eastAsia="宋体" w:cs="Times New Roman"/>
                <w:color w:val="auto"/>
                <w:sz w:val="24"/>
                <w:szCs w:val="24"/>
                <w:lang w:val="zh-TW" w:eastAsia="zh-TW" w:bidi="zh-TW"/>
              </w:rPr>
              <w:t>本项目大气沉降不涉及特征因子，本报告不做分析。</w:t>
            </w:r>
          </w:p>
          <w:p>
            <w:pPr>
              <w:pStyle w:val="5"/>
              <w:adjustRightInd w:val="0"/>
              <w:snapToGrid w:val="0"/>
              <w:spacing w:line="360" w:lineRule="auto"/>
              <w:ind w:firstLine="480" w:firstLineChars="200"/>
              <w:rPr>
                <w:rFonts w:hint="default" w:ascii="Times New Roman" w:hAnsi="Times New Roman" w:eastAsia="宋体" w:cs="Times New Roman"/>
                <w:color w:val="auto"/>
                <w:sz w:val="24"/>
                <w:szCs w:val="24"/>
                <w:lang w:val="zh-TW" w:eastAsia="zh-TW" w:bidi="zh-TW"/>
              </w:rPr>
            </w:pPr>
            <w:r>
              <w:rPr>
                <w:rFonts w:hint="default" w:ascii="Times New Roman" w:hAnsi="Times New Roman" w:eastAsia="宋体" w:cs="Times New Roman"/>
                <w:color w:val="auto"/>
                <w:sz w:val="24"/>
                <w:szCs w:val="24"/>
                <w:lang w:val="zh-TW" w:eastAsia="zh-TW" w:bidi="zh-TW"/>
              </w:rPr>
              <w:t>②地面漫流</w:t>
            </w:r>
          </w:p>
          <w:p>
            <w:pPr>
              <w:adjustRightInd w:val="0"/>
              <w:snapToGrid w:val="0"/>
              <w:spacing w:line="360" w:lineRule="auto"/>
              <w:ind w:firstLine="480" w:firstLineChars="200"/>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lang w:val="zh-TW" w:eastAsia="zh-TW"/>
              </w:rPr>
              <w:t>正常工况下，由于车间及厂区地面均由水泥硬化，</w:t>
            </w:r>
            <w:r>
              <w:rPr>
                <w:rFonts w:hint="default" w:ascii="Times New Roman" w:hAnsi="Times New Roman" w:eastAsia="宋体" w:cs="Times New Roman"/>
                <w:color w:val="auto"/>
                <w:sz w:val="24"/>
                <w:szCs w:val="22"/>
                <w:lang w:val="zh-TW"/>
              </w:rPr>
              <w:t>且不涉及液态危险废物，本报告不做分析。</w:t>
            </w:r>
          </w:p>
          <w:p>
            <w:pPr>
              <w:adjustRightInd w:val="0"/>
              <w:snapToGrid w:val="0"/>
              <w:spacing w:line="360" w:lineRule="auto"/>
              <w:ind w:firstLine="480" w:firstLineChars="200"/>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③垂直入渗</w:t>
            </w:r>
          </w:p>
          <w:p>
            <w:pPr>
              <w:adjustRightInd w:val="0"/>
              <w:snapToGrid w:val="0"/>
              <w:spacing w:line="360" w:lineRule="auto"/>
              <w:ind w:firstLine="480" w:firstLineChars="200"/>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本公司厂区内无地下或半地下工程构筑物，故无垂直入渗的污染途径。</w:t>
            </w:r>
          </w:p>
          <w:p>
            <w:pPr>
              <w:adjustRightInd w:val="0"/>
              <w:snapToGrid w:val="0"/>
              <w:spacing w:line="360" w:lineRule="auto"/>
              <w:ind w:firstLine="480" w:firstLineChars="200"/>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综上，本项目对土壤环境的影响较小，可以接受。</w:t>
            </w:r>
          </w:p>
          <w:p>
            <w:pPr>
              <w:adjustRightInd w:val="0"/>
              <w:snapToGrid w:val="0"/>
              <w:spacing w:line="360" w:lineRule="auto"/>
              <w:ind w:firstLine="482" w:firstLineChars="200"/>
              <w:rPr>
                <w:rFonts w:hint="default" w:ascii="Times New Roman" w:hAnsi="Times New Roman" w:eastAsia="宋体" w:cs="Times New Roman"/>
                <w:b/>
                <w:bCs/>
                <w:color w:val="auto"/>
                <w:sz w:val="24"/>
                <w:szCs w:val="22"/>
              </w:rPr>
            </w:pPr>
            <w:r>
              <w:rPr>
                <w:rFonts w:hint="default" w:ascii="Times New Roman" w:hAnsi="Times New Roman" w:eastAsia="宋体" w:cs="Times New Roman"/>
                <w:b/>
                <w:bCs/>
                <w:color w:val="auto"/>
                <w:sz w:val="24"/>
                <w:szCs w:val="22"/>
              </w:rPr>
              <w:t>（4）土壤污染防治措施</w:t>
            </w:r>
          </w:p>
          <w:p>
            <w:pPr>
              <w:adjustRightInd w:val="0"/>
              <w:snapToGrid w:val="0"/>
              <w:spacing w:line="360" w:lineRule="auto"/>
              <w:ind w:firstLine="480" w:firstLineChars="200"/>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1）源头控制措施</w:t>
            </w:r>
          </w:p>
          <w:p>
            <w:pPr>
              <w:adjustRightInd w:val="0"/>
              <w:snapToGrid w:val="0"/>
              <w:spacing w:line="360" w:lineRule="auto"/>
              <w:ind w:firstLine="480" w:firstLineChars="200"/>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从原料储存、装卸、运输、生产过程、污染处理装置等全过程控制各种有毒有害原辅材料，同时对有害物质可能泄漏到地面的区域采取防渗措施，阻止其进入土壤中，即从源头到末端全方位采取控制措施，防止项目的建设对土壤造成污染。</w:t>
            </w:r>
          </w:p>
          <w:p>
            <w:pPr>
              <w:adjustRightInd w:val="0"/>
              <w:snapToGrid w:val="0"/>
              <w:spacing w:line="360" w:lineRule="auto"/>
              <w:ind w:firstLine="480" w:firstLineChars="200"/>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从生产过程入手，在工艺、管道、设备、给排水等方面尽可能地采取泄漏控制措施，从源头最大限度降低污染物质泄漏的可能性和泄漏量，使项目区污染物对土壤的影响降至最低，一旦出现泄漏等即可由区域内的各种配套措施进行收集、处置，同时经过硬化处理的地面有效阻止污染物的下渗。</w:t>
            </w:r>
          </w:p>
          <w:p>
            <w:pPr>
              <w:adjustRightInd w:val="0"/>
              <w:snapToGrid w:val="0"/>
              <w:spacing w:line="360" w:lineRule="auto"/>
              <w:ind w:firstLine="480" w:firstLineChars="200"/>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2）过程控制措施</w:t>
            </w:r>
          </w:p>
          <w:p>
            <w:pPr>
              <w:adjustRightInd w:val="0"/>
              <w:snapToGrid w:val="0"/>
              <w:spacing w:line="360" w:lineRule="auto"/>
              <w:ind w:firstLine="480" w:firstLineChars="200"/>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从大气沉降、地面漫流、垂直入渗三个途径分别进行控制。</w:t>
            </w:r>
          </w:p>
          <w:p>
            <w:pPr>
              <w:adjustRightInd w:val="0"/>
              <w:snapToGrid w:val="0"/>
              <w:spacing w:line="360" w:lineRule="auto"/>
              <w:ind w:firstLine="480" w:firstLineChars="200"/>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①大气沉降污染途径治理措施及效果</w:t>
            </w:r>
          </w:p>
          <w:p>
            <w:pPr>
              <w:adjustRightInd w:val="0"/>
              <w:snapToGrid w:val="0"/>
              <w:spacing w:line="360" w:lineRule="auto"/>
              <w:ind w:firstLine="480" w:firstLineChars="200"/>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本项目各类废气污染物均采取了对应的治理措施，确保污染物达标排放</w:t>
            </w:r>
            <w:r>
              <w:rPr>
                <w:rFonts w:hint="eastAsia" w:cs="Times New Roman"/>
                <w:color w:val="auto"/>
                <w:sz w:val="24"/>
                <w:szCs w:val="22"/>
                <w:lang w:eastAsia="zh-CN"/>
              </w:rPr>
              <w:t>。</w:t>
            </w:r>
            <w:r>
              <w:rPr>
                <w:color w:val="auto"/>
                <w:sz w:val="24"/>
              </w:rPr>
              <w:t>电泳及烘干工段产生的废气采用集气罩收集，经“二级活性炭吸附装置”处理后，与天然气燃烧废气</w:t>
            </w:r>
            <w:r>
              <w:rPr>
                <w:rFonts w:hint="eastAsia"/>
                <w:color w:val="auto"/>
                <w:sz w:val="24"/>
                <w:lang w:val="en-US" w:eastAsia="zh-CN"/>
              </w:rPr>
              <w:t>一并</w:t>
            </w:r>
            <w:r>
              <w:rPr>
                <w:color w:val="auto"/>
                <w:sz w:val="24"/>
              </w:rPr>
              <w:t>通过1根15米高排气筒（FQ-1）排放</w:t>
            </w:r>
            <w:r>
              <w:rPr>
                <w:rFonts w:hint="default" w:ascii="Times New Roman" w:hAnsi="Times New Roman" w:eastAsia="宋体" w:cs="Times New Roman"/>
                <w:color w:val="auto"/>
                <w:sz w:val="24"/>
                <w:szCs w:val="22"/>
              </w:rPr>
              <w:t>。</w:t>
            </w:r>
          </w:p>
          <w:p>
            <w:pPr>
              <w:adjustRightInd w:val="0"/>
              <w:snapToGrid w:val="0"/>
              <w:spacing w:line="360" w:lineRule="auto"/>
              <w:ind w:firstLine="480" w:firstLineChars="200"/>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②地面漫流污染途径治理措施及效果</w:t>
            </w:r>
          </w:p>
          <w:p>
            <w:pPr>
              <w:adjustRightInd w:val="0"/>
              <w:snapToGrid w:val="0"/>
              <w:spacing w:line="360" w:lineRule="auto"/>
              <w:ind w:firstLine="480" w:firstLineChars="200"/>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涉及地面漫流途径须设置三级防控、地面硬化等措施。</w:t>
            </w:r>
          </w:p>
          <w:p>
            <w:pPr>
              <w:adjustRightInd w:val="0"/>
              <w:snapToGrid w:val="0"/>
              <w:spacing w:line="360" w:lineRule="auto"/>
              <w:ind w:firstLine="480" w:firstLineChars="200"/>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对于项目事故状态的废水，必须保证在未经处理满足要求的前提下不得流出厂界。项目须贯彻“围、追、堵、截”的原则，采取多级防护措施，确保事故废水未经处理不得出厂界。</w:t>
            </w:r>
          </w:p>
          <w:p>
            <w:pPr>
              <w:adjustRightInd w:val="0"/>
              <w:snapToGrid w:val="0"/>
              <w:spacing w:line="360" w:lineRule="auto"/>
              <w:ind w:firstLine="480" w:firstLineChars="200"/>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③垂直入渗污染途径治理措施及效果</w:t>
            </w:r>
          </w:p>
          <w:p>
            <w:pPr>
              <w:adjustRightInd w:val="0"/>
              <w:snapToGrid w:val="0"/>
              <w:spacing w:line="360" w:lineRule="auto"/>
              <w:ind w:firstLine="480" w:firstLineChars="200"/>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项目按重点污染防治区、一般污染防治区、简单防渗区分别采取不同等级的防渗措施，防渗层尽量在地表铺设，防渗材料拟选取环氧树脂和水泥基渗透结晶型防渗材料，按照污染防治分区采取不同的设计方案。其中重点防渗区应选用人工防渗材料，防渗技术要求为等效黏土防渗层Mb≥6.0m，渗透系数K≤10</w:t>
            </w:r>
            <w:r>
              <w:rPr>
                <w:rFonts w:hint="default" w:ascii="Times New Roman" w:hAnsi="Times New Roman" w:eastAsia="宋体" w:cs="Times New Roman"/>
                <w:color w:val="auto"/>
                <w:sz w:val="24"/>
                <w:szCs w:val="22"/>
                <w:vertAlign w:val="superscript"/>
              </w:rPr>
              <w:t>-7</w:t>
            </w:r>
            <w:r>
              <w:rPr>
                <w:rFonts w:hint="default" w:ascii="Times New Roman" w:hAnsi="Times New Roman" w:eastAsia="宋体" w:cs="Times New Roman"/>
                <w:color w:val="auto"/>
                <w:sz w:val="24"/>
                <w:szCs w:val="22"/>
              </w:rPr>
              <w:t>cm/s。</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szCs w:val="22"/>
              </w:rPr>
              <w:t>另外，重点防渗区还有满足《危险废物贮存污染控制标准》(GB18597-2001)及其修改单中要求，即防渗层为至少1米厚黏土层(渗透系数K≤10</w:t>
            </w:r>
            <w:r>
              <w:rPr>
                <w:rFonts w:hint="default" w:ascii="Times New Roman" w:hAnsi="Times New Roman" w:eastAsia="宋体" w:cs="Times New Roman"/>
                <w:color w:val="auto"/>
                <w:sz w:val="24"/>
                <w:szCs w:val="22"/>
                <w:vertAlign w:val="superscript"/>
              </w:rPr>
              <w:t>-7</w:t>
            </w:r>
            <w:r>
              <w:rPr>
                <w:rFonts w:hint="default" w:ascii="Times New Roman" w:hAnsi="Times New Roman" w:eastAsia="宋体" w:cs="Times New Roman"/>
                <w:color w:val="auto"/>
                <w:sz w:val="24"/>
                <w:szCs w:val="22"/>
              </w:rPr>
              <w:t>cm/s)，或2毫米厚高密度聚乙烯，或至少2毫米厚的其他人工材料，渗透系统上K≤10</w:t>
            </w:r>
            <w:r>
              <w:rPr>
                <w:rFonts w:hint="default" w:ascii="Times New Roman" w:hAnsi="Times New Roman" w:eastAsia="宋体" w:cs="Times New Roman"/>
                <w:color w:val="auto"/>
                <w:sz w:val="24"/>
                <w:szCs w:val="22"/>
                <w:vertAlign w:val="superscript"/>
              </w:rPr>
              <w:t>-10</w:t>
            </w:r>
            <w:r>
              <w:rPr>
                <w:rFonts w:hint="default" w:ascii="Times New Roman" w:hAnsi="Times New Roman" w:eastAsia="宋体" w:cs="Times New Roman"/>
                <w:color w:val="auto"/>
                <w:sz w:val="24"/>
                <w:szCs w:val="22"/>
              </w:rPr>
              <w:t>cm/s；一般污染防治区铺设配筋混凝土加防渗剂的防渗地坪，切断污染地下水途径，防渗技术要求为等效黏土防渗层Mb≥1.5m，渗透系数K≤10</w:t>
            </w:r>
            <w:r>
              <w:rPr>
                <w:rFonts w:hint="default" w:ascii="Times New Roman" w:hAnsi="Times New Roman" w:eastAsia="宋体" w:cs="Times New Roman"/>
                <w:color w:val="auto"/>
                <w:sz w:val="24"/>
                <w:szCs w:val="22"/>
                <w:vertAlign w:val="superscript"/>
              </w:rPr>
              <w:t>-7</w:t>
            </w:r>
            <w:r>
              <w:rPr>
                <w:rFonts w:hint="default" w:ascii="Times New Roman" w:hAnsi="Times New Roman" w:eastAsia="宋体" w:cs="Times New Roman"/>
                <w:color w:val="auto"/>
                <w:sz w:val="24"/>
                <w:szCs w:val="22"/>
              </w:rPr>
              <w:t>cm/s；简单防渗区只需进行地面硬化处理。</w:t>
            </w:r>
          </w:p>
          <w:p>
            <w:pPr>
              <w:adjustRightInd w:val="0"/>
              <w:snapToGrid w:val="0"/>
              <w:spacing w:line="360" w:lineRule="auto"/>
              <w:rPr>
                <w:rFonts w:hint="default" w:ascii="Times New Roman" w:hAnsi="Times New Roman" w:eastAsia="宋体" w:cs="Times New Roman"/>
                <w:b/>
                <w:bCs/>
                <w:color w:val="auto"/>
                <w:sz w:val="24"/>
              </w:rPr>
            </w:pPr>
            <w:r>
              <w:rPr>
                <w:rFonts w:hint="default" w:ascii="Times New Roman" w:hAnsi="Times New Roman" w:eastAsia="宋体" w:cs="Times New Roman"/>
                <w:b/>
                <w:color w:val="auto"/>
                <w:sz w:val="24"/>
              </w:rPr>
              <w:t>7、</w:t>
            </w:r>
            <w:r>
              <w:rPr>
                <w:rFonts w:hint="default" w:ascii="Times New Roman" w:hAnsi="Times New Roman" w:eastAsia="宋体" w:cs="Times New Roman"/>
                <w:b/>
                <w:bCs/>
                <w:color w:val="auto"/>
                <w:sz w:val="24"/>
              </w:rPr>
              <w:t>生态</w:t>
            </w:r>
          </w:p>
          <w:p>
            <w:pPr>
              <w:adjustRightInd w:val="0"/>
              <w:snapToGrid w:val="0"/>
              <w:spacing w:line="360" w:lineRule="auto"/>
              <w:ind w:firstLine="480" w:firstLineChars="200"/>
              <w:rPr>
                <w:rFonts w:hint="default" w:ascii="Times New Roman" w:hAnsi="Times New Roman" w:eastAsia="宋体" w:cs="Times New Roman"/>
                <w:bCs/>
                <w:color w:val="auto"/>
                <w:sz w:val="24"/>
                <w:szCs w:val="22"/>
              </w:rPr>
            </w:pPr>
            <w:r>
              <w:rPr>
                <w:rFonts w:hint="default" w:ascii="Times New Roman" w:hAnsi="Times New Roman" w:eastAsia="宋体" w:cs="Times New Roman"/>
                <w:color w:val="auto"/>
                <w:sz w:val="24"/>
              </w:rPr>
              <w:t>本项目利用已建厂房进行生产，用地范围内无生态环境保护目标</w:t>
            </w:r>
            <w:r>
              <w:rPr>
                <w:rFonts w:hint="default" w:ascii="Times New Roman" w:hAnsi="Times New Roman" w:eastAsia="宋体" w:cs="Times New Roman"/>
                <w:bCs/>
                <w:color w:val="auto"/>
                <w:sz w:val="24"/>
                <w:szCs w:val="22"/>
              </w:rPr>
              <w:t>，无需设置生态保护措施</w:t>
            </w:r>
            <w:r>
              <w:rPr>
                <w:rFonts w:hint="default" w:ascii="Times New Roman" w:hAnsi="Times New Roman" w:eastAsia="宋体" w:cs="Times New Roman"/>
                <w:color w:val="auto"/>
                <w:sz w:val="24"/>
              </w:rPr>
              <w:t>。</w:t>
            </w:r>
          </w:p>
          <w:p>
            <w:pPr>
              <w:adjustRightInd w:val="0"/>
              <w:snapToGrid w:val="0"/>
              <w:spacing w:line="360" w:lineRule="auto"/>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8、环境风险评价</w:t>
            </w:r>
          </w:p>
          <w:p>
            <w:pPr>
              <w:adjustRightInd w:val="0"/>
              <w:snapToGrid w:val="0"/>
              <w:spacing w:line="360" w:lineRule="auto"/>
              <w:ind w:firstLine="480" w:firstLineChars="200"/>
              <w:rPr>
                <w:rFonts w:hint="default" w:ascii="Times New Roman" w:hAnsi="Times New Roman" w:eastAsia="宋体" w:cs="Times New Roman"/>
                <w:bCs/>
                <w:color w:val="auto"/>
                <w:sz w:val="24"/>
                <w:szCs w:val="22"/>
              </w:rPr>
            </w:pPr>
            <w:r>
              <w:rPr>
                <w:rFonts w:hint="default" w:ascii="Times New Roman" w:hAnsi="Times New Roman" w:eastAsia="宋体" w:cs="Times New Roman"/>
                <w:bCs/>
                <w:color w:val="auto"/>
                <w:sz w:val="24"/>
                <w:szCs w:val="22"/>
              </w:rPr>
              <w:t>（1）评价工作等级划分</w:t>
            </w:r>
          </w:p>
          <w:p>
            <w:pPr>
              <w:adjustRightInd w:val="0"/>
              <w:snapToGrid w:val="0"/>
              <w:spacing w:line="360" w:lineRule="auto"/>
              <w:ind w:firstLine="480" w:firstLineChars="200"/>
              <w:rPr>
                <w:rFonts w:hint="default" w:ascii="Times New Roman" w:hAnsi="Times New Roman" w:eastAsia="宋体" w:cs="Times New Roman"/>
                <w:bCs/>
                <w:color w:val="auto"/>
                <w:sz w:val="24"/>
                <w:szCs w:val="22"/>
              </w:rPr>
            </w:pPr>
            <w:r>
              <w:rPr>
                <w:rFonts w:hint="default" w:ascii="Times New Roman" w:hAnsi="Times New Roman" w:eastAsia="宋体" w:cs="Times New Roman"/>
                <w:bCs/>
                <w:color w:val="auto"/>
                <w:sz w:val="24"/>
                <w:szCs w:val="22"/>
              </w:rPr>
              <w:t>根据《建设项目环境风险评价技术导则》（HJ169—2018），首先对本项目危险物质数量及临界量比值（Q）进行计算。</w:t>
            </w:r>
          </w:p>
          <w:p>
            <w:pPr>
              <w:adjustRightInd w:val="0"/>
              <w:snapToGrid w:val="0"/>
              <w:spacing w:line="360" w:lineRule="auto"/>
              <w:ind w:firstLine="480" w:firstLineChars="200"/>
              <w:rPr>
                <w:rFonts w:hint="default" w:ascii="Times New Roman" w:hAnsi="Times New Roman" w:eastAsia="宋体" w:cs="Times New Roman"/>
                <w:bCs/>
                <w:color w:val="auto"/>
                <w:sz w:val="24"/>
                <w:szCs w:val="22"/>
              </w:rPr>
            </w:pPr>
            <w:r>
              <w:rPr>
                <w:rFonts w:hint="default" w:ascii="Times New Roman" w:hAnsi="Times New Roman" w:eastAsia="宋体" w:cs="Times New Roman"/>
                <w:bCs/>
                <w:color w:val="auto"/>
                <w:sz w:val="24"/>
                <w:szCs w:val="22"/>
              </w:rPr>
              <w:t>计算所涉及的每种危险物质在厂界内的最大存在总量与其在附录中对应临界量的比值Q时，在不同厂区的同一种物质，按其在厂界内的最大存在总量计算。对于长输管线项目，按照两个截断阀室之间管段危险物质最大存在总量计算。</w:t>
            </w:r>
          </w:p>
          <w:p>
            <w:pPr>
              <w:adjustRightInd w:val="0"/>
              <w:snapToGrid w:val="0"/>
              <w:spacing w:line="360" w:lineRule="auto"/>
              <w:ind w:firstLine="480" w:firstLineChars="200"/>
              <w:rPr>
                <w:rFonts w:hint="default" w:ascii="Times New Roman" w:hAnsi="Times New Roman" w:eastAsia="宋体" w:cs="Times New Roman"/>
                <w:bCs/>
                <w:color w:val="auto"/>
                <w:sz w:val="24"/>
                <w:szCs w:val="22"/>
              </w:rPr>
            </w:pPr>
            <w:r>
              <w:rPr>
                <w:rFonts w:hint="default" w:ascii="Times New Roman" w:hAnsi="Times New Roman" w:eastAsia="宋体" w:cs="Times New Roman"/>
                <w:bCs/>
                <w:color w:val="auto"/>
                <w:sz w:val="24"/>
                <w:szCs w:val="22"/>
              </w:rPr>
              <w:t>当只涉及一种危险物质时，计算该物质的总量与其临界量比值，即为Q；</w:t>
            </w:r>
          </w:p>
          <w:p>
            <w:pPr>
              <w:adjustRightInd w:val="0"/>
              <w:snapToGrid w:val="0"/>
              <w:spacing w:line="360" w:lineRule="auto"/>
              <w:ind w:firstLine="480" w:firstLineChars="200"/>
              <w:rPr>
                <w:rFonts w:hint="default" w:ascii="Times New Roman" w:hAnsi="Times New Roman" w:eastAsia="宋体" w:cs="Times New Roman"/>
                <w:bCs/>
                <w:color w:val="auto"/>
                <w:sz w:val="24"/>
                <w:szCs w:val="22"/>
              </w:rPr>
            </w:pPr>
            <w:r>
              <w:rPr>
                <w:rFonts w:hint="default" w:ascii="Times New Roman" w:hAnsi="Times New Roman" w:eastAsia="宋体" w:cs="Times New Roman"/>
                <w:bCs/>
                <w:color w:val="auto"/>
                <w:sz w:val="24"/>
                <w:szCs w:val="22"/>
              </w:rPr>
              <w:t>当存在多种危险物质时，则按式（C.1）计算物质总量与其临界量比值（Q）；</w:t>
            </w:r>
          </w:p>
          <w:p>
            <w:pPr>
              <w:adjustRightInd w:val="0"/>
              <w:snapToGrid w:val="0"/>
              <w:spacing w:line="360" w:lineRule="auto"/>
              <w:ind w:firstLine="480" w:firstLineChars="200"/>
              <w:jc w:val="center"/>
              <w:rPr>
                <w:rFonts w:hint="default" w:ascii="Times New Roman" w:hAnsi="Times New Roman" w:eastAsia="宋体" w:cs="Times New Roman"/>
                <w:bCs/>
                <w:color w:val="auto"/>
                <w:sz w:val="24"/>
                <w:szCs w:val="22"/>
              </w:rPr>
            </w:pPr>
            <w:r>
              <w:rPr>
                <w:rFonts w:hint="default" w:ascii="Times New Roman" w:hAnsi="Times New Roman" w:eastAsia="宋体" w:cs="Times New Roman"/>
                <w:bCs/>
                <w:color w:val="auto"/>
                <w:position w:val="-30"/>
                <w:sz w:val="24"/>
                <w:szCs w:val="22"/>
              </w:rPr>
              <w:object>
                <v:shape id="_x0000_i1032" o:spt="75" type="#_x0000_t75" style="height:34.55pt;width:108.85pt;" o:ole="t" filled="f" o:preferrelative="t" stroked="f" coordsize="21600,21600">
                  <v:path/>
                  <v:fill on="f" focussize="0,0"/>
                  <v:stroke on="f" joinstyle="miter"/>
                  <v:imagedata r:id="rId36" o:title=""/>
                  <o:lock v:ext="edit" aspectratio="t"/>
                  <w10:wrap type="none"/>
                  <w10:anchorlock/>
                </v:shape>
                <o:OLEObject Type="Embed" ProgID="Equation.3" ShapeID="_x0000_i1032" DrawAspect="Content" ObjectID="_1468075732" r:id="rId35">
                  <o:LockedField>false</o:LockedField>
                </o:OLEObject>
              </w:object>
            </w:r>
          </w:p>
          <w:p>
            <w:pPr>
              <w:adjustRightInd w:val="0"/>
              <w:snapToGrid w:val="0"/>
              <w:spacing w:line="360" w:lineRule="auto"/>
              <w:ind w:firstLine="480" w:firstLineChars="200"/>
              <w:rPr>
                <w:rFonts w:hint="default" w:ascii="Times New Roman" w:hAnsi="Times New Roman" w:eastAsia="宋体" w:cs="Times New Roman"/>
                <w:bCs/>
                <w:color w:val="auto"/>
                <w:sz w:val="24"/>
                <w:szCs w:val="22"/>
              </w:rPr>
            </w:pPr>
            <w:r>
              <w:rPr>
                <w:rFonts w:hint="default" w:ascii="Times New Roman" w:hAnsi="Times New Roman" w:eastAsia="宋体" w:cs="Times New Roman"/>
                <w:bCs/>
                <w:color w:val="auto"/>
                <w:sz w:val="24"/>
                <w:szCs w:val="22"/>
              </w:rPr>
              <w:t>式中：q</w:t>
            </w:r>
            <w:r>
              <w:rPr>
                <w:rFonts w:hint="default" w:ascii="Times New Roman" w:hAnsi="Times New Roman" w:eastAsia="宋体" w:cs="Times New Roman"/>
                <w:bCs/>
                <w:color w:val="auto"/>
                <w:sz w:val="24"/>
                <w:szCs w:val="22"/>
                <w:vertAlign w:val="subscript"/>
              </w:rPr>
              <w:t>1</w:t>
            </w:r>
            <w:r>
              <w:rPr>
                <w:rFonts w:hint="default" w:ascii="Times New Roman" w:hAnsi="Times New Roman" w:eastAsia="宋体" w:cs="Times New Roman"/>
                <w:bCs/>
                <w:color w:val="auto"/>
                <w:sz w:val="24"/>
                <w:szCs w:val="22"/>
              </w:rPr>
              <w:t>、q</w:t>
            </w:r>
            <w:r>
              <w:rPr>
                <w:rFonts w:hint="default" w:ascii="Times New Roman" w:hAnsi="Times New Roman" w:eastAsia="宋体" w:cs="Times New Roman"/>
                <w:bCs/>
                <w:color w:val="auto"/>
                <w:sz w:val="24"/>
                <w:szCs w:val="22"/>
                <w:vertAlign w:val="subscript"/>
              </w:rPr>
              <w:t>2</w:t>
            </w:r>
            <w:r>
              <w:rPr>
                <w:rFonts w:hint="default" w:ascii="Times New Roman" w:hAnsi="Times New Roman" w:eastAsia="宋体" w:cs="Times New Roman"/>
                <w:bCs/>
                <w:color w:val="auto"/>
                <w:sz w:val="24"/>
                <w:szCs w:val="22"/>
              </w:rPr>
              <w:t>、…q</w:t>
            </w:r>
            <w:r>
              <w:rPr>
                <w:rFonts w:hint="default" w:ascii="Times New Roman" w:hAnsi="Times New Roman" w:eastAsia="宋体" w:cs="Times New Roman"/>
                <w:bCs/>
                <w:color w:val="auto"/>
                <w:sz w:val="24"/>
                <w:szCs w:val="22"/>
                <w:vertAlign w:val="subscript"/>
              </w:rPr>
              <w:t>n</w:t>
            </w:r>
            <w:r>
              <w:rPr>
                <w:rFonts w:hint="default" w:ascii="Times New Roman" w:hAnsi="Times New Roman" w:eastAsia="宋体" w:cs="Times New Roman"/>
                <w:bCs/>
                <w:color w:val="auto"/>
                <w:sz w:val="24"/>
                <w:szCs w:val="22"/>
              </w:rPr>
              <w:t>----每种环境风险物质的存在量，t；</w:t>
            </w:r>
          </w:p>
          <w:p>
            <w:pPr>
              <w:adjustRightInd w:val="0"/>
              <w:snapToGrid w:val="0"/>
              <w:spacing w:line="360" w:lineRule="auto"/>
              <w:ind w:firstLine="480" w:firstLineChars="200"/>
              <w:rPr>
                <w:rFonts w:hint="default" w:ascii="Times New Roman" w:hAnsi="Times New Roman" w:eastAsia="宋体" w:cs="Times New Roman"/>
                <w:bCs/>
                <w:color w:val="auto"/>
                <w:sz w:val="24"/>
                <w:szCs w:val="22"/>
              </w:rPr>
            </w:pPr>
            <w:r>
              <w:rPr>
                <w:rFonts w:hint="default" w:ascii="Times New Roman" w:hAnsi="Times New Roman" w:eastAsia="宋体" w:cs="Times New Roman"/>
                <w:bCs/>
                <w:color w:val="auto"/>
                <w:sz w:val="24"/>
                <w:szCs w:val="22"/>
              </w:rPr>
              <w:t>Q</w:t>
            </w:r>
            <w:r>
              <w:rPr>
                <w:rFonts w:hint="default" w:ascii="Times New Roman" w:hAnsi="Times New Roman" w:eastAsia="宋体" w:cs="Times New Roman"/>
                <w:bCs/>
                <w:color w:val="auto"/>
                <w:sz w:val="24"/>
                <w:szCs w:val="22"/>
                <w:vertAlign w:val="subscript"/>
              </w:rPr>
              <w:t>1</w:t>
            </w:r>
            <w:r>
              <w:rPr>
                <w:rFonts w:hint="default" w:ascii="Times New Roman" w:hAnsi="Times New Roman" w:eastAsia="宋体" w:cs="Times New Roman"/>
                <w:bCs/>
                <w:color w:val="auto"/>
                <w:sz w:val="24"/>
                <w:szCs w:val="22"/>
              </w:rPr>
              <w:t>、Q</w:t>
            </w:r>
            <w:r>
              <w:rPr>
                <w:rFonts w:hint="default" w:ascii="Times New Roman" w:hAnsi="Times New Roman" w:eastAsia="宋体" w:cs="Times New Roman"/>
                <w:bCs/>
                <w:color w:val="auto"/>
                <w:sz w:val="24"/>
                <w:szCs w:val="22"/>
                <w:vertAlign w:val="subscript"/>
              </w:rPr>
              <w:t>2</w:t>
            </w:r>
            <w:r>
              <w:rPr>
                <w:rFonts w:hint="default" w:ascii="Times New Roman" w:hAnsi="Times New Roman" w:eastAsia="宋体" w:cs="Times New Roman"/>
                <w:bCs/>
                <w:color w:val="auto"/>
                <w:sz w:val="24"/>
                <w:szCs w:val="22"/>
              </w:rPr>
              <w:t>、…Q</w:t>
            </w:r>
            <w:r>
              <w:rPr>
                <w:rFonts w:hint="default" w:ascii="Times New Roman" w:hAnsi="Times New Roman" w:eastAsia="宋体" w:cs="Times New Roman"/>
                <w:bCs/>
                <w:color w:val="auto"/>
                <w:sz w:val="24"/>
                <w:szCs w:val="22"/>
                <w:vertAlign w:val="subscript"/>
              </w:rPr>
              <w:t>n</w:t>
            </w:r>
            <w:r>
              <w:rPr>
                <w:rFonts w:hint="default" w:ascii="Times New Roman" w:hAnsi="Times New Roman" w:eastAsia="宋体" w:cs="Times New Roman"/>
                <w:bCs/>
                <w:color w:val="auto"/>
                <w:sz w:val="24"/>
                <w:szCs w:val="22"/>
              </w:rPr>
              <w:t>----每种环境风险物质的临界量，t。</w:t>
            </w:r>
          </w:p>
          <w:p>
            <w:pPr>
              <w:adjustRightInd w:val="0"/>
              <w:snapToGrid w:val="0"/>
              <w:spacing w:line="360" w:lineRule="auto"/>
              <w:ind w:firstLine="480" w:firstLineChars="200"/>
              <w:rPr>
                <w:rFonts w:hint="default" w:ascii="Times New Roman" w:hAnsi="Times New Roman" w:eastAsia="宋体" w:cs="Times New Roman"/>
                <w:bCs/>
                <w:color w:val="auto"/>
                <w:sz w:val="24"/>
                <w:szCs w:val="22"/>
              </w:rPr>
            </w:pPr>
            <w:r>
              <w:rPr>
                <w:rFonts w:hint="default" w:ascii="Times New Roman" w:hAnsi="Times New Roman" w:eastAsia="宋体" w:cs="Times New Roman"/>
                <w:bCs/>
                <w:color w:val="auto"/>
                <w:sz w:val="24"/>
                <w:szCs w:val="22"/>
              </w:rPr>
              <w:t>当Q＜1时，该项目环境风险潜势为I。</w:t>
            </w:r>
          </w:p>
          <w:p>
            <w:pPr>
              <w:adjustRightInd w:val="0"/>
              <w:snapToGrid w:val="0"/>
              <w:spacing w:line="360" w:lineRule="auto"/>
              <w:ind w:firstLine="480" w:firstLineChars="200"/>
              <w:rPr>
                <w:rFonts w:hint="default" w:ascii="Times New Roman" w:hAnsi="Times New Roman" w:eastAsia="宋体" w:cs="Times New Roman"/>
                <w:bCs/>
                <w:color w:val="auto"/>
                <w:sz w:val="24"/>
                <w:szCs w:val="22"/>
              </w:rPr>
            </w:pPr>
            <w:r>
              <w:rPr>
                <w:rFonts w:hint="default" w:ascii="Times New Roman" w:hAnsi="Times New Roman" w:eastAsia="宋体" w:cs="Times New Roman"/>
                <w:bCs/>
                <w:color w:val="auto"/>
                <w:sz w:val="24"/>
                <w:szCs w:val="22"/>
              </w:rPr>
              <w:t>当Q≥1，将Q值划分为：（1）1≤Q＜10；（2）10≤Q＜100；</w:t>
            </w:r>
          </w:p>
          <w:p>
            <w:pPr>
              <w:adjustRightInd w:val="0"/>
              <w:snapToGrid w:val="0"/>
              <w:spacing w:line="360" w:lineRule="auto"/>
              <w:ind w:firstLine="480" w:firstLineChars="200"/>
              <w:rPr>
                <w:rFonts w:hint="default" w:ascii="Times New Roman" w:hAnsi="Times New Roman" w:eastAsia="宋体" w:cs="Times New Roman"/>
                <w:bCs/>
                <w:color w:val="auto"/>
                <w:sz w:val="24"/>
                <w:szCs w:val="22"/>
              </w:rPr>
            </w:pPr>
            <w:r>
              <w:rPr>
                <w:rFonts w:hint="default" w:ascii="Times New Roman" w:hAnsi="Times New Roman" w:eastAsia="宋体" w:cs="Times New Roman"/>
                <w:bCs/>
                <w:color w:val="auto"/>
                <w:sz w:val="24"/>
                <w:szCs w:val="22"/>
                <w:lang w:val="en-US" w:eastAsia="zh-CN"/>
              </w:rPr>
              <w:t>本项目涉及到的化学品及危险废物属于危险物质，</w:t>
            </w:r>
            <w:r>
              <w:rPr>
                <w:rFonts w:hint="default" w:ascii="Times New Roman" w:hAnsi="Times New Roman" w:eastAsia="宋体" w:cs="Times New Roman"/>
                <w:bCs/>
                <w:color w:val="auto"/>
                <w:sz w:val="24"/>
                <w:szCs w:val="22"/>
              </w:rPr>
              <w:t>遇明火易发生燃爆风险。根据导则附录B，本项目危险物质数量及临界量比值（Q）统计如下。</w:t>
            </w:r>
          </w:p>
          <w:p>
            <w:pPr>
              <w:adjustRightInd w:val="0"/>
              <w:snapToGrid w:val="0"/>
              <w:jc w:val="center"/>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表4-2</w:t>
            </w:r>
            <w:r>
              <w:rPr>
                <w:rFonts w:hint="eastAsia" w:cs="Times New Roman"/>
                <w:b/>
                <w:color w:val="auto"/>
                <w:sz w:val="24"/>
                <w:lang w:val="en-US" w:eastAsia="zh-CN"/>
              </w:rPr>
              <w:t>7</w:t>
            </w:r>
            <w:r>
              <w:rPr>
                <w:rFonts w:hint="default" w:ascii="Times New Roman" w:hAnsi="Times New Roman" w:eastAsia="宋体" w:cs="Times New Roman"/>
                <w:b/>
                <w:color w:val="auto"/>
                <w:sz w:val="24"/>
              </w:rPr>
              <w:t xml:space="preserve"> 本项目危险物质数量及临界量比值（Q）一览表</w:t>
            </w:r>
          </w:p>
          <w:tbl>
            <w:tblPr>
              <w:tblStyle w:val="22"/>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77"/>
              <w:gridCol w:w="1375"/>
              <w:gridCol w:w="3583"/>
              <w:gridCol w:w="914"/>
              <w:gridCol w:w="175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77" w:type="dxa"/>
                  <w:vAlign w:val="center"/>
                </w:tcPr>
                <w:p>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序号</w:t>
                  </w:r>
                </w:p>
              </w:tc>
              <w:tc>
                <w:tcPr>
                  <w:tcW w:w="1375" w:type="dxa"/>
                  <w:vAlign w:val="center"/>
                </w:tcPr>
                <w:p>
                  <w:pPr>
                    <w:adjustRightInd w:val="0"/>
                    <w:snapToGrid w:val="0"/>
                    <w:jc w:val="center"/>
                    <w:rPr>
                      <w:rFonts w:hint="default" w:ascii="Times New Roman" w:hAnsi="Times New Roman" w:eastAsia="宋体" w:cs="Times New Roman"/>
                      <w:b/>
                      <w:color w:val="auto"/>
                    </w:rPr>
                  </w:pPr>
                  <w:r>
                    <w:rPr>
                      <w:rFonts w:hint="default" w:ascii="Times New Roman" w:hAnsi="Times New Roman" w:eastAsia="宋体" w:cs="Times New Roman"/>
                      <w:b/>
                      <w:color w:val="auto"/>
                      <w:szCs w:val="21"/>
                    </w:rPr>
                    <w:t>名称</w:t>
                  </w:r>
                </w:p>
              </w:tc>
              <w:tc>
                <w:tcPr>
                  <w:tcW w:w="3583" w:type="dxa"/>
                  <w:vAlign w:val="center"/>
                </w:tcPr>
                <w:p>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最大存在总量（t）</w:t>
                  </w:r>
                </w:p>
                <w:p>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（包括车间暂存量及存储区量）</w:t>
                  </w:r>
                </w:p>
              </w:tc>
              <w:tc>
                <w:tcPr>
                  <w:tcW w:w="914" w:type="dxa"/>
                  <w:vAlign w:val="center"/>
                </w:tcPr>
                <w:p>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临界量（t）</w:t>
                  </w:r>
                </w:p>
              </w:tc>
              <w:tc>
                <w:tcPr>
                  <w:tcW w:w="1754" w:type="dxa"/>
                  <w:vAlign w:val="center"/>
                </w:tcPr>
                <w:p>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object>
                      <v:shape id="_x0000_i1033" o:spt="75" type="#_x0000_t75" style="height:33.4pt;width:18.45pt;" o:ole="t" filled="f" o:preferrelative="t" stroked="f" coordsize="21600,21600">
                        <v:path/>
                        <v:fill on="f" focussize="0,0"/>
                        <v:stroke on="f" joinstyle="miter"/>
                        <v:imagedata r:id="rId38" o:title=""/>
                        <o:lock v:ext="edit" aspectratio="t"/>
                        <w10:wrap type="none"/>
                        <w10:anchorlock/>
                      </v:shape>
                      <o:OLEObject Type="Embed" ProgID="Equation.3" ShapeID="_x0000_i1033" DrawAspect="Content" ObjectID="_1468075733" r:id="rId37">
                        <o:LockedField>false</o:LockedField>
                      </o:OLEObject>
                    </w:objec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77"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w:t>
                  </w:r>
                </w:p>
              </w:tc>
              <w:tc>
                <w:tcPr>
                  <w:tcW w:w="1375" w:type="dxa"/>
                  <w:vAlign w:val="center"/>
                </w:tcPr>
                <w:p>
                  <w:pPr>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清洗剂</w:t>
                  </w:r>
                </w:p>
              </w:tc>
              <w:tc>
                <w:tcPr>
                  <w:tcW w:w="3583" w:type="dxa"/>
                  <w:vAlign w:val="center"/>
                </w:tcPr>
                <w:p>
                  <w:pPr>
                    <w:pStyle w:val="5"/>
                    <w:adjustRightInd w:val="0"/>
                    <w:snapToGrid w:val="0"/>
                    <w:ind w:firstLine="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2</w:t>
                  </w:r>
                </w:p>
              </w:tc>
              <w:tc>
                <w:tcPr>
                  <w:tcW w:w="914" w:type="dxa"/>
                  <w:vAlign w:val="center"/>
                </w:tcPr>
                <w:p>
                  <w:pPr>
                    <w:pStyle w:val="5"/>
                    <w:adjustRightInd w:val="0"/>
                    <w:snapToGrid w:val="0"/>
                    <w:ind w:firstLine="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100</w:t>
                  </w:r>
                </w:p>
              </w:tc>
              <w:tc>
                <w:tcPr>
                  <w:tcW w:w="1754" w:type="dxa"/>
                  <w:vAlign w:val="center"/>
                </w:tcPr>
                <w:p>
                  <w:pPr>
                    <w:pStyle w:val="5"/>
                    <w:adjustRightInd w:val="0"/>
                    <w:snapToGrid w:val="0"/>
                    <w:ind w:firstLine="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0.02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77"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2</w:t>
                  </w:r>
                </w:p>
              </w:tc>
              <w:tc>
                <w:tcPr>
                  <w:tcW w:w="1375" w:type="dxa"/>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无磷皮膜剂</w:t>
                  </w:r>
                </w:p>
              </w:tc>
              <w:tc>
                <w:tcPr>
                  <w:tcW w:w="3583" w:type="dxa"/>
                  <w:vAlign w:val="center"/>
                </w:tcPr>
                <w:p>
                  <w:pPr>
                    <w:pStyle w:val="5"/>
                    <w:adjustRightInd w:val="0"/>
                    <w:snapToGrid w:val="0"/>
                    <w:ind w:firstLine="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2</w:t>
                  </w:r>
                </w:p>
              </w:tc>
              <w:tc>
                <w:tcPr>
                  <w:tcW w:w="914" w:type="dxa"/>
                  <w:vAlign w:val="center"/>
                </w:tcPr>
                <w:p>
                  <w:pPr>
                    <w:pStyle w:val="5"/>
                    <w:adjustRightInd w:val="0"/>
                    <w:snapToGrid w:val="0"/>
                    <w:ind w:firstLine="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100</w:t>
                  </w:r>
                </w:p>
              </w:tc>
              <w:tc>
                <w:tcPr>
                  <w:tcW w:w="1754" w:type="dxa"/>
                  <w:vAlign w:val="center"/>
                </w:tcPr>
                <w:p>
                  <w:pPr>
                    <w:pStyle w:val="5"/>
                    <w:adjustRightInd w:val="0"/>
                    <w:snapToGrid w:val="0"/>
                    <w:ind w:firstLine="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0.02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77"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3</w:t>
                  </w:r>
                </w:p>
              </w:tc>
              <w:tc>
                <w:tcPr>
                  <w:tcW w:w="1375" w:type="dxa"/>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色浆</w:t>
                  </w:r>
                </w:p>
              </w:tc>
              <w:tc>
                <w:tcPr>
                  <w:tcW w:w="3583" w:type="dxa"/>
                  <w:vAlign w:val="center"/>
                </w:tcPr>
                <w:p>
                  <w:pPr>
                    <w:pStyle w:val="5"/>
                    <w:adjustRightInd w:val="0"/>
                    <w:snapToGrid w:val="0"/>
                    <w:ind w:firstLine="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0.5</w:t>
                  </w:r>
                </w:p>
              </w:tc>
              <w:tc>
                <w:tcPr>
                  <w:tcW w:w="914" w:type="dxa"/>
                  <w:vAlign w:val="center"/>
                </w:tcPr>
                <w:p>
                  <w:pPr>
                    <w:pStyle w:val="5"/>
                    <w:adjustRightInd w:val="0"/>
                    <w:snapToGrid w:val="0"/>
                    <w:ind w:firstLine="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100</w:t>
                  </w:r>
                </w:p>
              </w:tc>
              <w:tc>
                <w:tcPr>
                  <w:tcW w:w="1754" w:type="dxa"/>
                  <w:vAlign w:val="center"/>
                </w:tcPr>
                <w:p>
                  <w:pPr>
                    <w:pStyle w:val="5"/>
                    <w:adjustRightInd w:val="0"/>
                    <w:snapToGrid w:val="0"/>
                    <w:ind w:firstLine="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0.005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77"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4</w:t>
                  </w:r>
                </w:p>
              </w:tc>
              <w:tc>
                <w:tcPr>
                  <w:tcW w:w="1375" w:type="dxa"/>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乳液</w:t>
                  </w:r>
                </w:p>
              </w:tc>
              <w:tc>
                <w:tcPr>
                  <w:tcW w:w="3583" w:type="dxa"/>
                  <w:vAlign w:val="center"/>
                </w:tcPr>
                <w:p>
                  <w:pPr>
                    <w:pStyle w:val="5"/>
                    <w:adjustRightInd w:val="0"/>
                    <w:snapToGrid w:val="0"/>
                    <w:ind w:firstLine="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2</w:t>
                  </w:r>
                </w:p>
              </w:tc>
              <w:tc>
                <w:tcPr>
                  <w:tcW w:w="914" w:type="dxa"/>
                  <w:vAlign w:val="center"/>
                </w:tcPr>
                <w:p>
                  <w:pPr>
                    <w:pStyle w:val="5"/>
                    <w:adjustRightInd w:val="0"/>
                    <w:snapToGrid w:val="0"/>
                    <w:ind w:firstLine="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100</w:t>
                  </w:r>
                </w:p>
              </w:tc>
              <w:tc>
                <w:tcPr>
                  <w:tcW w:w="1754" w:type="dxa"/>
                  <w:vAlign w:val="center"/>
                </w:tcPr>
                <w:p>
                  <w:pPr>
                    <w:pStyle w:val="5"/>
                    <w:adjustRightInd w:val="0"/>
                    <w:snapToGrid w:val="0"/>
                    <w:ind w:firstLine="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0.02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77"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5</w:t>
                  </w:r>
                </w:p>
              </w:tc>
              <w:tc>
                <w:tcPr>
                  <w:tcW w:w="1375" w:type="dxa"/>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调整剂</w:t>
                  </w:r>
                </w:p>
              </w:tc>
              <w:tc>
                <w:tcPr>
                  <w:tcW w:w="3583" w:type="dxa"/>
                  <w:vAlign w:val="center"/>
                </w:tcPr>
                <w:p>
                  <w:pPr>
                    <w:pStyle w:val="5"/>
                    <w:adjustRightInd w:val="0"/>
                    <w:snapToGrid w:val="0"/>
                    <w:ind w:firstLine="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0.1</w:t>
                  </w:r>
                </w:p>
              </w:tc>
              <w:tc>
                <w:tcPr>
                  <w:tcW w:w="914" w:type="dxa"/>
                  <w:vAlign w:val="center"/>
                </w:tcPr>
                <w:p>
                  <w:pPr>
                    <w:pStyle w:val="5"/>
                    <w:adjustRightInd w:val="0"/>
                    <w:snapToGrid w:val="0"/>
                    <w:ind w:firstLine="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100</w:t>
                  </w:r>
                </w:p>
              </w:tc>
              <w:tc>
                <w:tcPr>
                  <w:tcW w:w="1754" w:type="dxa"/>
                  <w:vAlign w:val="center"/>
                </w:tcPr>
                <w:p>
                  <w:pPr>
                    <w:pStyle w:val="5"/>
                    <w:adjustRightInd w:val="0"/>
                    <w:snapToGrid w:val="0"/>
                    <w:ind w:firstLine="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0.001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77" w:type="dxa"/>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6</w:t>
                  </w:r>
                </w:p>
              </w:tc>
              <w:tc>
                <w:tcPr>
                  <w:tcW w:w="1375" w:type="dxa"/>
                  <w:vAlign w:val="center"/>
                </w:tcPr>
                <w:p>
                  <w:pPr>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szCs w:val="21"/>
                      <w:lang w:val="en-US" w:eastAsia="zh-CN"/>
                    </w:rPr>
                    <w:t>危险废物</w:t>
                  </w:r>
                </w:p>
              </w:tc>
              <w:tc>
                <w:tcPr>
                  <w:tcW w:w="3583" w:type="dxa"/>
                  <w:vAlign w:val="center"/>
                </w:tcPr>
                <w:p>
                  <w:pPr>
                    <w:pStyle w:val="5"/>
                    <w:adjustRightInd w:val="0"/>
                    <w:snapToGrid w:val="0"/>
                    <w:ind w:firstLine="0"/>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3</w:t>
                  </w:r>
                  <w:r>
                    <w:rPr>
                      <w:rFonts w:hint="eastAsia" w:ascii="Times New Roman" w:hAnsi="Times New Roman" w:cs="Times New Roman"/>
                      <w:bCs/>
                      <w:color w:val="auto"/>
                      <w:szCs w:val="21"/>
                      <w:lang w:val="en-US" w:eastAsia="zh-CN"/>
                    </w:rPr>
                    <w:t>5</w:t>
                  </w:r>
                  <w:r>
                    <w:rPr>
                      <w:rFonts w:hint="eastAsia" w:ascii="Times New Roman" w:hAnsi="Times New Roman" w:eastAsia="宋体" w:cs="Times New Roman"/>
                      <w:bCs/>
                      <w:color w:val="auto"/>
                      <w:szCs w:val="21"/>
                      <w:lang w:val="en-US" w:eastAsia="zh-CN"/>
                    </w:rPr>
                    <w:t>.14</w:t>
                  </w:r>
                </w:p>
              </w:tc>
              <w:tc>
                <w:tcPr>
                  <w:tcW w:w="914" w:type="dxa"/>
                  <w:vAlign w:val="center"/>
                </w:tcPr>
                <w:p>
                  <w:pPr>
                    <w:pStyle w:val="5"/>
                    <w:adjustRightInd w:val="0"/>
                    <w:snapToGrid w:val="0"/>
                    <w:ind w:firstLine="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100</w:t>
                  </w:r>
                </w:p>
              </w:tc>
              <w:tc>
                <w:tcPr>
                  <w:tcW w:w="1754" w:type="dxa"/>
                  <w:vAlign w:val="bottom"/>
                </w:tcPr>
                <w:p>
                  <w:pPr>
                    <w:pStyle w:val="5"/>
                    <w:adjustRightInd w:val="0"/>
                    <w:snapToGrid w:val="0"/>
                    <w:ind w:firstLine="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0.</w:t>
                  </w:r>
                  <w:r>
                    <w:rPr>
                      <w:rFonts w:hint="eastAsia" w:ascii="Times New Roman" w:hAnsi="Times New Roman" w:eastAsia="宋体" w:cs="Times New Roman"/>
                      <w:bCs/>
                      <w:color w:val="auto"/>
                      <w:szCs w:val="21"/>
                      <w:lang w:val="en-US" w:eastAsia="zh-CN"/>
                    </w:rPr>
                    <w:t>3</w:t>
                  </w:r>
                  <w:r>
                    <w:rPr>
                      <w:rFonts w:hint="eastAsia" w:ascii="Times New Roman" w:hAnsi="Times New Roman" w:cs="Times New Roman"/>
                      <w:bCs/>
                      <w:color w:val="auto"/>
                      <w:szCs w:val="21"/>
                      <w:lang w:val="en-US" w:eastAsia="zh-CN"/>
                    </w:rPr>
                    <w:t>5</w:t>
                  </w:r>
                  <w:r>
                    <w:rPr>
                      <w:rFonts w:hint="eastAsia" w:ascii="Times New Roman" w:hAnsi="Times New Roman" w:eastAsia="宋体" w:cs="Times New Roman"/>
                      <w:bCs/>
                      <w:color w:val="auto"/>
                      <w:szCs w:val="21"/>
                      <w:lang w:val="en-US" w:eastAsia="zh-CN"/>
                    </w:rPr>
                    <w:t>14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49" w:type="dxa"/>
                  <w:gridSpan w:val="4"/>
                  <w:vAlign w:val="center"/>
                </w:tcPr>
                <w:p>
                  <w:pPr>
                    <w:pStyle w:val="5"/>
                    <w:adjustRightInd w:val="0"/>
                    <w:snapToGrid w:val="0"/>
                    <w:ind w:firstLine="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合计</w:t>
                  </w:r>
                </w:p>
              </w:tc>
              <w:tc>
                <w:tcPr>
                  <w:tcW w:w="1754" w:type="dxa"/>
                  <w:vAlign w:val="bottom"/>
                </w:tcPr>
                <w:p>
                  <w:pPr>
                    <w:pStyle w:val="5"/>
                    <w:adjustRightInd w:val="0"/>
                    <w:snapToGrid w:val="0"/>
                    <w:ind w:firstLine="0" w:firstLineChars="0"/>
                    <w:jc w:val="center"/>
                    <w:rPr>
                      <w:rFonts w:hint="default" w:ascii="Times New Roman" w:hAnsi="Times New Roman" w:eastAsia="宋体" w:cs="Times New Roman"/>
                      <w:bCs/>
                      <w:color w:val="auto"/>
                      <w:szCs w:val="21"/>
                      <w:lang w:val="en-US" w:eastAsia="zh-CN"/>
                    </w:rPr>
                  </w:pPr>
                  <w:r>
                    <w:rPr>
                      <w:rFonts w:hint="eastAsia" w:ascii="Times New Roman" w:hAnsi="Times New Roman" w:cs="Times New Roman"/>
                      <w:bCs/>
                      <w:color w:val="auto"/>
                      <w:szCs w:val="21"/>
                      <w:lang w:val="en-US" w:eastAsia="zh-CN"/>
                    </w:rPr>
                    <w:t>0.4174</w:t>
                  </w:r>
                </w:p>
              </w:tc>
            </w:tr>
          </w:tbl>
          <w:p>
            <w:pPr>
              <w:adjustRightInd w:val="0"/>
              <w:snapToGrid w:val="0"/>
              <w:rPr>
                <w:rFonts w:hint="default" w:ascii="Times New Roman" w:hAnsi="Times New Roman" w:eastAsia="宋体" w:cs="Times New Roman"/>
                <w:bCs/>
                <w:color w:val="auto"/>
                <w:szCs w:val="21"/>
              </w:rPr>
            </w:pPr>
            <w:r>
              <w:rPr>
                <w:rFonts w:hint="default" w:ascii="Times New Roman" w:hAnsi="Times New Roman" w:eastAsia="宋体" w:cs="Times New Roman"/>
                <w:b/>
                <w:color w:val="auto"/>
                <w:szCs w:val="21"/>
              </w:rPr>
              <w:t>注：</w:t>
            </w:r>
            <w:r>
              <w:rPr>
                <w:rFonts w:hint="default" w:ascii="Times New Roman" w:hAnsi="Times New Roman" w:eastAsia="宋体" w:cs="Times New Roman"/>
                <w:b/>
                <w:color w:val="auto"/>
                <w:szCs w:val="21"/>
                <w:lang w:val="en-US" w:eastAsia="zh-CN"/>
              </w:rPr>
              <w:t>本项目不涉及健康危险急性毒性物质，因此本项目化学品及危险废物</w:t>
            </w:r>
            <w:r>
              <w:rPr>
                <w:rFonts w:hint="default" w:ascii="Times New Roman" w:hAnsi="Times New Roman" w:eastAsia="宋体" w:cs="Times New Roman"/>
                <w:b/>
                <w:color w:val="auto"/>
                <w:szCs w:val="21"/>
              </w:rPr>
              <w:t>临界值参照《建设项目环境风险评价技术导则》（HJ169—2018）表B.2中“危害水环境物质”临界值。</w:t>
            </w:r>
          </w:p>
          <w:p>
            <w:pPr>
              <w:adjustRightInd w:val="0"/>
              <w:snapToGrid w:val="0"/>
              <w:spacing w:line="360" w:lineRule="auto"/>
              <w:ind w:firstLine="480" w:firstLineChars="200"/>
              <w:rPr>
                <w:rFonts w:hint="default" w:ascii="Times New Roman" w:hAnsi="Times New Roman" w:eastAsia="宋体" w:cs="Times New Roman"/>
                <w:bCs/>
                <w:color w:val="auto"/>
                <w:sz w:val="24"/>
                <w:szCs w:val="22"/>
              </w:rPr>
            </w:pPr>
            <w:r>
              <w:rPr>
                <w:rFonts w:hint="default" w:ascii="Times New Roman" w:hAnsi="Times New Roman" w:eastAsia="宋体" w:cs="Times New Roman"/>
                <w:bCs/>
                <w:color w:val="auto"/>
                <w:sz w:val="24"/>
                <w:szCs w:val="22"/>
              </w:rPr>
              <w:t>经分析可知，本项目Q＜1，环境风险势能直接判断为I等级，根据《建设项目环境风险评价技术导则》（HJ169—2018）相关要求，对本项目评价内容进行简单分析。</w:t>
            </w:r>
          </w:p>
          <w:p>
            <w:pPr>
              <w:adjustRightInd w:val="0"/>
              <w:snapToGrid w:val="0"/>
              <w:spacing w:line="360" w:lineRule="auto"/>
              <w:ind w:firstLine="480" w:firstLineChars="200"/>
              <w:rPr>
                <w:rFonts w:hint="default" w:ascii="Times New Roman" w:hAnsi="Times New Roman" w:eastAsia="宋体" w:cs="Times New Roman"/>
                <w:bCs/>
                <w:color w:val="auto"/>
                <w:sz w:val="24"/>
                <w:szCs w:val="22"/>
              </w:rPr>
            </w:pPr>
            <w:r>
              <w:rPr>
                <w:rFonts w:hint="default" w:ascii="Times New Roman" w:hAnsi="Times New Roman" w:eastAsia="宋体" w:cs="Times New Roman"/>
                <w:bCs/>
                <w:color w:val="auto"/>
                <w:sz w:val="24"/>
                <w:szCs w:val="22"/>
              </w:rPr>
              <w:t>（2）风险评价</w:t>
            </w:r>
          </w:p>
          <w:p>
            <w:pPr>
              <w:adjustRightInd w:val="0"/>
              <w:snapToGrid w:val="0"/>
              <w:spacing w:line="360" w:lineRule="auto"/>
              <w:ind w:firstLine="480" w:firstLineChars="200"/>
              <w:rPr>
                <w:rFonts w:hint="default" w:ascii="Times New Roman" w:hAnsi="Times New Roman" w:eastAsia="宋体" w:cs="Times New Roman"/>
                <w:bCs/>
                <w:color w:val="auto"/>
                <w:sz w:val="24"/>
                <w:szCs w:val="22"/>
              </w:rPr>
            </w:pPr>
            <w:r>
              <w:rPr>
                <w:rFonts w:hint="default" w:ascii="Times New Roman" w:hAnsi="Times New Roman" w:eastAsia="宋体" w:cs="Times New Roman"/>
                <w:bCs/>
                <w:color w:val="auto"/>
                <w:sz w:val="24"/>
                <w:szCs w:val="22"/>
              </w:rPr>
              <w:t>①评价依据：根据评价工作等级划分，本项目Q＜1，环境风险势能直接判断为I等级。</w:t>
            </w:r>
          </w:p>
          <w:p>
            <w:pPr>
              <w:adjustRightInd w:val="0"/>
              <w:snapToGrid w:val="0"/>
              <w:spacing w:line="360" w:lineRule="auto"/>
              <w:ind w:firstLine="480" w:firstLineChars="200"/>
              <w:rPr>
                <w:rFonts w:hint="default" w:ascii="Times New Roman" w:hAnsi="Times New Roman" w:eastAsia="宋体" w:cs="Times New Roman"/>
                <w:bCs/>
                <w:color w:val="auto"/>
                <w:sz w:val="24"/>
                <w:szCs w:val="22"/>
              </w:rPr>
            </w:pPr>
            <w:r>
              <w:rPr>
                <w:rFonts w:hint="default" w:ascii="Times New Roman" w:hAnsi="Times New Roman" w:eastAsia="宋体" w:cs="Times New Roman"/>
                <w:bCs/>
                <w:color w:val="auto"/>
                <w:sz w:val="24"/>
                <w:szCs w:val="22"/>
              </w:rPr>
              <w:t>②环境敏感目标概况：周边500m范围内无地下取水口。</w:t>
            </w:r>
          </w:p>
          <w:p>
            <w:pPr>
              <w:adjustRightInd w:val="0"/>
              <w:snapToGrid w:val="0"/>
              <w:spacing w:line="360" w:lineRule="auto"/>
              <w:ind w:firstLine="480" w:firstLineChars="200"/>
              <w:rPr>
                <w:rFonts w:hint="default" w:ascii="Times New Roman" w:hAnsi="Times New Roman" w:eastAsia="宋体" w:cs="Times New Roman"/>
                <w:bCs/>
                <w:color w:val="auto"/>
                <w:sz w:val="24"/>
                <w:szCs w:val="22"/>
              </w:rPr>
            </w:pPr>
            <w:r>
              <w:rPr>
                <w:rFonts w:hint="default" w:ascii="Times New Roman" w:hAnsi="Times New Roman" w:eastAsia="宋体" w:cs="Times New Roman"/>
                <w:bCs/>
                <w:color w:val="auto"/>
                <w:sz w:val="24"/>
                <w:szCs w:val="22"/>
              </w:rPr>
              <w:t>④环境风险防范措施及应急要求：</w:t>
            </w:r>
          </w:p>
          <w:p>
            <w:pPr>
              <w:adjustRightInd w:val="0"/>
              <w:snapToGrid w:val="0"/>
              <w:spacing w:line="360" w:lineRule="auto"/>
              <w:ind w:firstLine="480" w:firstLineChars="200"/>
              <w:rPr>
                <w:rFonts w:hint="default" w:ascii="Times New Roman" w:hAnsi="Times New Roman" w:eastAsia="宋体" w:cs="Times New Roman"/>
                <w:bCs/>
                <w:color w:val="auto"/>
                <w:sz w:val="24"/>
                <w:szCs w:val="22"/>
              </w:rPr>
            </w:pPr>
            <w:r>
              <w:rPr>
                <w:rFonts w:hint="default" w:ascii="Times New Roman" w:hAnsi="Times New Roman" w:eastAsia="宋体" w:cs="Times New Roman"/>
                <w:bCs/>
                <w:color w:val="auto"/>
                <w:sz w:val="24"/>
                <w:szCs w:val="22"/>
              </w:rPr>
              <w:t>a.使用防爆、防火电缆，电气设施进行了触电保护，爆炸危险区域的划分、防爆电器（气）的安装和布防必须符合《爆炸和火灾环境电力装置设计规范(GB50058)》要求。各装置防静电设计应符合《防止静电事故通用导则》（GB12518）以及《工业企业静电接地设计规程》（HGJ28）；各装置防静电设计应根据生产工艺要求，作业环境特点和物料性质采取相应的防静电措施；各生产装置在防爆区域内的所有金属设备、管道等都必须设计静电接地装置，且接地电阻符合规范要求：不大于10Ω；非导电设备、管道等应设计间接接地或采用屏蔽方法，屏蔽体必须可靠接地；根据生产特点配置必要的静电检测仪器、仪表；设备接地处理，及时清理除尘设备，远离火源；车间需满足《粉尘防爆安全规程》（GB15577-2018）的相关规定，加强车间粉尘防爆的安全管理，防止粉尘爆炸事故发生，保障公司财产和员工人身安全。</w:t>
            </w:r>
          </w:p>
          <w:p>
            <w:pPr>
              <w:adjustRightInd w:val="0"/>
              <w:snapToGrid w:val="0"/>
              <w:spacing w:line="360" w:lineRule="auto"/>
              <w:ind w:firstLine="480" w:firstLineChars="200"/>
              <w:rPr>
                <w:rFonts w:hint="default" w:ascii="Times New Roman" w:hAnsi="Times New Roman" w:eastAsia="宋体" w:cs="Times New Roman"/>
                <w:bCs/>
                <w:color w:val="auto"/>
                <w:sz w:val="24"/>
                <w:szCs w:val="22"/>
              </w:rPr>
            </w:pPr>
            <w:r>
              <w:rPr>
                <w:rFonts w:hint="default" w:ascii="Times New Roman" w:hAnsi="Times New Roman" w:eastAsia="宋体" w:cs="Times New Roman"/>
                <w:bCs/>
                <w:color w:val="auto"/>
                <w:sz w:val="24"/>
                <w:szCs w:val="22"/>
              </w:rPr>
              <w:t>b.定期检查、维护生产中使用的设备、仓库，确保各设施、设备正常运行。</w:t>
            </w:r>
          </w:p>
          <w:p>
            <w:pPr>
              <w:adjustRightInd w:val="0"/>
              <w:snapToGrid w:val="0"/>
              <w:spacing w:line="360" w:lineRule="auto"/>
              <w:ind w:firstLine="480" w:firstLineChars="200"/>
              <w:rPr>
                <w:rFonts w:hint="default" w:ascii="Times New Roman" w:hAnsi="Times New Roman" w:eastAsia="宋体" w:cs="Times New Roman"/>
                <w:bCs/>
                <w:color w:val="auto"/>
                <w:sz w:val="24"/>
                <w:szCs w:val="22"/>
              </w:rPr>
            </w:pPr>
            <w:r>
              <w:rPr>
                <w:rFonts w:hint="default" w:ascii="Times New Roman" w:hAnsi="Times New Roman" w:eastAsia="宋体" w:cs="Times New Roman"/>
                <w:bCs/>
                <w:color w:val="auto"/>
                <w:sz w:val="24"/>
                <w:szCs w:val="22"/>
              </w:rPr>
              <w:t>c.生产车间、危废仓库均配备黄沙箱、吸油毡、应急桶等。</w:t>
            </w:r>
          </w:p>
          <w:p>
            <w:pPr>
              <w:adjustRightInd w:val="0"/>
              <w:snapToGrid w:val="0"/>
              <w:spacing w:line="360" w:lineRule="auto"/>
              <w:ind w:firstLine="480" w:firstLineChars="200"/>
              <w:rPr>
                <w:rFonts w:hint="default" w:ascii="Times New Roman" w:hAnsi="Times New Roman" w:eastAsia="宋体" w:cs="Times New Roman"/>
                <w:bCs/>
                <w:color w:val="auto"/>
                <w:sz w:val="24"/>
                <w:szCs w:val="22"/>
              </w:rPr>
            </w:pPr>
            <w:r>
              <w:rPr>
                <w:rFonts w:hint="default" w:ascii="Times New Roman" w:hAnsi="Times New Roman" w:eastAsia="宋体" w:cs="Times New Roman"/>
                <w:bCs/>
                <w:color w:val="auto"/>
                <w:sz w:val="24"/>
                <w:szCs w:val="22"/>
              </w:rPr>
              <w:t>d.生产区和各仓库设置干粉灭火器和泡沫灭火器、消防砂；厂内采用电话报警，专人负责，发生火灾时，及时向有关负责人通报火警；根据实际情况设置感烟、感温探测器及手动报警按钮等。</w:t>
            </w:r>
          </w:p>
          <w:p>
            <w:pPr>
              <w:adjustRightInd w:val="0"/>
              <w:snapToGrid w:val="0"/>
              <w:spacing w:line="360" w:lineRule="auto"/>
              <w:ind w:firstLine="480" w:firstLineChars="200"/>
              <w:rPr>
                <w:rFonts w:hint="default" w:ascii="Times New Roman" w:hAnsi="Times New Roman" w:eastAsia="宋体" w:cs="Times New Roman"/>
                <w:bCs/>
                <w:color w:val="auto"/>
                <w:sz w:val="24"/>
                <w:szCs w:val="22"/>
              </w:rPr>
            </w:pPr>
            <w:r>
              <w:rPr>
                <w:rFonts w:hint="default" w:ascii="Times New Roman" w:hAnsi="Times New Roman" w:eastAsia="宋体" w:cs="Times New Roman"/>
                <w:bCs/>
                <w:color w:val="auto"/>
                <w:sz w:val="24"/>
                <w:szCs w:val="22"/>
              </w:rPr>
              <w:t>e.生产现场设置各种安全标志。按照规范对凡需要迅速发现并引起注意以防发生事故的场所、部位均按要求涂安全色。</w:t>
            </w:r>
          </w:p>
          <w:p>
            <w:pPr>
              <w:adjustRightInd w:val="0"/>
              <w:snapToGrid w:val="0"/>
              <w:spacing w:line="360" w:lineRule="auto"/>
              <w:ind w:firstLine="480" w:firstLineChars="200"/>
              <w:rPr>
                <w:rFonts w:hint="default" w:ascii="Times New Roman" w:hAnsi="Times New Roman" w:eastAsia="宋体" w:cs="Times New Roman"/>
                <w:bCs/>
                <w:color w:val="auto"/>
                <w:sz w:val="24"/>
                <w:szCs w:val="22"/>
              </w:rPr>
            </w:pPr>
            <w:r>
              <w:rPr>
                <w:rFonts w:hint="default" w:ascii="Times New Roman" w:hAnsi="Times New Roman" w:eastAsia="宋体" w:cs="Times New Roman"/>
                <w:bCs/>
                <w:color w:val="auto"/>
                <w:sz w:val="24"/>
                <w:szCs w:val="22"/>
              </w:rPr>
              <w:t>f.一旦发生火灾，应立即停止生产，迅速使用厂内灭火器材，同时，通知镇、区消防支队；并迅速疏散厂内职工和周围群众撤离现场。</w:t>
            </w:r>
          </w:p>
          <w:p>
            <w:pPr>
              <w:adjustRightInd w:val="0"/>
              <w:snapToGrid w:val="0"/>
              <w:spacing w:line="360" w:lineRule="auto"/>
              <w:ind w:firstLine="480" w:firstLineChars="200"/>
              <w:rPr>
                <w:rFonts w:hint="default" w:ascii="Times New Roman" w:hAnsi="Times New Roman" w:eastAsia="宋体" w:cs="Times New Roman"/>
                <w:bCs/>
                <w:color w:val="auto"/>
                <w:sz w:val="24"/>
                <w:szCs w:val="22"/>
              </w:rPr>
            </w:pPr>
            <w:r>
              <w:rPr>
                <w:rFonts w:hint="default" w:ascii="Times New Roman" w:hAnsi="Times New Roman" w:eastAsia="宋体" w:cs="Times New Roman"/>
                <w:bCs/>
                <w:color w:val="auto"/>
                <w:sz w:val="24"/>
                <w:szCs w:val="22"/>
              </w:rPr>
              <w:t>g.加强工厂、车间的安全环保管理，对全厂职工进行安全环保的教育和培训，实行上岗证制度。</w:t>
            </w:r>
          </w:p>
          <w:p>
            <w:pPr>
              <w:adjustRightInd w:val="0"/>
              <w:snapToGrid w:val="0"/>
              <w:spacing w:line="360" w:lineRule="auto"/>
              <w:ind w:firstLine="480" w:firstLineChars="200"/>
              <w:rPr>
                <w:rFonts w:hint="default" w:ascii="Times New Roman" w:hAnsi="Times New Roman" w:eastAsia="宋体" w:cs="Times New Roman"/>
                <w:bCs/>
                <w:color w:val="auto"/>
                <w:sz w:val="24"/>
                <w:szCs w:val="22"/>
              </w:rPr>
            </w:pPr>
            <w:r>
              <w:rPr>
                <w:rFonts w:hint="default" w:ascii="Times New Roman" w:hAnsi="Times New Roman" w:eastAsia="宋体" w:cs="Times New Roman"/>
                <w:bCs/>
                <w:color w:val="auto"/>
                <w:sz w:val="24"/>
                <w:szCs w:val="22"/>
              </w:rPr>
              <w:t>h.定期检查生产和原料贮存区，杜绝事故隐患，降低事故发生概率。</w:t>
            </w:r>
          </w:p>
          <w:p>
            <w:pPr>
              <w:adjustRightInd w:val="0"/>
              <w:snapToGrid w:val="0"/>
              <w:spacing w:line="360" w:lineRule="auto"/>
              <w:ind w:firstLine="480" w:firstLineChars="200"/>
              <w:rPr>
                <w:rFonts w:hint="default" w:ascii="Times New Roman" w:hAnsi="Times New Roman" w:eastAsia="宋体" w:cs="Times New Roman"/>
                <w:bCs/>
                <w:color w:val="auto"/>
                <w:sz w:val="24"/>
                <w:szCs w:val="22"/>
              </w:rPr>
            </w:pPr>
            <w:r>
              <w:rPr>
                <w:rFonts w:hint="default" w:ascii="Times New Roman" w:hAnsi="Times New Roman" w:eastAsia="宋体" w:cs="Times New Roman"/>
                <w:bCs/>
                <w:color w:val="auto"/>
                <w:sz w:val="24"/>
                <w:szCs w:val="22"/>
              </w:rPr>
              <w:t>i.配备24小时有效的报警装置，建立有效的内部、外部通讯联络手段。上述措施可满足本项目风险防范及应急需求且具有可行性。在采取规范化环境风险防范措施和应急措施的前提下，本项目环境风险可控。</w:t>
            </w:r>
          </w:p>
          <w:p>
            <w:pPr>
              <w:adjustRightInd w:val="0"/>
              <w:snapToGrid w:val="0"/>
              <w:jc w:val="center"/>
              <w:rPr>
                <w:rFonts w:hint="default" w:ascii="Times New Roman" w:hAnsi="Times New Roman" w:eastAsia="宋体" w:cs="Times New Roman"/>
                <w:b/>
                <w:bCs/>
                <w:color w:val="auto"/>
                <w:sz w:val="24"/>
              </w:rPr>
            </w:pPr>
          </w:p>
          <w:p>
            <w:pPr>
              <w:adjustRightInd w:val="0"/>
              <w:snapToGrid w:val="0"/>
              <w:jc w:val="center"/>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表4-2</w:t>
            </w:r>
            <w:r>
              <w:rPr>
                <w:rFonts w:hint="eastAsia" w:cs="Times New Roman"/>
                <w:b/>
                <w:bCs/>
                <w:color w:val="auto"/>
                <w:sz w:val="24"/>
                <w:lang w:val="en-US" w:eastAsia="zh-CN"/>
              </w:rPr>
              <w:t>8</w:t>
            </w:r>
            <w:r>
              <w:rPr>
                <w:rFonts w:hint="default" w:ascii="Times New Roman" w:hAnsi="Times New Roman" w:eastAsia="宋体" w:cs="Times New Roman"/>
                <w:b/>
                <w:bCs/>
                <w:color w:val="auto"/>
                <w:sz w:val="24"/>
              </w:rPr>
              <w:t xml:space="preserve"> 本项目环境风险简单分析内容表</w:t>
            </w:r>
          </w:p>
          <w:tbl>
            <w:tblPr>
              <w:tblStyle w:val="22"/>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963"/>
              <w:gridCol w:w="1687"/>
              <w:gridCol w:w="1687"/>
              <w:gridCol w:w="1687"/>
              <w:gridCol w:w="168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1963" w:type="dxa"/>
                  <w:vAlign w:val="center"/>
                </w:tcPr>
                <w:p>
                  <w:pPr>
                    <w:adjustRightInd w:val="0"/>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rPr>
                    <w:t>建设项目名称</w:t>
                  </w:r>
                </w:p>
              </w:tc>
              <w:tc>
                <w:tcPr>
                  <w:tcW w:w="6749" w:type="dxa"/>
                  <w:gridSpan w:val="4"/>
                  <w:vAlign w:val="center"/>
                </w:tcPr>
                <w:p>
                  <w:pPr>
                    <w:adjustRightInd w:val="0"/>
                    <w:snapToGrid w:val="0"/>
                    <w:jc w:val="center"/>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年加工550万件机械零部件项目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1963" w:type="dxa"/>
                  <w:vAlign w:val="center"/>
                </w:tcPr>
                <w:p>
                  <w:pPr>
                    <w:adjustRightInd w:val="0"/>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rPr>
                    <w:t>建设地点</w:t>
                  </w:r>
                </w:p>
              </w:tc>
              <w:tc>
                <w:tcPr>
                  <w:tcW w:w="6749" w:type="dxa"/>
                  <w:gridSpan w:val="4"/>
                  <w:vAlign w:val="center"/>
                </w:tcPr>
                <w:p>
                  <w:pPr>
                    <w:adjustRightInd w:val="0"/>
                    <w:snapToGrid w:val="0"/>
                    <w:jc w:val="center"/>
                    <w:rPr>
                      <w:rFonts w:hint="default" w:ascii="Times New Roman" w:hAnsi="Times New Roman" w:eastAsia="宋体" w:cs="Times New Roman"/>
                      <w:color w:val="auto"/>
                      <w:lang w:eastAsia="zh-CN"/>
                    </w:rPr>
                  </w:pPr>
                  <w:r>
                    <w:rPr>
                      <w:rFonts w:hint="default" w:ascii="Times New Roman" w:hAnsi="Times New Roman" w:eastAsia="宋体" w:cs="Times New Roman"/>
                      <w:color w:val="auto"/>
                      <w:szCs w:val="21"/>
                      <w:lang w:eastAsia="zh-CN"/>
                    </w:rPr>
                    <w:t>江苏省常州市武进区前黄镇寨灵路19号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1963" w:type="dxa"/>
                  <w:vAlign w:val="center"/>
                </w:tcPr>
                <w:p>
                  <w:pPr>
                    <w:adjustRightInd w:val="0"/>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rPr>
                    <w:t>地理坐标</w:t>
                  </w:r>
                </w:p>
              </w:tc>
              <w:tc>
                <w:tcPr>
                  <w:tcW w:w="1687" w:type="dxa"/>
                  <w:vAlign w:val="center"/>
                </w:tcPr>
                <w:p>
                  <w:pPr>
                    <w:adjustRightInd w:val="0"/>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rPr>
                    <w:t>经度</w:t>
                  </w:r>
                </w:p>
              </w:tc>
              <w:tc>
                <w:tcPr>
                  <w:tcW w:w="1687" w:type="dxa"/>
                  <w:vAlign w:val="center"/>
                </w:tcPr>
                <w:p>
                  <w:pPr>
                    <w:adjustRightInd w:val="0"/>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szCs w:val="21"/>
                    </w:rPr>
                    <w:t>E119°</w:t>
                  </w:r>
                  <w:r>
                    <w:rPr>
                      <w:rFonts w:hint="default" w:ascii="Times New Roman" w:hAnsi="Times New Roman" w:eastAsia="宋体" w:cs="Times New Roman"/>
                      <w:color w:val="auto"/>
                      <w:szCs w:val="21"/>
                      <w:lang w:val="en-US" w:eastAsia="zh-CN"/>
                    </w:rPr>
                    <w:t>90</w:t>
                  </w:r>
                  <w:r>
                    <w:rPr>
                      <w:rFonts w:hint="default" w:ascii="Times New Roman" w:hAnsi="Times New Roman" w:eastAsia="宋体" w:cs="Times New Roman"/>
                      <w:color w:val="auto"/>
                      <w:szCs w:val="21"/>
                    </w:rPr>
                    <w:t>′</w:t>
                  </w:r>
                  <w:r>
                    <w:rPr>
                      <w:rFonts w:hint="default" w:ascii="Times New Roman" w:hAnsi="Times New Roman" w:eastAsia="宋体" w:cs="Times New Roman"/>
                      <w:color w:val="auto"/>
                      <w:szCs w:val="21"/>
                      <w:lang w:val="en-US" w:eastAsia="zh-CN"/>
                    </w:rPr>
                    <w:t>41.98</w:t>
                  </w:r>
                  <w:r>
                    <w:rPr>
                      <w:rFonts w:hint="default" w:ascii="Times New Roman" w:hAnsi="Times New Roman" w:eastAsia="宋体" w:cs="Times New Roman"/>
                      <w:color w:val="auto"/>
                      <w:szCs w:val="21"/>
                    </w:rPr>
                    <w:t>″</w:t>
                  </w:r>
                </w:p>
              </w:tc>
              <w:tc>
                <w:tcPr>
                  <w:tcW w:w="1687" w:type="dxa"/>
                  <w:vAlign w:val="center"/>
                </w:tcPr>
                <w:p>
                  <w:pPr>
                    <w:adjustRightInd w:val="0"/>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rPr>
                    <w:t>纬度</w:t>
                  </w:r>
                </w:p>
              </w:tc>
              <w:tc>
                <w:tcPr>
                  <w:tcW w:w="1688" w:type="dxa"/>
                  <w:vAlign w:val="center"/>
                </w:tcPr>
                <w:p>
                  <w:pPr>
                    <w:adjustRightInd w:val="0"/>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szCs w:val="21"/>
                    </w:rPr>
                    <w:t>N31°</w:t>
                  </w:r>
                  <w:r>
                    <w:rPr>
                      <w:rFonts w:hint="default" w:ascii="Times New Roman" w:hAnsi="Times New Roman" w:eastAsia="宋体" w:cs="Times New Roman"/>
                      <w:color w:val="auto"/>
                      <w:szCs w:val="21"/>
                      <w:lang w:val="en-US" w:eastAsia="zh-CN"/>
                    </w:rPr>
                    <w:t>59</w:t>
                  </w:r>
                  <w:r>
                    <w:rPr>
                      <w:rFonts w:hint="default" w:ascii="Times New Roman" w:hAnsi="Times New Roman" w:eastAsia="宋体" w:cs="Times New Roman"/>
                      <w:color w:val="auto"/>
                      <w:szCs w:val="21"/>
                    </w:rPr>
                    <w:t>′</w:t>
                  </w:r>
                  <w:r>
                    <w:rPr>
                      <w:rFonts w:hint="default" w:ascii="Times New Roman" w:hAnsi="Times New Roman" w:eastAsia="宋体" w:cs="Times New Roman"/>
                      <w:color w:val="auto"/>
                      <w:szCs w:val="21"/>
                      <w:lang w:val="en-US" w:eastAsia="zh-CN"/>
                    </w:rPr>
                    <w:t>28.49</w:t>
                  </w:r>
                  <w:r>
                    <w:rPr>
                      <w:rFonts w:hint="default" w:ascii="Times New Roman" w:hAnsi="Times New Roman" w:eastAsia="宋体" w:cs="Times New Roman"/>
                      <w:color w:val="auto"/>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1963" w:type="dxa"/>
                  <w:vAlign w:val="center"/>
                </w:tcPr>
                <w:p>
                  <w:pPr>
                    <w:adjustRightInd w:val="0"/>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rPr>
                    <w:t>主要危险物质及分布</w:t>
                  </w:r>
                </w:p>
              </w:tc>
              <w:tc>
                <w:tcPr>
                  <w:tcW w:w="6749" w:type="dxa"/>
                  <w:gridSpan w:val="4"/>
                  <w:vAlign w:val="center"/>
                </w:tcPr>
                <w:p>
                  <w:pPr>
                    <w:adjustRightInd w:val="0"/>
                    <w:snapToGrid w:val="0"/>
                    <w:jc w:val="center"/>
                    <w:rPr>
                      <w:rFonts w:hint="default" w:ascii="Times New Roman" w:hAnsi="Times New Roman" w:eastAsia="宋体" w:cs="Times New Roman"/>
                      <w:color w:val="auto"/>
                      <w:szCs w:val="22"/>
                    </w:rPr>
                  </w:pPr>
                  <w:r>
                    <w:rPr>
                      <w:rFonts w:hint="default" w:ascii="Times New Roman" w:hAnsi="Times New Roman" w:eastAsia="宋体" w:cs="Times New Roman"/>
                      <w:color w:val="auto"/>
                    </w:rPr>
                    <w:t>主</w:t>
                  </w:r>
                  <w:r>
                    <w:rPr>
                      <w:rFonts w:hint="default" w:ascii="Times New Roman" w:hAnsi="Times New Roman" w:eastAsia="宋体" w:cs="Times New Roman"/>
                      <w:color w:val="auto"/>
                      <w:szCs w:val="22"/>
                    </w:rPr>
                    <w:t>要危险物质：</w:t>
                  </w:r>
                  <w:r>
                    <w:rPr>
                      <w:rFonts w:hint="eastAsia" w:cs="Times New Roman"/>
                      <w:color w:val="auto"/>
                      <w:szCs w:val="22"/>
                      <w:lang w:val="en-US" w:eastAsia="zh-CN"/>
                    </w:rPr>
                    <w:t>原辅材料</w:t>
                  </w:r>
                  <w:r>
                    <w:rPr>
                      <w:rFonts w:hint="default" w:ascii="Times New Roman" w:hAnsi="Times New Roman" w:eastAsia="宋体" w:cs="Times New Roman"/>
                      <w:color w:val="auto"/>
                      <w:szCs w:val="22"/>
                      <w:lang w:val="en-US" w:eastAsia="zh-CN"/>
                    </w:rPr>
                    <w:t>、</w:t>
                  </w:r>
                  <w:r>
                    <w:rPr>
                      <w:rFonts w:hint="default" w:ascii="Times New Roman" w:hAnsi="Times New Roman" w:eastAsia="宋体" w:cs="Times New Roman"/>
                      <w:color w:val="auto"/>
                      <w:szCs w:val="22"/>
                    </w:rPr>
                    <w:t>废活性炭；</w:t>
                  </w:r>
                </w:p>
                <w:p>
                  <w:pPr>
                    <w:adjustRightInd w:val="0"/>
                    <w:snapToGrid w:val="0"/>
                    <w:jc w:val="center"/>
                    <w:rPr>
                      <w:rFonts w:hint="default" w:ascii="Times New Roman" w:hAnsi="Times New Roman" w:eastAsia="宋体" w:cs="Times New Roman"/>
                      <w:b/>
                      <w:bCs/>
                      <w:color w:val="auto"/>
                    </w:rPr>
                  </w:pPr>
                  <w:r>
                    <w:rPr>
                      <w:rFonts w:hint="default" w:ascii="Times New Roman" w:hAnsi="Times New Roman" w:eastAsia="宋体" w:cs="Times New Roman"/>
                      <w:color w:val="auto"/>
                      <w:szCs w:val="22"/>
                    </w:rPr>
                    <w:t>分布情况：</w:t>
                  </w:r>
                  <w:r>
                    <w:rPr>
                      <w:rFonts w:hint="default" w:ascii="Times New Roman" w:hAnsi="Times New Roman" w:eastAsia="宋体" w:cs="Times New Roman"/>
                      <w:color w:val="auto"/>
                      <w:szCs w:val="22"/>
                      <w:lang w:val="en-US" w:eastAsia="zh-CN"/>
                    </w:rPr>
                    <w:t>原料仓库、</w:t>
                  </w:r>
                  <w:r>
                    <w:rPr>
                      <w:rFonts w:hint="default" w:ascii="Times New Roman" w:hAnsi="Times New Roman" w:eastAsia="宋体" w:cs="Times New Roman"/>
                      <w:color w:val="auto"/>
                      <w:szCs w:val="22"/>
                    </w:rPr>
                    <w:t>危废仓库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1963" w:type="dxa"/>
                  <w:vAlign w:val="center"/>
                </w:tcPr>
                <w:p>
                  <w:pPr>
                    <w:adjustRightInd w:val="0"/>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rPr>
                    <w:t>环境影响途径及危害后果（大气、地表水、地下水等）</w:t>
                  </w:r>
                </w:p>
              </w:tc>
              <w:tc>
                <w:tcPr>
                  <w:tcW w:w="6749" w:type="dxa"/>
                  <w:gridSpan w:val="4"/>
                  <w:vAlign w:val="center"/>
                </w:tcPr>
                <w:p>
                  <w:pPr>
                    <w:adjustRightInd w:val="0"/>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厂区内</w:t>
                  </w:r>
                  <w:r>
                    <w:rPr>
                      <w:rFonts w:hint="eastAsia" w:cs="Times New Roman"/>
                      <w:color w:val="auto"/>
                      <w:lang w:val="en-US" w:eastAsia="zh-CN"/>
                    </w:rPr>
                    <w:t>贮存</w:t>
                  </w:r>
                  <w:r>
                    <w:rPr>
                      <w:rFonts w:hint="default" w:ascii="Times New Roman" w:hAnsi="Times New Roman" w:eastAsia="宋体" w:cs="Times New Roman"/>
                      <w:color w:val="auto"/>
                      <w:lang w:val="en-US" w:eastAsia="zh-CN"/>
                    </w:rPr>
                    <w:t>的</w:t>
                  </w:r>
                  <w:r>
                    <w:rPr>
                      <w:rFonts w:hint="eastAsia" w:cs="Times New Roman"/>
                      <w:color w:val="auto"/>
                      <w:szCs w:val="22"/>
                      <w:lang w:val="en-US" w:eastAsia="zh-CN"/>
                    </w:rPr>
                    <w:t>原辅材料</w:t>
                  </w:r>
                  <w:r>
                    <w:rPr>
                      <w:rFonts w:hint="default" w:ascii="Times New Roman" w:hAnsi="Times New Roman" w:eastAsia="宋体" w:cs="Times New Roman"/>
                      <w:color w:val="auto"/>
                      <w:lang w:val="en-US" w:eastAsia="zh-CN"/>
                    </w:rPr>
                    <w:t>及废活性炭等危险物质</w:t>
                  </w:r>
                  <w:r>
                    <w:rPr>
                      <w:rFonts w:hint="default" w:ascii="Times New Roman" w:hAnsi="Times New Roman" w:eastAsia="宋体" w:cs="Times New Roman"/>
                      <w:color w:val="auto"/>
                      <w:szCs w:val="22"/>
                    </w:rPr>
                    <w:t>若遇明火或高热，会发生火灾爆炸事故，危害从业人员的身体健康，并</w:t>
                  </w:r>
                  <w:r>
                    <w:rPr>
                      <w:rFonts w:hint="default" w:ascii="Times New Roman" w:hAnsi="Times New Roman" w:eastAsia="宋体" w:cs="Times New Roman"/>
                      <w:color w:val="auto"/>
                    </w:rPr>
                    <w:t>会对周围地表水体、大气造成一定的影响。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1963" w:type="dxa"/>
                  <w:vAlign w:val="center"/>
                </w:tcPr>
                <w:p>
                  <w:pPr>
                    <w:adjustRightInd w:val="0"/>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rPr>
                    <w:t>风险防范措施要求</w:t>
                  </w:r>
                </w:p>
              </w:tc>
              <w:tc>
                <w:tcPr>
                  <w:tcW w:w="6749" w:type="dxa"/>
                  <w:gridSpan w:val="4"/>
                  <w:vAlign w:val="center"/>
                </w:tcPr>
                <w:p>
                  <w:pPr>
                    <w:adjustRightInd w:val="0"/>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rPr>
                    <w:t>设置专人定期检查危废仓库内的暂存情况；定期检查厂内各风险防范措施的完善情况，设置应急物资，建立健全应急防范机制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8712" w:type="dxa"/>
                  <w:gridSpan w:val="5"/>
                  <w:vAlign w:val="center"/>
                </w:tcPr>
                <w:p>
                  <w:pPr>
                    <w:adjustRightInd w:val="0"/>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rPr>
                    <w:t>填表说明（列出项目相关信息及评价说明）：本项目Q＜1，环境风险势能直接判断为I等级</w:t>
                  </w:r>
                </w:p>
              </w:tc>
            </w:tr>
          </w:tbl>
          <w:p>
            <w:pPr>
              <w:adjustRightInd w:val="0"/>
              <w:snapToGrid w:val="0"/>
              <w:spacing w:line="360" w:lineRule="auto"/>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9、电磁辐射</w:t>
            </w:r>
          </w:p>
          <w:p>
            <w:pPr>
              <w:adjustRightInd w:val="0"/>
              <w:snapToGrid w:val="0"/>
              <w:spacing w:line="360" w:lineRule="auto"/>
              <w:ind w:firstLine="480" w:firstLineChars="200"/>
              <w:rPr>
                <w:rFonts w:hint="eastAsia" w:ascii="Times New Roman" w:hAnsi="Times New Roman" w:eastAsia="宋体" w:cs="Times New Roman"/>
                <w:color w:val="auto"/>
                <w:sz w:val="24"/>
                <w:lang w:val="en-US" w:eastAsia="zh-CN"/>
              </w:rPr>
            </w:pPr>
            <w:r>
              <w:rPr>
                <w:rFonts w:hint="default" w:ascii="Times New Roman" w:hAnsi="Times New Roman" w:eastAsia="宋体" w:cs="Times New Roman"/>
                <w:bCs/>
                <w:color w:val="auto"/>
                <w:sz w:val="24"/>
                <w:szCs w:val="22"/>
              </w:rPr>
              <w:t>本项目不涉及电磁辐射</w:t>
            </w:r>
            <w:r>
              <w:rPr>
                <w:rFonts w:hint="eastAsia" w:cs="Times New Roman"/>
                <w:bCs/>
                <w:color w:val="auto"/>
                <w:sz w:val="24"/>
                <w:szCs w:val="22"/>
                <w:lang w:eastAsia="zh-CN"/>
              </w:rPr>
              <w:t>。</w:t>
            </w:r>
          </w:p>
        </w:tc>
      </w:tr>
    </w:tbl>
    <w:p>
      <w:pPr>
        <w:adjustRightInd w:val="0"/>
        <w:snapToGrid w:val="0"/>
        <w:spacing w:line="360" w:lineRule="auto"/>
        <w:rPr>
          <w:rFonts w:hint="default" w:ascii="Times New Roman" w:hAnsi="Times New Roman" w:eastAsia="宋体" w:cs="Times New Roman"/>
          <w:b/>
          <w:color w:val="auto"/>
          <w:kern w:val="0"/>
          <w:sz w:val="28"/>
          <w:szCs w:val="28"/>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p>
      <w:pPr>
        <w:pStyle w:val="18"/>
        <w:spacing w:before="0" w:beforeAutospacing="0" w:after="0" w:afterAutospacing="0"/>
        <w:jc w:val="center"/>
        <w:outlineLvl w:val="0"/>
        <w:rPr>
          <w:rFonts w:hint="default" w:ascii="Times New Roman" w:hAnsi="Times New Roman" w:eastAsia="宋体" w:cs="Times New Roman"/>
          <w:snapToGrid w:val="0"/>
          <w:color w:val="auto"/>
          <w:sz w:val="30"/>
          <w:szCs w:val="30"/>
        </w:rPr>
      </w:pPr>
      <w:r>
        <w:rPr>
          <w:rFonts w:hint="default" w:ascii="Times New Roman" w:hAnsi="Times New Roman" w:eastAsia="宋体" w:cs="Times New Roman"/>
          <w:snapToGrid w:val="0"/>
          <w:color w:val="auto"/>
          <w:sz w:val="30"/>
          <w:szCs w:val="30"/>
        </w:rPr>
        <w:t>五、</w:t>
      </w:r>
      <w:bookmarkStart w:id="12" w:name="_Hlk54167917"/>
      <w:r>
        <w:rPr>
          <w:rFonts w:hint="default" w:ascii="Times New Roman" w:hAnsi="Times New Roman" w:eastAsia="宋体" w:cs="Times New Roman"/>
          <w:snapToGrid w:val="0"/>
          <w:color w:val="auto"/>
          <w:sz w:val="30"/>
          <w:szCs w:val="30"/>
        </w:rPr>
        <w:t>环境保护措施监督检查清单</w:t>
      </w:r>
      <w:bookmarkEnd w:id="12"/>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8"/>
        <w:gridCol w:w="1701"/>
        <w:gridCol w:w="1275"/>
        <w:gridCol w:w="2268"/>
        <w:gridCol w:w="2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38" w:type="dxa"/>
            <w:tcBorders>
              <w:tl2br w:val="single" w:color="auto" w:sz="4" w:space="0"/>
            </w:tcBorders>
          </w:tcPr>
          <w:p>
            <w:pPr>
              <w:adjustRightInd w:val="0"/>
              <w:snapToGrid w:val="0"/>
              <w:ind w:firstLine="840"/>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内容</w:t>
            </w:r>
          </w:p>
          <w:p>
            <w:pPr>
              <w:adjustRightInd w:val="0"/>
              <w:snapToGrid w:val="0"/>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要素</w:t>
            </w:r>
          </w:p>
        </w:tc>
        <w:tc>
          <w:tcPr>
            <w:tcW w:w="1701" w:type="dxa"/>
            <w:vAlign w:val="center"/>
          </w:tcPr>
          <w:p>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排放口(编号、名称)/污染源</w:t>
            </w:r>
          </w:p>
        </w:tc>
        <w:tc>
          <w:tcPr>
            <w:tcW w:w="1275" w:type="dxa"/>
            <w:vAlign w:val="center"/>
          </w:tcPr>
          <w:p>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污染物项目</w:t>
            </w:r>
          </w:p>
        </w:tc>
        <w:tc>
          <w:tcPr>
            <w:tcW w:w="2268" w:type="dxa"/>
            <w:vAlign w:val="center"/>
          </w:tcPr>
          <w:p>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环境保护措施</w:t>
            </w:r>
          </w:p>
        </w:tc>
        <w:tc>
          <w:tcPr>
            <w:tcW w:w="2018" w:type="dxa"/>
            <w:vAlign w:val="center"/>
          </w:tcPr>
          <w:p>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atLeast"/>
          <w:jc w:val="center"/>
        </w:trPr>
        <w:tc>
          <w:tcPr>
            <w:tcW w:w="1538" w:type="dxa"/>
            <w:vMerge w:val="restar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大气环境</w:t>
            </w:r>
          </w:p>
        </w:tc>
        <w:tc>
          <w:tcPr>
            <w:tcW w:w="1701" w:type="dxa"/>
            <w:vMerge w:val="restar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有组织废气</w:t>
            </w:r>
          </w:p>
        </w:tc>
        <w:tc>
          <w:tcPr>
            <w:tcW w:w="1275"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非甲烷总烃</w:t>
            </w:r>
          </w:p>
        </w:tc>
        <w:tc>
          <w:tcPr>
            <w:tcW w:w="2268" w:type="dxa"/>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二级活性炭吸附装置</w:t>
            </w:r>
            <w:r>
              <w:rPr>
                <w:rFonts w:hint="default" w:ascii="Times New Roman" w:hAnsi="Times New Roman" w:eastAsia="宋体" w:cs="Times New Roman"/>
                <w:color w:val="auto"/>
                <w:szCs w:val="21"/>
                <w:lang w:val="en-US" w:eastAsia="zh-CN"/>
              </w:rPr>
              <w:t>+15m高排气筒</w:t>
            </w:r>
          </w:p>
        </w:tc>
        <w:tc>
          <w:tcPr>
            <w:tcW w:w="2018"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《大气污染物综合排放标准》（DB32/4041-2021）表1标准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atLeast"/>
          <w:jc w:val="center"/>
        </w:trPr>
        <w:tc>
          <w:tcPr>
            <w:tcW w:w="1538" w:type="dxa"/>
            <w:vMerge w:val="continue"/>
            <w:vAlign w:val="center"/>
          </w:tcPr>
          <w:p>
            <w:pPr>
              <w:adjustRightInd w:val="0"/>
              <w:snapToGrid w:val="0"/>
              <w:jc w:val="center"/>
              <w:rPr>
                <w:rFonts w:hint="default" w:ascii="Times New Roman" w:hAnsi="Times New Roman" w:eastAsia="宋体" w:cs="Times New Roman"/>
                <w:color w:val="auto"/>
                <w:szCs w:val="21"/>
              </w:rPr>
            </w:pPr>
          </w:p>
        </w:tc>
        <w:tc>
          <w:tcPr>
            <w:tcW w:w="1701" w:type="dxa"/>
            <w:vMerge w:val="continue"/>
            <w:vAlign w:val="center"/>
          </w:tcPr>
          <w:p>
            <w:pPr>
              <w:adjustRightInd w:val="0"/>
              <w:snapToGrid w:val="0"/>
              <w:jc w:val="center"/>
              <w:rPr>
                <w:rFonts w:hint="default" w:ascii="Times New Roman" w:hAnsi="Times New Roman" w:eastAsia="宋体" w:cs="Times New Roman"/>
                <w:color w:val="auto"/>
                <w:szCs w:val="21"/>
              </w:rPr>
            </w:pPr>
          </w:p>
        </w:tc>
        <w:tc>
          <w:tcPr>
            <w:tcW w:w="1275" w:type="dxa"/>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颗粒物</w:t>
            </w:r>
          </w:p>
        </w:tc>
        <w:tc>
          <w:tcPr>
            <w:tcW w:w="2268" w:type="dxa"/>
            <w:vMerge w:val="continue"/>
            <w:vAlign w:val="center"/>
          </w:tcPr>
          <w:p>
            <w:pPr>
              <w:jc w:val="center"/>
              <w:rPr>
                <w:rFonts w:hint="default" w:ascii="Times New Roman" w:hAnsi="Times New Roman" w:eastAsia="宋体" w:cs="Times New Roman"/>
                <w:color w:val="auto"/>
                <w:szCs w:val="21"/>
              </w:rPr>
            </w:pPr>
          </w:p>
        </w:tc>
        <w:tc>
          <w:tcPr>
            <w:tcW w:w="2018" w:type="dxa"/>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天然气燃烧产生的</w:t>
            </w:r>
            <w:r>
              <w:rPr>
                <w:rFonts w:hint="default" w:ascii="Times New Roman" w:hAnsi="Times New Roman" w:eastAsia="宋体" w:cs="Times New Roman"/>
                <w:color w:val="auto"/>
                <w:szCs w:val="21"/>
              </w:rPr>
              <w:t>颗粒物、二氧化硫执行《锅炉大气污染物排放标准》（GB13271-2014）中表3大气污染物特别排放限值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8" w:hRule="atLeast"/>
          <w:jc w:val="center"/>
        </w:trPr>
        <w:tc>
          <w:tcPr>
            <w:tcW w:w="1538" w:type="dxa"/>
            <w:vMerge w:val="continue"/>
            <w:vAlign w:val="center"/>
          </w:tcPr>
          <w:p>
            <w:pPr>
              <w:jc w:val="center"/>
              <w:rPr>
                <w:rFonts w:hint="default" w:ascii="Times New Roman" w:hAnsi="Times New Roman" w:eastAsia="宋体" w:cs="Times New Roman"/>
                <w:color w:val="auto"/>
              </w:rPr>
            </w:pPr>
          </w:p>
        </w:tc>
        <w:tc>
          <w:tcPr>
            <w:tcW w:w="1701" w:type="dxa"/>
            <w:vMerge w:val="continue"/>
            <w:vAlign w:val="center"/>
          </w:tcPr>
          <w:p>
            <w:pPr>
              <w:jc w:val="center"/>
              <w:rPr>
                <w:rFonts w:hint="default" w:ascii="Times New Roman" w:hAnsi="Times New Roman" w:eastAsia="宋体" w:cs="Times New Roman"/>
                <w:color w:val="auto"/>
              </w:rPr>
            </w:pPr>
          </w:p>
        </w:tc>
        <w:tc>
          <w:tcPr>
            <w:tcW w:w="1275" w:type="dxa"/>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二氧化硫</w:t>
            </w:r>
          </w:p>
        </w:tc>
        <w:tc>
          <w:tcPr>
            <w:tcW w:w="2268" w:type="dxa"/>
            <w:vMerge w:val="continue"/>
            <w:vAlign w:val="center"/>
          </w:tcPr>
          <w:p>
            <w:pPr>
              <w:jc w:val="center"/>
              <w:rPr>
                <w:rFonts w:hint="default" w:ascii="Times New Roman" w:hAnsi="Times New Roman" w:eastAsia="宋体" w:cs="Times New Roman"/>
                <w:color w:val="auto"/>
                <w:szCs w:val="21"/>
                <w:lang w:val="en-US" w:eastAsia="zh-CN"/>
              </w:rPr>
            </w:pPr>
          </w:p>
        </w:tc>
        <w:tc>
          <w:tcPr>
            <w:tcW w:w="2018" w:type="dxa"/>
            <w:vMerge w:val="continue"/>
            <w:vAlign w:val="center"/>
          </w:tcPr>
          <w:p>
            <w:pPr>
              <w:jc w:val="center"/>
              <w:rPr>
                <w:rFonts w:hint="default" w:ascii="Times New Roman" w:hAnsi="Times New Roman" w:eastAsia="宋体" w:cs="Times New Roman"/>
                <w:color w:val="auto"/>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1" w:hRule="atLeast"/>
          <w:jc w:val="center"/>
        </w:trPr>
        <w:tc>
          <w:tcPr>
            <w:tcW w:w="1538" w:type="dxa"/>
            <w:vMerge w:val="continue"/>
            <w:vAlign w:val="center"/>
          </w:tcPr>
          <w:p>
            <w:pPr>
              <w:jc w:val="center"/>
              <w:rPr>
                <w:rFonts w:hint="default" w:ascii="Times New Roman" w:hAnsi="Times New Roman" w:eastAsia="宋体" w:cs="Times New Roman"/>
                <w:color w:val="auto"/>
                <w:szCs w:val="21"/>
                <w:lang w:val="en-US" w:eastAsia="zh-CN"/>
              </w:rPr>
            </w:pPr>
          </w:p>
        </w:tc>
        <w:tc>
          <w:tcPr>
            <w:tcW w:w="1701" w:type="dxa"/>
            <w:vMerge w:val="continue"/>
            <w:vAlign w:val="center"/>
          </w:tcPr>
          <w:p>
            <w:pPr>
              <w:jc w:val="center"/>
              <w:rPr>
                <w:rFonts w:hint="default" w:ascii="Times New Roman" w:hAnsi="Times New Roman" w:eastAsia="宋体" w:cs="Times New Roman"/>
                <w:color w:val="auto"/>
                <w:szCs w:val="21"/>
                <w:lang w:val="en-US" w:eastAsia="zh-CN"/>
              </w:rPr>
            </w:pPr>
          </w:p>
        </w:tc>
        <w:tc>
          <w:tcPr>
            <w:tcW w:w="1275" w:type="dxa"/>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氮氧化物</w:t>
            </w:r>
          </w:p>
        </w:tc>
        <w:tc>
          <w:tcPr>
            <w:tcW w:w="2268" w:type="dxa"/>
            <w:vMerge w:val="continue"/>
            <w:vAlign w:val="center"/>
          </w:tcPr>
          <w:p>
            <w:pPr>
              <w:jc w:val="center"/>
              <w:rPr>
                <w:rFonts w:hint="default" w:ascii="Times New Roman" w:hAnsi="Times New Roman" w:eastAsia="宋体" w:cs="Times New Roman"/>
                <w:color w:val="auto"/>
                <w:szCs w:val="21"/>
                <w:lang w:val="en-US" w:eastAsia="zh-CN"/>
              </w:rPr>
            </w:pPr>
          </w:p>
        </w:tc>
        <w:tc>
          <w:tcPr>
            <w:tcW w:w="2018" w:type="dxa"/>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氮氧化物执行常州市政府印发的《2020年常州市打好污染防治攻坚战工作方案》（常政发（2020）29号）文件中的排放限值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jc w:val="center"/>
        </w:trPr>
        <w:tc>
          <w:tcPr>
            <w:tcW w:w="1538" w:type="dxa"/>
            <w:vMerge w:val="continue"/>
            <w:vAlign w:val="center"/>
          </w:tcPr>
          <w:p>
            <w:pPr>
              <w:adjustRightInd w:val="0"/>
              <w:snapToGrid w:val="0"/>
              <w:jc w:val="center"/>
              <w:rPr>
                <w:rFonts w:hint="default" w:ascii="Times New Roman" w:hAnsi="Times New Roman" w:eastAsia="宋体" w:cs="Times New Roman"/>
                <w:color w:val="auto"/>
                <w:szCs w:val="21"/>
              </w:rPr>
            </w:pPr>
          </w:p>
        </w:tc>
        <w:tc>
          <w:tcPr>
            <w:tcW w:w="1701"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无组织废气</w:t>
            </w:r>
          </w:p>
        </w:tc>
        <w:tc>
          <w:tcPr>
            <w:tcW w:w="1275"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非甲烷总烃</w:t>
            </w:r>
          </w:p>
        </w:tc>
        <w:tc>
          <w:tcPr>
            <w:tcW w:w="2268"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加强车间内通风</w:t>
            </w:r>
          </w:p>
        </w:tc>
        <w:tc>
          <w:tcPr>
            <w:tcW w:w="2018"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《大气污染物综合排放标准》（DB32/4041-2021）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 w:hRule="atLeast"/>
          <w:jc w:val="center"/>
        </w:trPr>
        <w:tc>
          <w:tcPr>
            <w:tcW w:w="1538"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地表水环境</w:t>
            </w:r>
          </w:p>
        </w:tc>
        <w:tc>
          <w:tcPr>
            <w:tcW w:w="1701" w:type="dxa"/>
            <w:vAlign w:val="center"/>
          </w:tcPr>
          <w:p>
            <w:pPr>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1275" w:type="dxa"/>
            <w:vAlign w:val="center"/>
          </w:tcPr>
          <w:p>
            <w:pPr>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2268" w:type="dxa"/>
            <w:vAlign w:val="center"/>
          </w:tcPr>
          <w:p>
            <w:pPr>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2018"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5" w:hRule="atLeast"/>
          <w:jc w:val="center"/>
        </w:trPr>
        <w:tc>
          <w:tcPr>
            <w:tcW w:w="1538"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声环境</w:t>
            </w:r>
          </w:p>
        </w:tc>
        <w:tc>
          <w:tcPr>
            <w:tcW w:w="1701"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机械设备</w:t>
            </w:r>
          </w:p>
        </w:tc>
        <w:tc>
          <w:tcPr>
            <w:tcW w:w="1275"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噪声</w:t>
            </w:r>
          </w:p>
        </w:tc>
        <w:tc>
          <w:tcPr>
            <w:tcW w:w="2268"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合理布局、减振、厂房隔声、距离衰减等措施</w:t>
            </w:r>
          </w:p>
        </w:tc>
        <w:tc>
          <w:tcPr>
            <w:tcW w:w="2018"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《工业企业厂界环境噪声排放标准》（GB12348-2008）中2类标准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8" w:hRule="atLeast"/>
          <w:jc w:val="center"/>
        </w:trPr>
        <w:tc>
          <w:tcPr>
            <w:tcW w:w="1538"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电磁辐射</w:t>
            </w:r>
          </w:p>
        </w:tc>
        <w:tc>
          <w:tcPr>
            <w:tcW w:w="1701"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1275"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2268"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2018"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2" w:hRule="atLeast"/>
          <w:jc w:val="center"/>
        </w:trPr>
        <w:tc>
          <w:tcPr>
            <w:tcW w:w="1538"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固体废物</w:t>
            </w:r>
          </w:p>
        </w:tc>
        <w:tc>
          <w:tcPr>
            <w:tcW w:w="7262" w:type="dxa"/>
            <w:gridSpan w:val="4"/>
            <w:vAlign w:val="center"/>
          </w:tcPr>
          <w:p>
            <w:pPr>
              <w:adjustRightInd w:val="0"/>
              <w:snapToGrid w:val="0"/>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rPr>
              <w:t>危险固废：</w:t>
            </w:r>
            <w:r>
              <w:rPr>
                <w:rFonts w:hint="eastAsia" w:cs="Times New Roman"/>
                <w:color w:val="auto"/>
                <w:szCs w:val="21"/>
                <w:lang w:val="en-US" w:eastAsia="zh-CN"/>
              </w:rPr>
              <w:t>陶化废液、陶化槽渣、废</w:t>
            </w:r>
            <w:r>
              <w:rPr>
                <w:rFonts w:hint="default" w:ascii="Times New Roman" w:hAnsi="Times New Roman" w:eastAsia="宋体" w:cs="Times New Roman"/>
                <w:color w:val="auto"/>
                <w:szCs w:val="21"/>
                <w:lang w:val="en-US" w:eastAsia="zh-CN"/>
              </w:rPr>
              <w:t>漆渣、废过滤袋、废超滤膜、</w:t>
            </w:r>
            <w:r>
              <w:rPr>
                <w:rFonts w:hint="eastAsia" w:cs="Times New Roman"/>
                <w:color w:val="auto"/>
                <w:szCs w:val="21"/>
                <w:lang w:val="en-US" w:eastAsia="zh-CN"/>
              </w:rPr>
              <w:t>污泥、废包装桶、</w:t>
            </w:r>
            <w:r>
              <w:rPr>
                <w:rFonts w:hint="default" w:ascii="Times New Roman" w:hAnsi="Times New Roman" w:eastAsia="宋体" w:cs="Times New Roman"/>
                <w:color w:val="auto"/>
                <w:szCs w:val="21"/>
              </w:rPr>
              <w:t>废活性炭委托有资质单位处理</w:t>
            </w:r>
            <w:r>
              <w:rPr>
                <w:rFonts w:hint="default" w:ascii="Times New Roman" w:hAnsi="Times New Roman" w:eastAsia="宋体" w:cs="Times New Roman"/>
                <w:color w:val="auto"/>
                <w:szCs w:val="21"/>
                <w:lang w:eastAsia="zh-CN"/>
              </w:rPr>
              <w:t>；</w:t>
            </w:r>
          </w:p>
          <w:p>
            <w:pPr>
              <w:adjustRightInd w:val="0"/>
              <w:snapToGrid w:val="0"/>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生活垃圾：定期委托环卫部门清运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9" w:hRule="atLeast"/>
          <w:jc w:val="center"/>
        </w:trPr>
        <w:tc>
          <w:tcPr>
            <w:tcW w:w="1538"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土壤及地下水</w:t>
            </w:r>
          </w:p>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污染防治措施</w:t>
            </w:r>
          </w:p>
        </w:tc>
        <w:tc>
          <w:tcPr>
            <w:tcW w:w="7262" w:type="dxa"/>
            <w:gridSpan w:val="4"/>
            <w:vAlign w:val="center"/>
          </w:tcPr>
          <w:p>
            <w:pPr>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全厂重点防渗区为危废仓库、污水处理站、电泳</w:t>
            </w:r>
            <w:r>
              <w:rPr>
                <w:rFonts w:hint="default" w:ascii="Times New Roman" w:hAnsi="Times New Roman" w:eastAsia="宋体" w:cs="Times New Roman"/>
                <w:color w:val="auto"/>
                <w:szCs w:val="21"/>
                <w:lang w:val="en-US" w:eastAsia="zh-CN"/>
              </w:rPr>
              <w:t>线生产</w:t>
            </w:r>
            <w:r>
              <w:rPr>
                <w:rFonts w:hint="default" w:ascii="Times New Roman" w:hAnsi="Times New Roman" w:eastAsia="宋体" w:cs="Times New Roman"/>
                <w:color w:val="auto"/>
                <w:szCs w:val="21"/>
              </w:rPr>
              <w:t>车间，防渗技术要求为等效黏土防渗层Mb≥6.0m，渗透系数K≤10</w:t>
            </w:r>
            <w:r>
              <w:rPr>
                <w:rFonts w:hint="default" w:ascii="Times New Roman" w:hAnsi="Times New Roman" w:eastAsia="宋体" w:cs="Times New Roman"/>
                <w:color w:val="auto"/>
                <w:szCs w:val="21"/>
                <w:vertAlign w:val="superscript"/>
              </w:rPr>
              <w:t>-7</w:t>
            </w:r>
            <w:r>
              <w:rPr>
                <w:rFonts w:hint="default" w:ascii="Times New Roman" w:hAnsi="Times New Roman" w:eastAsia="宋体" w:cs="Times New Roman"/>
                <w:color w:val="auto"/>
                <w:szCs w:val="21"/>
              </w:rPr>
              <w:t>cm/s。另外，重点防渗区还应满足《危险废物贮存污染控制标准》(GB18597-2001)及其修改单中要求；一般污染防治区为厂区路面，铺设配筋混凝土加防渗剂的防渗地坪，切断污染地下水途径，防渗技术要求为等效黏土防渗层Mb≥1.5m，渗透系数K≤10-7cm/s；简单防渗区为门卫室、办公楼等，只需进行地面硬化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6" w:hRule="atLeast"/>
          <w:jc w:val="center"/>
        </w:trPr>
        <w:tc>
          <w:tcPr>
            <w:tcW w:w="1538"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生态保护措施</w:t>
            </w:r>
          </w:p>
        </w:tc>
        <w:tc>
          <w:tcPr>
            <w:tcW w:w="7262" w:type="dxa"/>
            <w:gridSpan w:val="4"/>
            <w:vAlign w:val="center"/>
          </w:tcPr>
          <w:p>
            <w:pPr>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根据《江苏省生态空间管控区域规划》（苏政发〔2020〕1号）和《省政府关于印发江苏省国家级生态保护红线规划的通知》（苏政发〔2018〕74号），不在常州市国家级生态保护红线和生态空间管控区域的保护区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3" w:hRule="atLeast"/>
          <w:jc w:val="center"/>
        </w:trPr>
        <w:tc>
          <w:tcPr>
            <w:tcW w:w="1538" w:type="dxa"/>
            <w:vAlign w:val="center"/>
          </w:tcPr>
          <w:p>
            <w:pPr>
              <w:adjustRightInd w:val="0"/>
              <w:snapToGrid w:val="0"/>
              <w:jc w:val="center"/>
              <w:rPr>
                <w:rFonts w:hint="default" w:ascii="Times New Roman" w:hAnsi="Times New Roman" w:eastAsia="宋体" w:cs="Times New Roman"/>
                <w:color w:val="auto"/>
                <w:spacing w:val="-8"/>
                <w:szCs w:val="21"/>
              </w:rPr>
            </w:pPr>
            <w:r>
              <w:rPr>
                <w:rFonts w:hint="default" w:ascii="Times New Roman" w:hAnsi="Times New Roman" w:eastAsia="宋体" w:cs="Times New Roman"/>
                <w:color w:val="auto"/>
                <w:spacing w:val="-8"/>
                <w:szCs w:val="21"/>
              </w:rPr>
              <w:t>环境风险</w:t>
            </w:r>
          </w:p>
          <w:p>
            <w:pPr>
              <w:adjustRightInd w:val="0"/>
              <w:snapToGrid w:val="0"/>
              <w:jc w:val="center"/>
              <w:rPr>
                <w:rFonts w:hint="default" w:ascii="Times New Roman" w:hAnsi="Times New Roman" w:eastAsia="宋体" w:cs="Times New Roman"/>
                <w:color w:val="auto"/>
                <w:spacing w:val="-8"/>
                <w:szCs w:val="21"/>
              </w:rPr>
            </w:pPr>
            <w:r>
              <w:rPr>
                <w:rFonts w:hint="default" w:ascii="Times New Roman" w:hAnsi="Times New Roman" w:eastAsia="宋体" w:cs="Times New Roman"/>
                <w:color w:val="auto"/>
                <w:spacing w:val="-8"/>
                <w:szCs w:val="21"/>
              </w:rPr>
              <w:t>防范措施</w:t>
            </w:r>
          </w:p>
        </w:tc>
        <w:tc>
          <w:tcPr>
            <w:tcW w:w="7262" w:type="dxa"/>
            <w:gridSpan w:val="4"/>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1、建立健全各种有关消防与安全生产的规章制度，建立岗位责任制。仓库、生产车间严禁明火，禁火区设置明显标志牌。</w:t>
            </w:r>
          </w:p>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2、配置足量的灭火器及室内消防箱等消防设施，由专人保管和监护，并保持完好状态。</w:t>
            </w:r>
          </w:p>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3、进行定期的培训和训练。对有火灾危险的场所设置自动报警系统，一旦发生火灾，立即做出应急反应。</w:t>
            </w:r>
          </w:p>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危险废物暂存间设置监控系统。在库的出入口、内部等关键位置安装视频监控设施，进行实时监控，并与中控室联网。暂存间内液态危险废物贮存容器下方设置不锈钢托盘，发生少量泄漏立即将容器内剩余溶液转移，收集托盘、地沟内泄漏液体，防止泄漏物料挥发到大气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1" w:hRule="atLeast"/>
          <w:jc w:val="center"/>
        </w:trPr>
        <w:tc>
          <w:tcPr>
            <w:tcW w:w="1538" w:type="dxa"/>
            <w:vAlign w:val="center"/>
          </w:tcPr>
          <w:p>
            <w:pPr>
              <w:adjustRightInd w:val="0"/>
              <w:snapToGrid w:val="0"/>
              <w:jc w:val="center"/>
              <w:rPr>
                <w:rFonts w:hint="default" w:ascii="Times New Roman" w:hAnsi="Times New Roman" w:eastAsia="宋体" w:cs="Times New Roman"/>
                <w:color w:val="auto"/>
                <w:spacing w:val="-8"/>
                <w:szCs w:val="21"/>
              </w:rPr>
            </w:pPr>
            <w:r>
              <w:rPr>
                <w:rFonts w:hint="default" w:ascii="Times New Roman" w:hAnsi="Times New Roman" w:eastAsia="宋体" w:cs="Times New Roman"/>
                <w:color w:val="auto"/>
                <w:spacing w:val="-8"/>
                <w:szCs w:val="21"/>
              </w:rPr>
              <w:t>其他环境</w:t>
            </w:r>
          </w:p>
          <w:p>
            <w:pPr>
              <w:adjustRightInd w:val="0"/>
              <w:snapToGrid w:val="0"/>
              <w:jc w:val="center"/>
              <w:rPr>
                <w:rFonts w:hint="default" w:ascii="Times New Roman" w:hAnsi="Times New Roman" w:eastAsia="宋体" w:cs="Times New Roman"/>
                <w:color w:val="auto"/>
                <w:spacing w:val="-8"/>
                <w:szCs w:val="21"/>
              </w:rPr>
            </w:pPr>
            <w:r>
              <w:rPr>
                <w:rFonts w:hint="default" w:ascii="Times New Roman" w:hAnsi="Times New Roman" w:eastAsia="宋体" w:cs="Times New Roman"/>
                <w:color w:val="auto"/>
                <w:spacing w:val="-8"/>
                <w:szCs w:val="21"/>
              </w:rPr>
              <w:t>管理要求</w:t>
            </w:r>
          </w:p>
        </w:tc>
        <w:tc>
          <w:tcPr>
            <w:tcW w:w="7262" w:type="dxa"/>
            <w:gridSpan w:val="4"/>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1、加强对高噪声设备的管理、维护和检修工作，做好噪声防治措施，确保厂界噪声贡献值达标排放。</w:t>
            </w:r>
          </w:p>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2、严格按照《危险废物贮存污染控制标准》（GB18597-2001）及修改公告（环境保护部公告2013年第36号）要求贮存危险废物，落实危险固废处置单位，做到固废“零”排放。</w:t>
            </w:r>
          </w:p>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3、加强对废气处理装置的管理，确保废气污染物稳定达标排放。</w:t>
            </w:r>
          </w:p>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4、加强管理，建立各种健全的生产环保规章制度，严格在岗人员操作管理。</w:t>
            </w:r>
          </w:p>
        </w:tc>
      </w:tr>
    </w:tbl>
    <w:p>
      <w:pPr>
        <w:pStyle w:val="18"/>
        <w:spacing w:before="0" w:beforeAutospacing="0" w:after="0" w:afterAutospacing="0"/>
        <w:jc w:val="center"/>
        <w:outlineLvl w:val="0"/>
        <w:rPr>
          <w:rFonts w:hint="default" w:ascii="Times New Roman" w:hAnsi="Times New Roman" w:eastAsia="宋体" w:cs="Times New Roman"/>
          <w:snapToGrid w:val="0"/>
          <w:color w:val="auto"/>
          <w:sz w:val="30"/>
          <w:szCs w:val="30"/>
        </w:rPr>
      </w:pPr>
      <w:r>
        <w:rPr>
          <w:rFonts w:hint="default" w:ascii="Times New Roman" w:hAnsi="Times New Roman" w:eastAsia="宋体" w:cs="Times New Roman"/>
          <w:snapToGrid w:val="0"/>
          <w:color w:val="auto"/>
        </w:rPr>
        <w:br w:type="page"/>
      </w:r>
      <w:r>
        <w:rPr>
          <w:rFonts w:hint="default" w:ascii="Times New Roman" w:hAnsi="Times New Roman" w:eastAsia="宋体" w:cs="Times New Roman"/>
          <w:snapToGrid w:val="0"/>
          <w:color w:val="auto"/>
          <w:sz w:val="30"/>
          <w:szCs w:val="30"/>
        </w:rPr>
        <w:t>六、结论</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tcPr>
          <w:p>
            <w:pPr>
              <w:snapToGrid w:val="0"/>
              <w:spacing w:line="360" w:lineRule="auto"/>
              <w:ind w:firstLine="480" w:firstLineChars="200"/>
              <w:rPr>
                <w:rFonts w:hint="default" w:ascii="Times New Roman" w:hAnsi="Times New Roman" w:eastAsia="宋体" w:cs="Times New Roman"/>
                <w:bCs/>
                <w:color w:val="auto"/>
                <w:sz w:val="24"/>
                <w:highlight w:val="yellow"/>
              </w:rPr>
            </w:pPr>
            <w:r>
              <w:rPr>
                <w:color w:val="auto"/>
                <w:sz w:val="24"/>
              </w:rPr>
              <w:t>本项目符合国家</w:t>
            </w:r>
            <w:r>
              <w:rPr>
                <w:rFonts w:hint="eastAsia"/>
                <w:color w:val="auto"/>
                <w:sz w:val="24"/>
                <w:lang w:val="en-US" w:eastAsia="zh-CN"/>
              </w:rPr>
              <w:t>及地方</w:t>
            </w:r>
            <w:r>
              <w:rPr>
                <w:color w:val="auto"/>
                <w:sz w:val="24"/>
              </w:rPr>
              <w:t>相关法律法规、产业政策和城市总体规划。项目建成运行后将产生一定程度的废气、固废及噪声的污染</w:t>
            </w:r>
            <w:r>
              <w:rPr>
                <w:rFonts w:hint="default" w:ascii="Times New Roman" w:hAnsi="Times New Roman" w:eastAsia="宋体" w:cs="Times New Roman"/>
                <w:color w:val="auto"/>
                <w:sz w:val="24"/>
              </w:rPr>
              <w:t>，全面落实本评价拟定的各项环境保护措施，项目对周围环境的影响可以控制在国家有关标准和要求的允许范围以内，各污染物能够满足国家和地方规定的污染物排放标准，不改变当地的环境质量功能属性。</w:t>
            </w:r>
            <w:r>
              <w:rPr>
                <w:color w:val="auto"/>
                <w:sz w:val="24"/>
              </w:rPr>
              <w:t>因此，建设单位在落实本报告提出的各项污染防治措施的前提下，</w:t>
            </w:r>
            <w:r>
              <w:rPr>
                <w:rFonts w:hint="eastAsia"/>
                <w:color w:val="auto"/>
                <w:sz w:val="24"/>
                <w:lang w:val="en-US" w:eastAsia="zh-CN"/>
              </w:rPr>
              <w:t>项目的建设</w:t>
            </w:r>
            <w:r>
              <w:rPr>
                <w:color w:val="auto"/>
                <w:sz w:val="24"/>
              </w:rPr>
              <w:t>是可行的</w:t>
            </w:r>
            <w:r>
              <w:rPr>
                <w:rFonts w:hint="default" w:ascii="Times New Roman" w:hAnsi="Times New Roman" w:eastAsia="宋体" w:cs="Times New Roman"/>
                <w:color w:val="auto"/>
                <w:sz w:val="24"/>
              </w:rPr>
              <w:t>。</w:t>
            </w:r>
          </w:p>
          <w:p>
            <w:pPr>
              <w:spacing w:line="360" w:lineRule="auto"/>
              <w:ind w:firstLine="480" w:firstLineChars="200"/>
              <w:rPr>
                <w:rFonts w:hint="default" w:ascii="Times New Roman" w:hAnsi="Times New Roman" w:eastAsia="宋体" w:cs="Times New Roman"/>
                <w:color w:val="auto"/>
                <w:sz w:val="24"/>
              </w:rPr>
            </w:pPr>
          </w:p>
          <w:p>
            <w:pPr>
              <w:spacing w:line="360" w:lineRule="auto"/>
              <w:ind w:firstLine="480" w:firstLineChars="200"/>
              <w:rPr>
                <w:rFonts w:hint="default" w:ascii="Times New Roman" w:hAnsi="Times New Roman" w:eastAsia="宋体" w:cs="Times New Roman"/>
                <w:color w:val="auto"/>
                <w:sz w:val="24"/>
              </w:rPr>
            </w:pPr>
          </w:p>
          <w:p>
            <w:pPr>
              <w:spacing w:line="360" w:lineRule="auto"/>
              <w:ind w:firstLine="480" w:firstLineChars="200"/>
              <w:rPr>
                <w:rFonts w:hint="default" w:ascii="Times New Roman" w:hAnsi="Times New Roman" w:eastAsia="宋体" w:cs="Times New Roman"/>
                <w:color w:val="auto"/>
                <w:sz w:val="24"/>
              </w:rPr>
            </w:pPr>
          </w:p>
          <w:p>
            <w:pPr>
              <w:spacing w:line="360" w:lineRule="auto"/>
              <w:ind w:firstLine="480" w:firstLineChars="200"/>
              <w:rPr>
                <w:rFonts w:hint="default" w:ascii="Times New Roman" w:hAnsi="Times New Roman" w:eastAsia="宋体" w:cs="Times New Roman"/>
                <w:color w:val="auto"/>
                <w:sz w:val="24"/>
              </w:rPr>
            </w:pPr>
          </w:p>
          <w:p>
            <w:pPr>
              <w:spacing w:line="360" w:lineRule="auto"/>
              <w:ind w:firstLine="480" w:firstLineChars="200"/>
              <w:rPr>
                <w:rFonts w:hint="default" w:ascii="Times New Roman" w:hAnsi="Times New Roman" w:eastAsia="宋体" w:cs="Times New Roman"/>
                <w:color w:val="auto"/>
                <w:sz w:val="24"/>
              </w:rPr>
            </w:pPr>
          </w:p>
          <w:p>
            <w:pPr>
              <w:spacing w:line="360" w:lineRule="auto"/>
              <w:ind w:firstLine="480" w:firstLineChars="200"/>
              <w:rPr>
                <w:rFonts w:hint="default" w:ascii="Times New Roman" w:hAnsi="Times New Roman" w:eastAsia="宋体" w:cs="Times New Roman"/>
                <w:color w:val="auto"/>
                <w:sz w:val="24"/>
              </w:rPr>
            </w:pPr>
          </w:p>
          <w:p>
            <w:pPr>
              <w:spacing w:line="360" w:lineRule="auto"/>
              <w:ind w:firstLine="480" w:firstLineChars="200"/>
              <w:rPr>
                <w:rFonts w:hint="default" w:ascii="Times New Roman" w:hAnsi="Times New Roman" w:eastAsia="宋体" w:cs="Times New Roman"/>
                <w:color w:val="auto"/>
                <w:sz w:val="24"/>
              </w:rPr>
            </w:pPr>
          </w:p>
          <w:p>
            <w:pPr>
              <w:spacing w:line="360" w:lineRule="auto"/>
              <w:ind w:firstLine="480" w:firstLineChars="200"/>
              <w:rPr>
                <w:rFonts w:hint="default" w:ascii="Times New Roman" w:hAnsi="Times New Roman" w:eastAsia="宋体" w:cs="Times New Roman"/>
                <w:color w:val="auto"/>
                <w:sz w:val="24"/>
              </w:rPr>
            </w:pPr>
          </w:p>
          <w:p>
            <w:pPr>
              <w:spacing w:line="360" w:lineRule="auto"/>
              <w:ind w:firstLine="480" w:firstLineChars="200"/>
              <w:rPr>
                <w:rFonts w:hint="default" w:ascii="Times New Roman" w:hAnsi="Times New Roman" w:eastAsia="宋体" w:cs="Times New Roman"/>
                <w:color w:val="auto"/>
                <w:sz w:val="24"/>
              </w:rPr>
            </w:pPr>
          </w:p>
          <w:p>
            <w:pPr>
              <w:spacing w:line="360" w:lineRule="auto"/>
              <w:ind w:firstLine="480" w:firstLineChars="200"/>
              <w:rPr>
                <w:rFonts w:hint="default" w:ascii="Times New Roman" w:hAnsi="Times New Roman" w:eastAsia="宋体" w:cs="Times New Roman"/>
                <w:color w:val="auto"/>
                <w:sz w:val="24"/>
              </w:rPr>
            </w:pPr>
          </w:p>
          <w:p>
            <w:pPr>
              <w:spacing w:line="360" w:lineRule="auto"/>
              <w:ind w:firstLine="480" w:firstLineChars="200"/>
              <w:rPr>
                <w:rFonts w:hint="default" w:ascii="Times New Roman" w:hAnsi="Times New Roman" w:eastAsia="宋体" w:cs="Times New Roman"/>
                <w:color w:val="auto"/>
                <w:sz w:val="24"/>
              </w:rPr>
            </w:pPr>
          </w:p>
          <w:p>
            <w:pPr>
              <w:spacing w:line="360" w:lineRule="auto"/>
              <w:ind w:firstLine="480" w:firstLineChars="200"/>
              <w:rPr>
                <w:rFonts w:hint="default" w:ascii="Times New Roman" w:hAnsi="Times New Roman" w:eastAsia="宋体" w:cs="Times New Roman"/>
                <w:color w:val="auto"/>
                <w:sz w:val="24"/>
              </w:rPr>
            </w:pPr>
          </w:p>
          <w:p>
            <w:pPr>
              <w:spacing w:line="360" w:lineRule="auto"/>
              <w:ind w:firstLine="480" w:firstLineChars="200"/>
              <w:rPr>
                <w:rFonts w:hint="default" w:ascii="Times New Roman" w:hAnsi="Times New Roman" w:eastAsia="宋体" w:cs="Times New Roman"/>
                <w:color w:val="auto"/>
                <w:sz w:val="24"/>
              </w:rPr>
            </w:pPr>
          </w:p>
          <w:p>
            <w:pPr>
              <w:spacing w:line="360" w:lineRule="auto"/>
              <w:ind w:firstLine="480" w:firstLineChars="200"/>
              <w:rPr>
                <w:rFonts w:hint="default" w:ascii="Times New Roman" w:hAnsi="Times New Roman" w:eastAsia="宋体" w:cs="Times New Roman"/>
                <w:color w:val="auto"/>
                <w:sz w:val="24"/>
              </w:rPr>
            </w:pPr>
          </w:p>
          <w:p>
            <w:pPr>
              <w:spacing w:line="360" w:lineRule="auto"/>
              <w:ind w:firstLine="480" w:firstLineChars="200"/>
              <w:rPr>
                <w:rFonts w:hint="default" w:ascii="Times New Roman" w:hAnsi="Times New Roman" w:eastAsia="宋体" w:cs="Times New Roman"/>
                <w:color w:val="auto"/>
                <w:sz w:val="24"/>
              </w:rPr>
            </w:pPr>
          </w:p>
          <w:p>
            <w:pPr>
              <w:spacing w:line="360" w:lineRule="auto"/>
              <w:ind w:firstLine="480" w:firstLineChars="200"/>
              <w:rPr>
                <w:rFonts w:hint="default" w:ascii="Times New Roman" w:hAnsi="Times New Roman" w:eastAsia="宋体" w:cs="Times New Roman"/>
                <w:color w:val="auto"/>
                <w:sz w:val="24"/>
              </w:rPr>
            </w:pPr>
          </w:p>
          <w:p>
            <w:pPr>
              <w:spacing w:line="360" w:lineRule="auto"/>
              <w:ind w:firstLine="480" w:firstLineChars="200"/>
              <w:rPr>
                <w:rFonts w:hint="default" w:ascii="Times New Roman" w:hAnsi="Times New Roman" w:eastAsia="宋体" w:cs="Times New Roman"/>
                <w:color w:val="auto"/>
                <w:sz w:val="24"/>
              </w:rPr>
            </w:pPr>
          </w:p>
          <w:p>
            <w:pPr>
              <w:spacing w:line="360" w:lineRule="auto"/>
              <w:ind w:firstLine="480" w:firstLineChars="200"/>
              <w:rPr>
                <w:rFonts w:hint="default" w:ascii="Times New Roman" w:hAnsi="Times New Roman" w:eastAsia="宋体" w:cs="Times New Roman"/>
                <w:color w:val="auto"/>
                <w:sz w:val="24"/>
              </w:rPr>
            </w:pPr>
          </w:p>
          <w:p>
            <w:pPr>
              <w:spacing w:line="360" w:lineRule="auto"/>
              <w:ind w:firstLine="480" w:firstLineChars="200"/>
              <w:rPr>
                <w:rFonts w:hint="default" w:ascii="Times New Roman" w:hAnsi="Times New Roman" w:eastAsia="宋体" w:cs="Times New Roman"/>
                <w:color w:val="auto"/>
                <w:sz w:val="24"/>
              </w:rPr>
            </w:pPr>
          </w:p>
          <w:p>
            <w:pPr>
              <w:spacing w:line="360" w:lineRule="auto"/>
              <w:ind w:firstLine="480" w:firstLineChars="200"/>
              <w:rPr>
                <w:rFonts w:hint="default" w:ascii="Times New Roman" w:hAnsi="Times New Roman" w:eastAsia="宋体" w:cs="Times New Roman"/>
                <w:color w:val="auto"/>
                <w:sz w:val="24"/>
              </w:rPr>
            </w:pPr>
          </w:p>
          <w:p>
            <w:pPr>
              <w:spacing w:line="360" w:lineRule="auto"/>
              <w:ind w:firstLine="480" w:firstLineChars="200"/>
              <w:rPr>
                <w:rFonts w:hint="default" w:ascii="Times New Roman" w:hAnsi="Times New Roman" w:eastAsia="宋体" w:cs="Times New Roman"/>
                <w:color w:val="auto"/>
                <w:sz w:val="24"/>
              </w:rPr>
            </w:pPr>
          </w:p>
        </w:tc>
      </w:tr>
    </w:tbl>
    <w:p>
      <w:pPr>
        <w:rPr>
          <w:rFonts w:hint="default" w:ascii="Times New Roman" w:hAnsi="Times New Roman" w:eastAsia="宋体" w:cs="Times New Roman"/>
          <w:color w:val="auto"/>
        </w:rPr>
      </w:pPr>
    </w:p>
    <w:p>
      <w:pP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br w:type="page"/>
      </w:r>
    </w:p>
    <w:p>
      <w:pPr>
        <w:adjustRightInd w:val="0"/>
        <w:snapToGrid w:val="0"/>
        <w:spacing w:line="480" w:lineRule="exact"/>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注      释</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本报告表附以下附件、附图：</w:t>
      </w:r>
    </w:p>
    <w:p>
      <w:pPr>
        <w:adjustRightInd w:val="0"/>
        <w:snapToGrid w:val="0"/>
        <w:spacing w:line="480" w:lineRule="exact"/>
        <w:ind w:firstLine="480"/>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附图</w:t>
      </w:r>
    </w:p>
    <w:p>
      <w:pPr>
        <w:adjustRightInd w:val="0"/>
        <w:snapToGrid w:val="0"/>
        <w:spacing w:line="480" w:lineRule="exact"/>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附图1  项目地理位置示意图</w:t>
      </w:r>
    </w:p>
    <w:p>
      <w:pPr>
        <w:adjustRightInd w:val="0"/>
        <w:snapToGrid w:val="0"/>
        <w:spacing w:line="480" w:lineRule="exact"/>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附图2  项目周边环境状况示意图</w:t>
      </w:r>
    </w:p>
    <w:p>
      <w:pPr>
        <w:adjustRightInd w:val="0"/>
        <w:snapToGrid w:val="0"/>
        <w:spacing w:line="480" w:lineRule="exact"/>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附图3  项目厂区总平面布置图</w:t>
      </w:r>
    </w:p>
    <w:p>
      <w:pPr>
        <w:adjustRightInd w:val="0"/>
        <w:snapToGrid w:val="0"/>
        <w:spacing w:line="480" w:lineRule="exact"/>
        <w:ind w:firstLine="480"/>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附图4  水系图</w:t>
      </w:r>
    </w:p>
    <w:p>
      <w:pPr>
        <w:adjustRightInd w:val="0"/>
        <w:snapToGrid w:val="0"/>
        <w:spacing w:line="480" w:lineRule="exact"/>
        <w:ind w:firstLine="480"/>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附图5  生态红线区域规划图</w:t>
      </w:r>
    </w:p>
    <w:p>
      <w:pPr>
        <w:adjustRightInd w:val="0"/>
        <w:snapToGrid w:val="0"/>
        <w:spacing w:line="480" w:lineRule="exact"/>
        <w:ind w:firstLine="480"/>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附图6  礼嘉镇规划图</w:t>
      </w:r>
    </w:p>
    <w:p>
      <w:pPr>
        <w:pStyle w:val="2"/>
        <w:ind w:left="0" w:leftChars="0" w:right="1470"/>
        <w:rPr>
          <w:rFonts w:hint="default" w:ascii="Times New Roman" w:hAnsi="Times New Roman" w:eastAsia="宋体" w:cs="Times New Roman"/>
          <w:color w:val="auto"/>
        </w:rPr>
      </w:pPr>
    </w:p>
    <w:p>
      <w:pPr>
        <w:adjustRightInd w:val="0"/>
        <w:snapToGrid w:val="0"/>
        <w:spacing w:line="480" w:lineRule="exact"/>
        <w:ind w:firstLine="480"/>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附件</w:t>
      </w:r>
    </w:p>
    <w:p>
      <w:pPr>
        <w:adjustRightInd w:val="0"/>
        <w:snapToGrid w:val="0"/>
        <w:spacing w:line="480" w:lineRule="exact"/>
        <w:ind w:firstLine="480"/>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附件1  环评委托书</w:t>
      </w:r>
    </w:p>
    <w:p>
      <w:pPr>
        <w:adjustRightInd w:val="0"/>
        <w:snapToGrid w:val="0"/>
        <w:spacing w:line="480" w:lineRule="exact"/>
        <w:ind w:firstLine="480"/>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附件2  备案通知书</w:t>
      </w:r>
    </w:p>
    <w:p>
      <w:pPr>
        <w:adjustRightInd w:val="0"/>
        <w:snapToGrid w:val="0"/>
        <w:spacing w:line="480" w:lineRule="exact"/>
        <w:ind w:firstLine="480"/>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附件3  建设项目环境影响申报（登记）表</w:t>
      </w:r>
    </w:p>
    <w:p>
      <w:pPr>
        <w:adjustRightInd w:val="0"/>
        <w:snapToGrid w:val="0"/>
        <w:spacing w:line="480" w:lineRule="exact"/>
        <w:ind w:firstLine="480"/>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附件4  原有项目环评批复</w:t>
      </w:r>
    </w:p>
    <w:p>
      <w:pPr>
        <w:adjustRightInd w:val="0"/>
        <w:snapToGrid w:val="0"/>
        <w:spacing w:line="480" w:lineRule="exact"/>
        <w:ind w:firstLine="480"/>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附件5  营业执照</w:t>
      </w:r>
    </w:p>
    <w:p>
      <w:pPr>
        <w:adjustRightInd w:val="0"/>
        <w:snapToGrid w:val="0"/>
        <w:spacing w:line="480" w:lineRule="exact"/>
        <w:ind w:firstLine="480"/>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附件6  土地情况说明、用地红线图</w:t>
      </w:r>
    </w:p>
    <w:p>
      <w:pPr>
        <w:adjustRightInd w:val="0"/>
        <w:snapToGrid w:val="0"/>
        <w:spacing w:line="480" w:lineRule="exact"/>
        <w:ind w:firstLine="480"/>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附件7  污水接管协议</w:t>
      </w:r>
    </w:p>
    <w:p>
      <w:pPr>
        <w:adjustRightInd w:val="0"/>
        <w:snapToGrid w:val="0"/>
        <w:spacing w:line="480" w:lineRule="exact"/>
        <w:ind w:firstLine="480"/>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附件8  现状监测报告</w:t>
      </w:r>
    </w:p>
    <w:p>
      <w:pPr>
        <w:adjustRightInd w:val="0"/>
        <w:snapToGrid w:val="0"/>
        <w:spacing w:line="480" w:lineRule="exact"/>
        <w:ind w:firstLine="480"/>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附件9  编制主持人现场照片</w:t>
      </w:r>
    </w:p>
    <w:p>
      <w:pPr>
        <w:adjustRightInd w:val="0"/>
        <w:snapToGrid w:val="0"/>
        <w:spacing w:line="480" w:lineRule="exact"/>
        <w:ind w:firstLine="480"/>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附件10 授权委托书</w:t>
      </w:r>
    </w:p>
    <w:p>
      <w:pPr>
        <w:adjustRightInd w:val="0"/>
        <w:snapToGrid w:val="0"/>
        <w:spacing w:line="480" w:lineRule="exact"/>
        <w:ind w:firstLine="480"/>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附件11 公示委托书</w:t>
      </w:r>
    </w:p>
    <w:p>
      <w:pPr>
        <w:adjustRightInd w:val="0"/>
        <w:snapToGrid w:val="0"/>
        <w:spacing w:line="480" w:lineRule="exact"/>
        <w:ind w:firstLine="480"/>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附件12 全文本公开证明材料</w:t>
      </w:r>
    </w:p>
    <w:p>
      <w:pPr>
        <w:adjustRightInd w:val="0"/>
        <w:snapToGrid w:val="0"/>
        <w:spacing w:line="480" w:lineRule="exact"/>
        <w:ind w:firstLine="480"/>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附件13 建设单位承诺书</w:t>
      </w:r>
    </w:p>
    <w:p>
      <w:pPr>
        <w:adjustRightInd w:val="0"/>
        <w:snapToGrid w:val="0"/>
        <w:spacing w:line="480" w:lineRule="exact"/>
        <w:ind w:firstLine="480"/>
        <w:rPr>
          <w:rFonts w:hint="default" w:ascii="Times New Roman" w:hAnsi="Times New Roman" w:eastAsia="宋体" w:cs="Times New Roman"/>
          <w:color w:val="auto"/>
        </w:rPr>
      </w:pPr>
      <w:r>
        <w:rPr>
          <w:rFonts w:hint="default" w:ascii="Times New Roman" w:hAnsi="Times New Roman" w:eastAsia="宋体" w:cs="Times New Roman"/>
          <w:color w:val="auto"/>
          <w:sz w:val="24"/>
        </w:rPr>
        <w:t>附件14 承诺书</w:t>
      </w:r>
    </w:p>
    <w:p>
      <w:pPr>
        <w:adjustRightInd w:val="0"/>
        <w:snapToGrid w:val="0"/>
        <w:spacing w:line="480" w:lineRule="exact"/>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附件1</w:t>
      </w:r>
      <w:r>
        <w:rPr>
          <w:rFonts w:hint="default" w:ascii="Times New Roman" w:hAnsi="Times New Roman" w:eastAsia="宋体" w:cs="Times New Roman"/>
          <w:color w:val="auto"/>
          <w:sz w:val="24"/>
          <w:lang w:val="en-US" w:eastAsia="zh-CN"/>
        </w:rPr>
        <w:t>5</w:t>
      </w:r>
      <w:r>
        <w:rPr>
          <w:rFonts w:hint="default" w:ascii="Times New Roman" w:hAnsi="Times New Roman" w:eastAsia="宋体" w:cs="Times New Roman"/>
          <w:color w:val="auto"/>
          <w:sz w:val="24"/>
        </w:rPr>
        <w:t xml:space="preserve"> 原有项目监测报告</w:t>
      </w:r>
    </w:p>
    <w:p>
      <w:pPr>
        <w:adjustRightInd w:val="0"/>
        <w:snapToGrid w:val="0"/>
        <w:spacing w:line="480" w:lineRule="exact"/>
        <w:ind w:firstLine="480"/>
        <w:rPr>
          <w:rFonts w:hint="default" w:ascii="Times New Roman" w:hAnsi="Times New Roman" w:eastAsia="宋体" w:cs="Times New Roman"/>
          <w:color w:val="auto"/>
          <w:sz w:val="24"/>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pPr>
        <w:pStyle w:val="18"/>
        <w:adjustRightInd w:val="0"/>
        <w:spacing w:before="0" w:beforeAutospacing="0" w:after="0" w:afterAutospacing="0"/>
        <w:contextualSpacing/>
        <w:outlineLvl w:val="0"/>
        <w:rPr>
          <w:rFonts w:hint="default" w:ascii="Times New Roman" w:hAnsi="Times New Roman" w:eastAsia="宋体" w:cs="Times New Roman"/>
          <w:snapToGrid w:val="0"/>
          <w:color w:val="auto"/>
          <w:sz w:val="32"/>
          <w:szCs w:val="32"/>
        </w:rPr>
      </w:pPr>
      <w:r>
        <w:rPr>
          <w:rFonts w:hint="default" w:ascii="Times New Roman" w:hAnsi="Times New Roman" w:eastAsia="宋体" w:cs="Times New Roman"/>
          <w:snapToGrid w:val="0"/>
          <w:color w:val="auto"/>
          <w:sz w:val="32"/>
          <w:szCs w:val="32"/>
        </w:rPr>
        <w:t>附表</w:t>
      </w:r>
    </w:p>
    <w:p>
      <w:pPr>
        <w:pStyle w:val="18"/>
        <w:adjustRightInd w:val="0"/>
        <w:spacing w:before="0" w:beforeAutospacing="0" w:after="0" w:afterAutospacing="0"/>
        <w:contextualSpacing/>
        <w:jc w:val="center"/>
        <w:outlineLvl w:val="0"/>
        <w:rPr>
          <w:rFonts w:hint="default" w:ascii="Times New Roman" w:hAnsi="Times New Roman" w:eastAsia="宋体" w:cs="Times New Roman"/>
          <w:snapToGrid w:val="0"/>
          <w:color w:val="auto"/>
          <w:sz w:val="30"/>
          <w:szCs w:val="30"/>
        </w:rPr>
      </w:pPr>
      <w:r>
        <w:rPr>
          <w:rFonts w:hint="default" w:ascii="Times New Roman" w:hAnsi="Times New Roman" w:eastAsia="宋体" w:cs="Times New Roman"/>
          <w:snapToGrid w:val="0"/>
          <w:color w:val="auto"/>
          <w:sz w:val="30"/>
          <w:szCs w:val="30"/>
        </w:rPr>
        <w:t>建设项目污染物排放量汇总表（t/a）</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8"/>
        <w:gridCol w:w="1417"/>
        <w:gridCol w:w="1701"/>
        <w:gridCol w:w="1276"/>
        <w:gridCol w:w="1701"/>
        <w:gridCol w:w="1559"/>
        <w:gridCol w:w="1761"/>
        <w:gridCol w:w="1539"/>
        <w:gridCol w:w="12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588" w:type="dxa"/>
            <w:tcBorders>
              <w:tl2br w:val="single" w:color="auto" w:sz="4" w:space="0"/>
            </w:tcBorders>
            <w:tcMar>
              <w:left w:w="28" w:type="dxa"/>
              <w:right w:w="28" w:type="dxa"/>
            </w:tcMar>
            <w:vAlign w:val="center"/>
          </w:tcPr>
          <w:p>
            <w:pPr>
              <w:pStyle w:val="38"/>
              <w:spacing w:beforeLines="0" w:afterLines="0" w:line="240" w:lineRule="auto"/>
              <w:jc w:val="right"/>
              <w:rPr>
                <w:rFonts w:hint="default" w:ascii="Times New Roman" w:hAnsi="Times New Roman" w:eastAsia="宋体" w:cs="Times New Roman"/>
                <w:snapToGrid w:val="0"/>
                <w:color w:val="auto"/>
                <w:spacing w:val="-6"/>
                <w:kern w:val="21"/>
                <w:szCs w:val="21"/>
              </w:rPr>
            </w:pPr>
            <w:r>
              <w:rPr>
                <w:rFonts w:hint="default" w:ascii="Times New Roman" w:hAnsi="Times New Roman" w:eastAsia="宋体" w:cs="Times New Roman"/>
                <w:snapToGrid w:val="0"/>
                <w:color w:val="auto"/>
                <w:spacing w:val="-6"/>
                <w:kern w:val="21"/>
                <w:szCs w:val="21"/>
              </w:rPr>
              <w:t>项目</w:t>
            </w:r>
          </w:p>
          <w:p>
            <w:pPr>
              <w:pStyle w:val="38"/>
              <w:spacing w:beforeLines="0" w:afterLines="0" w:line="240" w:lineRule="auto"/>
              <w:jc w:val="left"/>
              <w:rPr>
                <w:rFonts w:hint="default" w:ascii="Times New Roman" w:hAnsi="Times New Roman" w:eastAsia="宋体" w:cs="Times New Roman"/>
                <w:snapToGrid w:val="0"/>
                <w:color w:val="auto"/>
                <w:spacing w:val="-6"/>
                <w:kern w:val="21"/>
                <w:szCs w:val="21"/>
              </w:rPr>
            </w:pPr>
            <w:r>
              <w:rPr>
                <w:rFonts w:hint="default" w:ascii="Times New Roman" w:hAnsi="Times New Roman" w:eastAsia="宋体" w:cs="Times New Roman"/>
                <w:snapToGrid w:val="0"/>
                <w:color w:val="auto"/>
                <w:spacing w:val="-6"/>
                <w:kern w:val="21"/>
                <w:szCs w:val="21"/>
              </w:rPr>
              <w:t>分类</w:t>
            </w:r>
          </w:p>
        </w:tc>
        <w:tc>
          <w:tcPr>
            <w:tcW w:w="1417" w:type="dxa"/>
            <w:tcMar>
              <w:left w:w="28" w:type="dxa"/>
              <w:right w:w="28" w:type="dxa"/>
            </w:tcMar>
            <w:vAlign w:val="center"/>
          </w:tcPr>
          <w:p>
            <w:pPr>
              <w:pStyle w:val="38"/>
              <w:spacing w:beforeLines="0" w:afterLines="0" w:line="240" w:lineRule="auto"/>
              <w:rPr>
                <w:rFonts w:hint="default" w:ascii="Times New Roman" w:hAnsi="Times New Roman" w:eastAsia="宋体" w:cs="Times New Roman"/>
                <w:snapToGrid w:val="0"/>
                <w:color w:val="auto"/>
                <w:spacing w:val="-6"/>
                <w:kern w:val="21"/>
                <w:szCs w:val="21"/>
              </w:rPr>
            </w:pPr>
            <w:r>
              <w:rPr>
                <w:rFonts w:hint="default" w:ascii="Times New Roman" w:hAnsi="Times New Roman" w:eastAsia="宋体" w:cs="Times New Roman"/>
                <w:snapToGrid w:val="0"/>
                <w:color w:val="auto"/>
                <w:spacing w:val="-6"/>
                <w:kern w:val="21"/>
                <w:szCs w:val="21"/>
              </w:rPr>
              <w:t>污染物名称</w:t>
            </w:r>
          </w:p>
        </w:tc>
        <w:tc>
          <w:tcPr>
            <w:tcW w:w="1701" w:type="dxa"/>
            <w:tcMar>
              <w:left w:w="28" w:type="dxa"/>
              <w:right w:w="28" w:type="dxa"/>
            </w:tcMar>
            <w:vAlign w:val="center"/>
          </w:tcPr>
          <w:p>
            <w:pPr>
              <w:pStyle w:val="38"/>
              <w:spacing w:beforeLines="0" w:afterLines="0" w:line="240" w:lineRule="auto"/>
              <w:rPr>
                <w:rFonts w:hint="default" w:ascii="Times New Roman" w:hAnsi="Times New Roman" w:eastAsia="宋体" w:cs="Times New Roman"/>
                <w:snapToGrid w:val="0"/>
                <w:color w:val="auto"/>
                <w:spacing w:val="-6"/>
                <w:kern w:val="21"/>
                <w:szCs w:val="21"/>
              </w:rPr>
            </w:pPr>
            <w:r>
              <w:rPr>
                <w:rFonts w:hint="default" w:ascii="Times New Roman" w:hAnsi="Times New Roman" w:eastAsia="宋体" w:cs="Times New Roman"/>
                <w:snapToGrid w:val="0"/>
                <w:color w:val="auto"/>
                <w:spacing w:val="-6"/>
                <w:kern w:val="21"/>
                <w:szCs w:val="21"/>
              </w:rPr>
              <w:t>现有工程</w:t>
            </w:r>
          </w:p>
          <w:p>
            <w:pPr>
              <w:pStyle w:val="38"/>
              <w:spacing w:beforeLines="0" w:afterLines="0" w:line="240" w:lineRule="auto"/>
              <w:rPr>
                <w:rFonts w:hint="default" w:ascii="Times New Roman" w:hAnsi="Times New Roman" w:eastAsia="宋体" w:cs="Times New Roman"/>
                <w:snapToGrid w:val="0"/>
                <w:color w:val="auto"/>
                <w:spacing w:val="-6"/>
                <w:kern w:val="21"/>
                <w:szCs w:val="21"/>
              </w:rPr>
            </w:pPr>
            <w:r>
              <w:rPr>
                <w:rFonts w:hint="default" w:ascii="Times New Roman" w:hAnsi="Times New Roman" w:eastAsia="宋体" w:cs="Times New Roman"/>
                <w:snapToGrid w:val="0"/>
                <w:color w:val="auto"/>
                <w:spacing w:val="-6"/>
                <w:kern w:val="21"/>
                <w:szCs w:val="21"/>
              </w:rPr>
              <w:t>排放量（固体废物产生量）</w:t>
            </w:r>
            <w:r>
              <w:rPr>
                <w:rFonts w:hint="default" w:ascii="Times New Roman" w:hAnsi="Times New Roman" w:eastAsia="宋体" w:cs="Times New Roman"/>
                <w:snapToGrid w:val="0"/>
                <w:color w:val="auto"/>
                <w:spacing w:val="-6"/>
                <w:kern w:val="21"/>
                <w:szCs w:val="21"/>
              </w:rPr>
              <w:fldChar w:fldCharType="begin"/>
            </w:r>
            <w:r>
              <w:rPr>
                <w:rFonts w:hint="default" w:ascii="Times New Roman" w:hAnsi="Times New Roman" w:eastAsia="宋体" w:cs="Times New Roman"/>
                <w:snapToGrid w:val="0"/>
                <w:color w:val="auto"/>
                <w:spacing w:val="-6"/>
                <w:kern w:val="21"/>
                <w:szCs w:val="21"/>
              </w:rPr>
              <w:instrText xml:space="preserve"> = 1 \* GB3 \* MERGEFORMAT </w:instrText>
            </w:r>
            <w:r>
              <w:rPr>
                <w:rFonts w:hint="default" w:ascii="Times New Roman" w:hAnsi="Times New Roman" w:eastAsia="宋体" w:cs="Times New Roman"/>
                <w:snapToGrid w:val="0"/>
                <w:color w:val="auto"/>
                <w:spacing w:val="-6"/>
                <w:kern w:val="21"/>
                <w:szCs w:val="21"/>
              </w:rPr>
              <w:fldChar w:fldCharType="separate"/>
            </w:r>
            <w:r>
              <w:rPr>
                <w:rFonts w:hint="default" w:ascii="Times New Roman" w:hAnsi="Times New Roman" w:eastAsia="宋体" w:cs="Times New Roman"/>
                <w:color w:val="auto"/>
                <w:kern w:val="2"/>
                <w:szCs w:val="21"/>
              </w:rPr>
              <w:t>①</w:t>
            </w:r>
            <w:r>
              <w:rPr>
                <w:rFonts w:hint="default" w:ascii="Times New Roman" w:hAnsi="Times New Roman" w:eastAsia="宋体" w:cs="Times New Roman"/>
                <w:snapToGrid w:val="0"/>
                <w:color w:val="auto"/>
                <w:spacing w:val="-6"/>
                <w:kern w:val="21"/>
                <w:szCs w:val="21"/>
              </w:rPr>
              <w:fldChar w:fldCharType="end"/>
            </w:r>
          </w:p>
        </w:tc>
        <w:tc>
          <w:tcPr>
            <w:tcW w:w="1276" w:type="dxa"/>
            <w:tcMar>
              <w:left w:w="28" w:type="dxa"/>
              <w:right w:w="28" w:type="dxa"/>
            </w:tcMar>
            <w:vAlign w:val="center"/>
          </w:tcPr>
          <w:p>
            <w:pPr>
              <w:pStyle w:val="38"/>
              <w:spacing w:beforeLines="0" w:afterLines="0" w:line="240" w:lineRule="auto"/>
              <w:rPr>
                <w:rFonts w:hint="default" w:ascii="Times New Roman" w:hAnsi="Times New Roman" w:eastAsia="宋体" w:cs="Times New Roman"/>
                <w:snapToGrid w:val="0"/>
                <w:color w:val="auto"/>
                <w:spacing w:val="-6"/>
                <w:kern w:val="21"/>
                <w:szCs w:val="21"/>
              </w:rPr>
            </w:pPr>
            <w:r>
              <w:rPr>
                <w:rFonts w:hint="default" w:ascii="Times New Roman" w:hAnsi="Times New Roman" w:eastAsia="宋体" w:cs="Times New Roman"/>
                <w:snapToGrid w:val="0"/>
                <w:color w:val="auto"/>
                <w:spacing w:val="-6"/>
                <w:kern w:val="21"/>
                <w:szCs w:val="21"/>
              </w:rPr>
              <w:t>现有工程</w:t>
            </w:r>
          </w:p>
          <w:p>
            <w:pPr>
              <w:pStyle w:val="38"/>
              <w:spacing w:beforeLines="0" w:afterLines="0" w:line="240" w:lineRule="auto"/>
              <w:rPr>
                <w:rFonts w:hint="default" w:ascii="Times New Roman" w:hAnsi="Times New Roman" w:eastAsia="宋体" w:cs="Times New Roman"/>
                <w:snapToGrid w:val="0"/>
                <w:color w:val="auto"/>
                <w:spacing w:val="-6"/>
                <w:kern w:val="21"/>
                <w:szCs w:val="21"/>
              </w:rPr>
            </w:pPr>
            <w:r>
              <w:rPr>
                <w:rFonts w:hint="default" w:ascii="Times New Roman" w:hAnsi="Times New Roman" w:eastAsia="宋体" w:cs="Times New Roman"/>
                <w:snapToGrid w:val="0"/>
                <w:color w:val="auto"/>
                <w:spacing w:val="-6"/>
                <w:kern w:val="21"/>
                <w:szCs w:val="21"/>
              </w:rPr>
              <w:t>许可排放量</w:t>
            </w:r>
          </w:p>
          <w:p>
            <w:pPr>
              <w:pStyle w:val="38"/>
              <w:spacing w:beforeLines="0" w:afterLines="0"/>
              <w:rPr>
                <w:rFonts w:hint="default" w:ascii="Times New Roman" w:hAnsi="Times New Roman" w:eastAsia="宋体" w:cs="Times New Roman"/>
                <w:snapToGrid w:val="0"/>
                <w:color w:val="auto"/>
                <w:spacing w:val="-6"/>
                <w:kern w:val="21"/>
                <w:szCs w:val="21"/>
              </w:rPr>
            </w:pPr>
            <w:r>
              <w:rPr>
                <w:rFonts w:hint="default" w:ascii="Times New Roman" w:hAnsi="Times New Roman" w:eastAsia="宋体" w:cs="Times New Roman"/>
                <w:snapToGrid w:val="0"/>
                <w:color w:val="auto"/>
                <w:spacing w:val="-6"/>
                <w:kern w:val="21"/>
                <w:szCs w:val="21"/>
              </w:rPr>
              <w:fldChar w:fldCharType="begin"/>
            </w:r>
            <w:r>
              <w:rPr>
                <w:rFonts w:hint="default" w:ascii="Times New Roman" w:hAnsi="Times New Roman" w:eastAsia="宋体" w:cs="Times New Roman"/>
                <w:snapToGrid w:val="0"/>
                <w:color w:val="auto"/>
                <w:spacing w:val="-6"/>
                <w:kern w:val="21"/>
                <w:szCs w:val="21"/>
              </w:rPr>
              <w:instrText xml:space="preserve"> = 2 \* GB3 \* MERGEFORMAT </w:instrText>
            </w:r>
            <w:r>
              <w:rPr>
                <w:rFonts w:hint="default" w:ascii="Times New Roman" w:hAnsi="Times New Roman" w:eastAsia="宋体" w:cs="Times New Roman"/>
                <w:snapToGrid w:val="0"/>
                <w:color w:val="auto"/>
                <w:spacing w:val="-6"/>
                <w:kern w:val="21"/>
                <w:szCs w:val="21"/>
              </w:rPr>
              <w:fldChar w:fldCharType="separate"/>
            </w:r>
            <w:r>
              <w:rPr>
                <w:rFonts w:hint="default" w:ascii="Times New Roman" w:hAnsi="Times New Roman" w:eastAsia="宋体" w:cs="Times New Roman"/>
                <w:snapToGrid w:val="0"/>
                <w:color w:val="auto"/>
                <w:spacing w:val="-6"/>
                <w:kern w:val="21"/>
                <w:szCs w:val="21"/>
              </w:rPr>
              <w:t>②</w:t>
            </w:r>
            <w:r>
              <w:rPr>
                <w:rFonts w:hint="default" w:ascii="Times New Roman" w:hAnsi="Times New Roman" w:eastAsia="宋体" w:cs="Times New Roman"/>
                <w:snapToGrid w:val="0"/>
                <w:color w:val="auto"/>
                <w:spacing w:val="-6"/>
                <w:kern w:val="21"/>
                <w:szCs w:val="21"/>
              </w:rPr>
              <w:fldChar w:fldCharType="end"/>
            </w:r>
          </w:p>
        </w:tc>
        <w:tc>
          <w:tcPr>
            <w:tcW w:w="1701" w:type="dxa"/>
            <w:tcMar>
              <w:left w:w="28" w:type="dxa"/>
              <w:right w:w="28" w:type="dxa"/>
            </w:tcMar>
            <w:vAlign w:val="center"/>
          </w:tcPr>
          <w:p>
            <w:pPr>
              <w:pStyle w:val="38"/>
              <w:spacing w:beforeLines="0" w:afterLines="0" w:line="240" w:lineRule="auto"/>
              <w:rPr>
                <w:rFonts w:hint="default" w:ascii="Times New Roman" w:hAnsi="Times New Roman" w:eastAsia="宋体" w:cs="Times New Roman"/>
                <w:snapToGrid w:val="0"/>
                <w:color w:val="auto"/>
                <w:spacing w:val="-6"/>
                <w:kern w:val="21"/>
                <w:szCs w:val="21"/>
              </w:rPr>
            </w:pPr>
            <w:r>
              <w:rPr>
                <w:rFonts w:hint="default" w:ascii="Times New Roman" w:hAnsi="Times New Roman" w:eastAsia="宋体" w:cs="Times New Roman"/>
                <w:snapToGrid w:val="0"/>
                <w:color w:val="auto"/>
                <w:spacing w:val="-6"/>
                <w:kern w:val="21"/>
                <w:szCs w:val="21"/>
              </w:rPr>
              <w:t>在建工程</w:t>
            </w:r>
          </w:p>
          <w:p>
            <w:pPr>
              <w:pStyle w:val="38"/>
              <w:spacing w:beforeLines="0" w:afterLines="0" w:line="240" w:lineRule="auto"/>
              <w:rPr>
                <w:rFonts w:hint="default" w:ascii="Times New Roman" w:hAnsi="Times New Roman" w:eastAsia="宋体" w:cs="Times New Roman"/>
                <w:snapToGrid w:val="0"/>
                <w:color w:val="auto"/>
                <w:spacing w:val="-6"/>
                <w:kern w:val="21"/>
                <w:szCs w:val="21"/>
              </w:rPr>
            </w:pPr>
            <w:r>
              <w:rPr>
                <w:rFonts w:hint="default" w:ascii="Times New Roman" w:hAnsi="Times New Roman" w:eastAsia="宋体" w:cs="Times New Roman"/>
                <w:snapToGrid w:val="0"/>
                <w:color w:val="auto"/>
                <w:spacing w:val="-6"/>
                <w:kern w:val="21"/>
                <w:szCs w:val="21"/>
              </w:rPr>
              <w:t>排放量（固体废物产生量）</w:t>
            </w:r>
            <w:r>
              <w:rPr>
                <w:rFonts w:hint="default" w:ascii="Times New Roman" w:hAnsi="Times New Roman" w:eastAsia="宋体" w:cs="Times New Roman"/>
                <w:snapToGrid w:val="0"/>
                <w:color w:val="auto"/>
                <w:spacing w:val="-6"/>
                <w:kern w:val="21"/>
                <w:szCs w:val="21"/>
              </w:rPr>
              <w:fldChar w:fldCharType="begin"/>
            </w:r>
            <w:r>
              <w:rPr>
                <w:rFonts w:hint="default" w:ascii="Times New Roman" w:hAnsi="Times New Roman" w:eastAsia="宋体" w:cs="Times New Roman"/>
                <w:snapToGrid w:val="0"/>
                <w:color w:val="auto"/>
                <w:spacing w:val="-6"/>
                <w:kern w:val="21"/>
                <w:szCs w:val="21"/>
              </w:rPr>
              <w:instrText xml:space="preserve"> = 3 \* GB3 \* MERGEFORMAT </w:instrText>
            </w:r>
            <w:r>
              <w:rPr>
                <w:rFonts w:hint="default" w:ascii="Times New Roman" w:hAnsi="Times New Roman" w:eastAsia="宋体" w:cs="Times New Roman"/>
                <w:snapToGrid w:val="0"/>
                <w:color w:val="auto"/>
                <w:spacing w:val="-6"/>
                <w:kern w:val="21"/>
                <w:szCs w:val="21"/>
              </w:rPr>
              <w:fldChar w:fldCharType="separate"/>
            </w:r>
            <w:r>
              <w:rPr>
                <w:rFonts w:hint="default" w:ascii="Times New Roman" w:hAnsi="Times New Roman" w:eastAsia="宋体" w:cs="Times New Roman"/>
                <w:color w:val="auto"/>
                <w:kern w:val="2"/>
                <w:szCs w:val="21"/>
              </w:rPr>
              <w:t>③</w:t>
            </w:r>
            <w:r>
              <w:rPr>
                <w:rFonts w:hint="default" w:ascii="Times New Roman" w:hAnsi="Times New Roman" w:eastAsia="宋体" w:cs="Times New Roman"/>
                <w:snapToGrid w:val="0"/>
                <w:color w:val="auto"/>
                <w:spacing w:val="-6"/>
                <w:kern w:val="21"/>
                <w:szCs w:val="21"/>
              </w:rPr>
              <w:fldChar w:fldCharType="end"/>
            </w:r>
          </w:p>
        </w:tc>
        <w:tc>
          <w:tcPr>
            <w:tcW w:w="1559" w:type="dxa"/>
            <w:tcMar>
              <w:left w:w="28" w:type="dxa"/>
              <w:right w:w="28" w:type="dxa"/>
            </w:tcMar>
            <w:vAlign w:val="center"/>
          </w:tcPr>
          <w:p>
            <w:pPr>
              <w:pStyle w:val="38"/>
              <w:spacing w:beforeLines="0" w:afterLines="0" w:line="240" w:lineRule="auto"/>
              <w:rPr>
                <w:rFonts w:hint="default" w:ascii="Times New Roman" w:hAnsi="Times New Roman" w:eastAsia="宋体" w:cs="Times New Roman"/>
                <w:snapToGrid w:val="0"/>
                <w:color w:val="auto"/>
                <w:spacing w:val="-6"/>
                <w:kern w:val="21"/>
                <w:szCs w:val="21"/>
              </w:rPr>
            </w:pPr>
            <w:r>
              <w:rPr>
                <w:rFonts w:hint="default" w:ascii="Times New Roman" w:hAnsi="Times New Roman" w:eastAsia="宋体" w:cs="Times New Roman"/>
                <w:snapToGrid w:val="0"/>
                <w:color w:val="auto"/>
                <w:spacing w:val="-6"/>
                <w:kern w:val="21"/>
                <w:szCs w:val="21"/>
              </w:rPr>
              <w:t>本项目</w:t>
            </w:r>
          </w:p>
          <w:p>
            <w:pPr>
              <w:pStyle w:val="38"/>
              <w:spacing w:beforeLines="0" w:afterLines="0" w:line="240" w:lineRule="auto"/>
              <w:rPr>
                <w:rFonts w:hint="default" w:ascii="Times New Roman" w:hAnsi="Times New Roman" w:eastAsia="宋体" w:cs="Times New Roman"/>
                <w:snapToGrid w:val="0"/>
                <w:color w:val="auto"/>
                <w:spacing w:val="-6"/>
                <w:kern w:val="21"/>
                <w:szCs w:val="21"/>
              </w:rPr>
            </w:pPr>
            <w:r>
              <w:rPr>
                <w:rFonts w:hint="default" w:ascii="Times New Roman" w:hAnsi="Times New Roman" w:eastAsia="宋体" w:cs="Times New Roman"/>
                <w:snapToGrid w:val="0"/>
                <w:color w:val="auto"/>
                <w:spacing w:val="-6"/>
                <w:kern w:val="21"/>
                <w:szCs w:val="21"/>
              </w:rPr>
              <w:t>排放量（固体废物产生量）</w:t>
            </w:r>
            <w:r>
              <w:rPr>
                <w:rFonts w:hint="default" w:ascii="Times New Roman" w:hAnsi="Times New Roman" w:eastAsia="宋体" w:cs="Times New Roman"/>
                <w:snapToGrid w:val="0"/>
                <w:color w:val="auto"/>
                <w:spacing w:val="-6"/>
                <w:kern w:val="21"/>
                <w:szCs w:val="21"/>
              </w:rPr>
              <w:fldChar w:fldCharType="begin"/>
            </w:r>
            <w:r>
              <w:rPr>
                <w:rFonts w:hint="default" w:ascii="Times New Roman" w:hAnsi="Times New Roman" w:eastAsia="宋体" w:cs="Times New Roman"/>
                <w:snapToGrid w:val="0"/>
                <w:color w:val="auto"/>
                <w:spacing w:val="-6"/>
                <w:kern w:val="21"/>
                <w:szCs w:val="21"/>
              </w:rPr>
              <w:instrText xml:space="preserve"> = 4 \* GB3 \* MERGEFORMAT </w:instrText>
            </w:r>
            <w:r>
              <w:rPr>
                <w:rFonts w:hint="default" w:ascii="Times New Roman" w:hAnsi="Times New Roman" w:eastAsia="宋体" w:cs="Times New Roman"/>
                <w:snapToGrid w:val="0"/>
                <w:color w:val="auto"/>
                <w:spacing w:val="-6"/>
                <w:kern w:val="21"/>
                <w:szCs w:val="21"/>
              </w:rPr>
              <w:fldChar w:fldCharType="separate"/>
            </w:r>
            <w:r>
              <w:rPr>
                <w:rFonts w:hint="default" w:ascii="Times New Roman" w:hAnsi="Times New Roman" w:eastAsia="宋体" w:cs="Times New Roman"/>
                <w:color w:val="auto"/>
                <w:kern w:val="2"/>
                <w:szCs w:val="21"/>
              </w:rPr>
              <w:t>④</w:t>
            </w:r>
            <w:r>
              <w:rPr>
                <w:rFonts w:hint="default" w:ascii="Times New Roman" w:hAnsi="Times New Roman" w:eastAsia="宋体" w:cs="Times New Roman"/>
                <w:snapToGrid w:val="0"/>
                <w:color w:val="auto"/>
                <w:spacing w:val="-6"/>
                <w:kern w:val="21"/>
                <w:szCs w:val="21"/>
              </w:rPr>
              <w:fldChar w:fldCharType="end"/>
            </w:r>
          </w:p>
        </w:tc>
        <w:tc>
          <w:tcPr>
            <w:tcW w:w="1761" w:type="dxa"/>
            <w:tcMar>
              <w:left w:w="28" w:type="dxa"/>
              <w:right w:w="28" w:type="dxa"/>
            </w:tcMar>
            <w:vAlign w:val="center"/>
          </w:tcPr>
          <w:p>
            <w:pPr>
              <w:pStyle w:val="38"/>
              <w:spacing w:beforeLines="0" w:afterLines="0" w:line="240" w:lineRule="auto"/>
              <w:rPr>
                <w:rFonts w:hint="default" w:ascii="Times New Roman" w:hAnsi="Times New Roman" w:eastAsia="宋体" w:cs="Times New Roman"/>
                <w:snapToGrid w:val="0"/>
                <w:color w:val="auto"/>
                <w:spacing w:val="-16"/>
                <w:kern w:val="21"/>
                <w:szCs w:val="21"/>
              </w:rPr>
            </w:pPr>
            <w:r>
              <w:rPr>
                <w:rFonts w:hint="default" w:ascii="Times New Roman" w:hAnsi="Times New Roman" w:eastAsia="宋体" w:cs="Times New Roman"/>
                <w:snapToGrid w:val="0"/>
                <w:color w:val="auto"/>
                <w:spacing w:val="-16"/>
                <w:kern w:val="21"/>
                <w:szCs w:val="21"/>
              </w:rPr>
              <w:t>以新带老削减量</w:t>
            </w:r>
          </w:p>
          <w:p>
            <w:pPr>
              <w:pStyle w:val="38"/>
              <w:spacing w:beforeLines="0" w:afterLines="0" w:line="240" w:lineRule="auto"/>
              <w:rPr>
                <w:rFonts w:hint="default" w:ascii="Times New Roman" w:hAnsi="Times New Roman" w:eastAsia="宋体" w:cs="Times New Roman"/>
                <w:snapToGrid w:val="0"/>
                <w:color w:val="auto"/>
                <w:spacing w:val="-16"/>
                <w:kern w:val="21"/>
                <w:szCs w:val="21"/>
              </w:rPr>
            </w:pPr>
            <w:r>
              <w:rPr>
                <w:rFonts w:hint="default" w:ascii="Times New Roman" w:hAnsi="Times New Roman" w:eastAsia="宋体" w:cs="Times New Roman"/>
                <w:snapToGrid w:val="0"/>
                <w:color w:val="auto"/>
                <w:spacing w:val="-16"/>
                <w:kern w:val="21"/>
                <w:szCs w:val="21"/>
              </w:rPr>
              <w:t>（新建项目不填）</w:t>
            </w:r>
            <w:r>
              <w:rPr>
                <w:rFonts w:hint="default" w:ascii="Times New Roman" w:hAnsi="Times New Roman" w:eastAsia="宋体" w:cs="Times New Roman"/>
                <w:snapToGrid w:val="0"/>
                <w:color w:val="auto"/>
                <w:spacing w:val="-16"/>
                <w:kern w:val="21"/>
                <w:szCs w:val="21"/>
              </w:rPr>
              <w:fldChar w:fldCharType="begin"/>
            </w:r>
            <w:r>
              <w:rPr>
                <w:rFonts w:hint="default" w:ascii="Times New Roman" w:hAnsi="Times New Roman" w:eastAsia="宋体" w:cs="Times New Roman"/>
                <w:snapToGrid w:val="0"/>
                <w:color w:val="auto"/>
                <w:spacing w:val="-16"/>
                <w:kern w:val="21"/>
                <w:szCs w:val="21"/>
              </w:rPr>
              <w:instrText xml:space="preserve"> = 5 \* GB3 \* MERGEFORMAT </w:instrText>
            </w:r>
            <w:r>
              <w:rPr>
                <w:rFonts w:hint="default" w:ascii="Times New Roman" w:hAnsi="Times New Roman" w:eastAsia="宋体" w:cs="Times New Roman"/>
                <w:snapToGrid w:val="0"/>
                <w:color w:val="auto"/>
                <w:spacing w:val="-16"/>
                <w:kern w:val="21"/>
                <w:szCs w:val="21"/>
              </w:rPr>
              <w:fldChar w:fldCharType="separate"/>
            </w:r>
            <w:r>
              <w:rPr>
                <w:rFonts w:hint="default" w:ascii="Times New Roman" w:hAnsi="Times New Roman" w:eastAsia="宋体" w:cs="Times New Roman"/>
                <w:color w:val="auto"/>
                <w:kern w:val="2"/>
                <w:szCs w:val="21"/>
              </w:rPr>
              <w:t>⑤</w:t>
            </w:r>
            <w:r>
              <w:rPr>
                <w:rFonts w:hint="default" w:ascii="Times New Roman" w:hAnsi="Times New Roman" w:eastAsia="宋体" w:cs="Times New Roman"/>
                <w:snapToGrid w:val="0"/>
                <w:color w:val="auto"/>
                <w:spacing w:val="-16"/>
                <w:kern w:val="21"/>
                <w:szCs w:val="21"/>
              </w:rPr>
              <w:fldChar w:fldCharType="end"/>
            </w:r>
          </w:p>
        </w:tc>
        <w:tc>
          <w:tcPr>
            <w:tcW w:w="1539" w:type="dxa"/>
            <w:tcMar>
              <w:left w:w="28" w:type="dxa"/>
              <w:right w:w="28" w:type="dxa"/>
            </w:tcMar>
            <w:vAlign w:val="center"/>
          </w:tcPr>
          <w:p>
            <w:pPr>
              <w:pStyle w:val="38"/>
              <w:spacing w:beforeLines="0" w:afterLines="0" w:line="240" w:lineRule="auto"/>
              <w:rPr>
                <w:rFonts w:hint="default" w:ascii="Times New Roman" w:hAnsi="Times New Roman" w:eastAsia="宋体" w:cs="Times New Roman"/>
                <w:snapToGrid w:val="0"/>
                <w:color w:val="auto"/>
                <w:spacing w:val="-16"/>
                <w:kern w:val="21"/>
                <w:szCs w:val="21"/>
              </w:rPr>
            </w:pPr>
            <w:r>
              <w:rPr>
                <w:rFonts w:hint="default" w:ascii="Times New Roman" w:hAnsi="Times New Roman" w:eastAsia="宋体" w:cs="Times New Roman"/>
                <w:snapToGrid w:val="0"/>
                <w:color w:val="auto"/>
                <w:spacing w:val="-16"/>
                <w:kern w:val="21"/>
                <w:szCs w:val="21"/>
              </w:rPr>
              <w:t>本项目建成后</w:t>
            </w:r>
          </w:p>
          <w:p>
            <w:pPr>
              <w:pStyle w:val="38"/>
              <w:spacing w:beforeLines="0" w:afterLines="0" w:line="240" w:lineRule="auto"/>
              <w:rPr>
                <w:rFonts w:hint="default" w:ascii="Times New Roman" w:hAnsi="Times New Roman" w:eastAsia="宋体" w:cs="Times New Roman"/>
                <w:snapToGrid w:val="0"/>
                <w:color w:val="auto"/>
                <w:spacing w:val="-16"/>
                <w:kern w:val="21"/>
                <w:szCs w:val="21"/>
              </w:rPr>
            </w:pPr>
            <w:r>
              <w:rPr>
                <w:rFonts w:hint="default" w:ascii="Times New Roman" w:hAnsi="Times New Roman" w:eastAsia="宋体" w:cs="Times New Roman"/>
                <w:snapToGrid w:val="0"/>
                <w:color w:val="auto"/>
                <w:spacing w:val="-16"/>
                <w:kern w:val="21"/>
                <w:szCs w:val="21"/>
              </w:rPr>
              <w:t>全厂排放量（固体废物产生量）</w:t>
            </w:r>
            <w:r>
              <w:rPr>
                <w:rFonts w:hint="default" w:ascii="Times New Roman" w:hAnsi="Times New Roman" w:eastAsia="宋体" w:cs="Times New Roman"/>
                <w:snapToGrid w:val="0"/>
                <w:color w:val="auto"/>
                <w:spacing w:val="-16"/>
                <w:kern w:val="21"/>
                <w:szCs w:val="21"/>
              </w:rPr>
              <w:fldChar w:fldCharType="begin"/>
            </w:r>
            <w:r>
              <w:rPr>
                <w:rFonts w:hint="default" w:ascii="Times New Roman" w:hAnsi="Times New Roman" w:eastAsia="宋体" w:cs="Times New Roman"/>
                <w:snapToGrid w:val="0"/>
                <w:color w:val="auto"/>
                <w:spacing w:val="-16"/>
                <w:kern w:val="21"/>
                <w:szCs w:val="21"/>
              </w:rPr>
              <w:instrText xml:space="preserve"> = 6 \* GB3 \* MERGEFORMAT </w:instrText>
            </w:r>
            <w:r>
              <w:rPr>
                <w:rFonts w:hint="default" w:ascii="Times New Roman" w:hAnsi="Times New Roman" w:eastAsia="宋体" w:cs="Times New Roman"/>
                <w:snapToGrid w:val="0"/>
                <w:color w:val="auto"/>
                <w:spacing w:val="-16"/>
                <w:kern w:val="21"/>
                <w:szCs w:val="21"/>
              </w:rPr>
              <w:fldChar w:fldCharType="separate"/>
            </w:r>
            <w:r>
              <w:rPr>
                <w:rFonts w:hint="default" w:ascii="Times New Roman" w:hAnsi="Times New Roman" w:eastAsia="宋体" w:cs="Times New Roman"/>
                <w:color w:val="auto"/>
                <w:kern w:val="2"/>
                <w:szCs w:val="21"/>
              </w:rPr>
              <w:t>⑥</w:t>
            </w:r>
            <w:r>
              <w:rPr>
                <w:rFonts w:hint="default" w:ascii="Times New Roman" w:hAnsi="Times New Roman" w:eastAsia="宋体" w:cs="Times New Roman"/>
                <w:snapToGrid w:val="0"/>
                <w:color w:val="auto"/>
                <w:spacing w:val="-16"/>
                <w:kern w:val="21"/>
                <w:szCs w:val="21"/>
              </w:rPr>
              <w:fldChar w:fldCharType="end"/>
            </w:r>
          </w:p>
        </w:tc>
        <w:tc>
          <w:tcPr>
            <w:tcW w:w="1246" w:type="dxa"/>
            <w:tcMar>
              <w:left w:w="28" w:type="dxa"/>
              <w:right w:w="28" w:type="dxa"/>
            </w:tcMar>
            <w:vAlign w:val="center"/>
          </w:tcPr>
          <w:p>
            <w:pPr>
              <w:pStyle w:val="38"/>
              <w:spacing w:beforeLines="0" w:afterLines="0" w:line="240" w:lineRule="auto"/>
              <w:rPr>
                <w:rFonts w:hint="default" w:ascii="Times New Roman" w:hAnsi="Times New Roman" w:eastAsia="宋体" w:cs="Times New Roman"/>
                <w:snapToGrid w:val="0"/>
                <w:color w:val="auto"/>
                <w:spacing w:val="-6"/>
                <w:kern w:val="21"/>
                <w:szCs w:val="21"/>
              </w:rPr>
            </w:pPr>
            <w:r>
              <w:rPr>
                <w:rFonts w:hint="default" w:ascii="Times New Roman" w:hAnsi="Times New Roman" w:eastAsia="宋体" w:cs="Times New Roman"/>
                <w:snapToGrid w:val="0"/>
                <w:color w:val="auto"/>
                <w:spacing w:val="-6"/>
                <w:kern w:val="21"/>
                <w:szCs w:val="21"/>
              </w:rPr>
              <w:t>变化量</w:t>
            </w:r>
          </w:p>
          <w:p>
            <w:pPr>
              <w:pStyle w:val="38"/>
              <w:spacing w:beforeLines="0" w:afterLines="0" w:line="240" w:lineRule="auto"/>
              <w:rPr>
                <w:rFonts w:hint="default" w:ascii="Times New Roman" w:hAnsi="Times New Roman" w:eastAsia="宋体" w:cs="Times New Roman"/>
                <w:snapToGrid w:val="0"/>
                <w:color w:val="auto"/>
                <w:spacing w:val="-6"/>
                <w:kern w:val="21"/>
                <w:szCs w:val="21"/>
              </w:rPr>
            </w:pPr>
            <w:r>
              <w:rPr>
                <w:rFonts w:hint="default" w:ascii="Times New Roman" w:hAnsi="Times New Roman" w:eastAsia="宋体" w:cs="Times New Roman"/>
                <w:snapToGrid w:val="0"/>
                <w:color w:val="auto"/>
                <w:spacing w:val="-6"/>
                <w:kern w:val="21"/>
                <w:szCs w:val="21"/>
              </w:rPr>
              <w:fldChar w:fldCharType="begin"/>
            </w:r>
            <w:r>
              <w:rPr>
                <w:rFonts w:hint="default" w:ascii="Times New Roman" w:hAnsi="Times New Roman" w:eastAsia="宋体" w:cs="Times New Roman"/>
                <w:snapToGrid w:val="0"/>
                <w:color w:val="auto"/>
                <w:spacing w:val="-6"/>
                <w:kern w:val="21"/>
                <w:szCs w:val="21"/>
              </w:rPr>
              <w:instrText xml:space="preserve"> = 7 \* GB3 \* MERGEFORMAT </w:instrText>
            </w:r>
            <w:r>
              <w:rPr>
                <w:rFonts w:hint="default" w:ascii="Times New Roman" w:hAnsi="Times New Roman" w:eastAsia="宋体" w:cs="Times New Roman"/>
                <w:snapToGrid w:val="0"/>
                <w:color w:val="auto"/>
                <w:spacing w:val="-6"/>
                <w:kern w:val="21"/>
                <w:szCs w:val="21"/>
              </w:rPr>
              <w:fldChar w:fldCharType="separate"/>
            </w:r>
            <w:r>
              <w:rPr>
                <w:rFonts w:hint="default" w:ascii="Times New Roman" w:hAnsi="Times New Roman" w:eastAsia="宋体" w:cs="Times New Roman"/>
                <w:color w:val="auto"/>
                <w:kern w:val="2"/>
                <w:szCs w:val="21"/>
              </w:rPr>
              <w:t>⑦</w:t>
            </w:r>
            <w:r>
              <w:rPr>
                <w:rFonts w:hint="default" w:ascii="Times New Roman" w:hAnsi="Times New Roman" w:eastAsia="宋体" w:cs="Times New Roman"/>
                <w:snapToGrid w:val="0"/>
                <w:color w:val="auto"/>
                <w:spacing w:val="-6"/>
                <w:kern w:val="21"/>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1588" w:type="dxa"/>
            <w:vMerge w:val="restart"/>
            <w:vAlign w:val="center"/>
          </w:tcPr>
          <w:p>
            <w:pPr>
              <w:pStyle w:val="38"/>
              <w:spacing w:beforeLines="0" w:afterLines="0" w:line="240" w:lineRule="auto"/>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废气</w:t>
            </w:r>
          </w:p>
        </w:tc>
        <w:tc>
          <w:tcPr>
            <w:tcW w:w="1417" w:type="dxa"/>
            <w:vAlign w:val="bottom"/>
          </w:tcPr>
          <w:p>
            <w:pPr>
              <w:keepNext w:val="0"/>
              <w:keepLines w:val="0"/>
              <w:widowControl/>
              <w:suppressLineNumbers w:val="0"/>
              <w:jc w:val="center"/>
              <w:textAlignment w:val="bottom"/>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i w:val="0"/>
                <w:iCs w:val="0"/>
                <w:color w:val="auto"/>
                <w:kern w:val="0"/>
                <w:sz w:val="21"/>
                <w:szCs w:val="21"/>
                <w:u w:val="none"/>
                <w:lang w:val="en-US" w:eastAsia="zh-CN" w:bidi="ar"/>
              </w:rPr>
              <w:t>非甲烷总烃</w:t>
            </w:r>
          </w:p>
        </w:tc>
        <w:tc>
          <w:tcPr>
            <w:tcW w:w="1701"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1276"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1701"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1559"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r>
              <w:rPr>
                <w:rFonts w:hint="eastAsia" w:cs="Times New Roman"/>
                <w:color w:val="auto"/>
                <w:szCs w:val="21"/>
                <w:lang w:val="en-US" w:eastAsia="zh-CN"/>
              </w:rPr>
              <w:t>4354</w:t>
            </w:r>
          </w:p>
        </w:tc>
        <w:tc>
          <w:tcPr>
            <w:tcW w:w="1761"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1539"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r>
              <w:rPr>
                <w:rFonts w:hint="eastAsia" w:cs="Times New Roman"/>
                <w:color w:val="auto"/>
                <w:szCs w:val="21"/>
                <w:lang w:val="en-US" w:eastAsia="zh-CN"/>
              </w:rPr>
              <w:t>4354</w:t>
            </w:r>
          </w:p>
        </w:tc>
        <w:tc>
          <w:tcPr>
            <w:tcW w:w="1246"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w:t>
            </w:r>
            <w:r>
              <w:rPr>
                <w:rFonts w:hint="default" w:ascii="Times New Roman" w:hAnsi="Times New Roman" w:eastAsia="宋体" w:cs="Times New Roman"/>
                <w:color w:val="auto"/>
                <w:szCs w:val="21"/>
                <w:lang w:val="en-US" w:eastAsia="zh-CN"/>
              </w:rPr>
              <w:t>0.</w:t>
            </w:r>
            <w:r>
              <w:rPr>
                <w:rFonts w:hint="eastAsia" w:cs="Times New Roman"/>
                <w:color w:val="auto"/>
                <w:szCs w:val="21"/>
                <w:lang w:val="en-US" w:eastAsia="zh-CN"/>
              </w:rPr>
              <w:t>4354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1588" w:type="dxa"/>
            <w:vMerge w:val="continue"/>
            <w:vAlign w:val="center"/>
          </w:tcPr>
          <w:p>
            <w:pPr>
              <w:pStyle w:val="38"/>
              <w:spacing w:beforeLines="0" w:afterLines="0" w:line="240" w:lineRule="auto"/>
              <w:rPr>
                <w:rFonts w:hint="default" w:ascii="Times New Roman" w:hAnsi="Times New Roman" w:eastAsia="宋体" w:cs="Times New Roman"/>
                <w:snapToGrid w:val="0"/>
                <w:color w:val="auto"/>
                <w:kern w:val="21"/>
                <w:szCs w:val="21"/>
              </w:rPr>
            </w:pPr>
          </w:p>
        </w:tc>
        <w:tc>
          <w:tcPr>
            <w:tcW w:w="1417" w:type="dxa"/>
            <w:vAlign w:val="bottom"/>
          </w:tcPr>
          <w:p>
            <w:pPr>
              <w:keepNext w:val="0"/>
              <w:keepLines w:val="0"/>
              <w:widowControl/>
              <w:suppressLineNumbers w:val="0"/>
              <w:jc w:val="center"/>
              <w:textAlignment w:val="bottom"/>
              <w:rPr>
                <w:rFonts w:hint="default" w:ascii="Times New Roman" w:hAnsi="Times New Roman" w:eastAsia="宋体" w:cs="Times New Roman"/>
                <w:snapToGrid w:val="0"/>
                <w:color w:val="auto"/>
                <w:kern w:val="21"/>
                <w:szCs w:val="21"/>
                <w:vertAlign w:val="subscript"/>
              </w:rPr>
            </w:pPr>
            <w:r>
              <w:rPr>
                <w:rFonts w:hint="default" w:ascii="Times New Roman" w:hAnsi="Times New Roman" w:eastAsia="宋体" w:cs="Times New Roman"/>
                <w:i w:val="0"/>
                <w:iCs w:val="0"/>
                <w:color w:val="auto"/>
                <w:kern w:val="0"/>
                <w:sz w:val="21"/>
                <w:szCs w:val="21"/>
                <w:u w:val="none"/>
                <w:lang w:val="en-US" w:eastAsia="zh-CN" w:bidi="ar"/>
              </w:rPr>
              <w:t>NO</w:t>
            </w:r>
            <w:r>
              <w:rPr>
                <w:rStyle w:val="82"/>
                <w:rFonts w:hint="default" w:ascii="Times New Roman" w:hAnsi="Times New Roman" w:eastAsia="宋体" w:cs="Times New Roman"/>
                <w:color w:val="auto"/>
                <w:lang w:val="en-US" w:eastAsia="zh-CN" w:bidi="ar"/>
              </w:rPr>
              <w:t>X</w:t>
            </w:r>
          </w:p>
        </w:tc>
        <w:tc>
          <w:tcPr>
            <w:tcW w:w="1701"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1276"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1701"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1559"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0.0909</w:t>
            </w:r>
          </w:p>
        </w:tc>
        <w:tc>
          <w:tcPr>
            <w:tcW w:w="1761"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1539" w:type="dxa"/>
            <w:vAlign w:val="center"/>
          </w:tcPr>
          <w:p>
            <w:pPr>
              <w:widowControl/>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0.0909</w:t>
            </w:r>
          </w:p>
        </w:tc>
        <w:tc>
          <w:tcPr>
            <w:tcW w:w="1246"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w:t>
            </w:r>
            <w:r>
              <w:rPr>
                <w:rFonts w:hint="default" w:ascii="Times New Roman" w:hAnsi="Times New Roman" w:eastAsia="宋体" w:cs="Times New Roman"/>
                <w:color w:val="auto"/>
                <w:szCs w:val="21"/>
                <w:lang w:val="en-US" w:eastAsia="zh-CN"/>
              </w:rPr>
              <w:t>0.0909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1588" w:type="dxa"/>
            <w:vMerge w:val="continue"/>
            <w:vAlign w:val="center"/>
          </w:tcPr>
          <w:p>
            <w:pPr>
              <w:pStyle w:val="38"/>
              <w:spacing w:beforeLines="0" w:afterLines="0" w:line="240" w:lineRule="auto"/>
              <w:rPr>
                <w:rFonts w:hint="default" w:ascii="Times New Roman" w:hAnsi="Times New Roman" w:eastAsia="宋体" w:cs="Times New Roman"/>
                <w:snapToGrid w:val="0"/>
                <w:color w:val="auto"/>
                <w:kern w:val="21"/>
                <w:szCs w:val="21"/>
              </w:rPr>
            </w:pPr>
          </w:p>
        </w:tc>
        <w:tc>
          <w:tcPr>
            <w:tcW w:w="1417" w:type="dxa"/>
            <w:vAlign w:val="bottom"/>
          </w:tcPr>
          <w:p>
            <w:pPr>
              <w:keepNext w:val="0"/>
              <w:keepLines w:val="0"/>
              <w:widowControl/>
              <w:suppressLineNumbers w:val="0"/>
              <w:jc w:val="center"/>
              <w:textAlignment w:val="bottom"/>
              <w:rPr>
                <w:rFonts w:hint="default" w:ascii="Times New Roman" w:hAnsi="Times New Roman" w:eastAsia="宋体" w:cs="Times New Roman"/>
                <w:snapToGrid w:val="0"/>
                <w:color w:val="auto"/>
                <w:kern w:val="21"/>
                <w:szCs w:val="21"/>
                <w:vertAlign w:val="subscript"/>
              </w:rPr>
            </w:pPr>
            <w:r>
              <w:rPr>
                <w:rFonts w:hint="default" w:ascii="Times New Roman" w:hAnsi="Times New Roman" w:eastAsia="宋体" w:cs="Times New Roman"/>
                <w:i w:val="0"/>
                <w:iCs w:val="0"/>
                <w:color w:val="auto"/>
                <w:kern w:val="0"/>
                <w:sz w:val="21"/>
                <w:szCs w:val="21"/>
                <w:u w:val="none"/>
                <w:lang w:val="en-US" w:eastAsia="zh-CN" w:bidi="ar"/>
              </w:rPr>
              <w:t>颗粒物</w:t>
            </w:r>
          </w:p>
        </w:tc>
        <w:tc>
          <w:tcPr>
            <w:tcW w:w="1701"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1276"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1701"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1559"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0.0</w:t>
            </w:r>
            <w:r>
              <w:rPr>
                <w:rFonts w:hint="eastAsia" w:cs="Times New Roman"/>
                <w:color w:val="auto"/>
                <w:szCs w:val="21"/>
                <w:lang w:val="en-US" w:eastAsia="zh-CN"/>
              </w:rPr>
              <w:t>7</w:t>
            </w:r>
            <w:r>
              <w:rPr>
                <w:rFonts w:hint="default" w:ascii="Times New Roman" w:hAnsi="Times New Roman" w:eastAsia="宋体" w:cs="Times New Roman"/>
                <w:color w:val="auto"/>
                <w:szCs w:val="21"/>
                <w:lang w:val="en-US" w:eastAsia="zh-CN"/>
              </w:rPr>
              <w:t>2</w:t>
            </w:r>
          </w:p>
        </w:tc>
        <w:tc>
          <w:tcPr>
            <w:tcW w:w="1761"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1539" w:type="dxa"/>
            <w:vAlign w:val="center"/>
          </w:tcPr>
          <w:p>
            <w:pPr>
              <w:widowControl/>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0.0</w:t>
            </w:r>
            <w:r>
              <w:rPr>
                <w:rFonts w:hint="eastAsia" w:cs="Times New Roman"/>
                <w:color w:val="auto"/>
                <w:szCs w:val="21"/>
                <w:lang w:val="en-US" w:eastAsia="zh-CN"/>
              </w:rPr>
              <w:t>7</w:t>
            </w:r>
            <w:r>
              <w:rPr>
                <w:rFonts w:hint="default" w:ascii="Times New Roman" w:hAnsi="Times New Roman" w:eastAsia="宋体" w:cs="Times New Roman"/>
                <w:color w:val="auto"/>
                <w:szCs w:val="21"/>
                <w:lang w:val="en-US" w:eastAsia="zh-CN"/>
              </w:rPr>
              <w:t>2</w:t>
            </w:r>
          </w:p>
        </w:tc>
        <w:tc>
          <w:tcPr>
            <w:tcW w:w="1246"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w:t>
            </w:r>
            <w:r>
              <w:rPr>
                <w:rFonts w:hint="default" w:ascii="Times New Roman" w:hAnsi="Times New Roman" w:eastAsia="宋体" w:cs="Times New Roman"/>
                <w:color w:val="auto"/>
                <w:szCs w:val="21"/>
                <w:lang w:val="en-US" w:eastAsia="zh-CN"/>
              </w:rPr>
              <w:t>0.0</w:t>
            </w:r>
            <w:r>
              <w:rPr>
                <w:rFonts w:hint="eastAsia" w:cs="Times New Roman"/>
                <w:color w:val="auto"/>
                <w:szCs w:val="21"/>
                <w:lang w:val="en-US" w:eastAsia="zh-CN"/>
              </w:rPr>
              <w:t>7</w:t>
            </w:r>
            <w:r>
              <w:rPr>
                <w:rFonts w:hint="default" w:ascii="Times New Roman" w:hAnsi="Times New Roman" w:eastAsia="宋体" w:cs="Times New Roman"/>
                <w:color w:val="auto"/>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1588" w:type="dxa"/>
            <w:vMerge w:val="continue"/>
            <w:vAlign w:val="center"/>
          </w:tcPr>
          <w:p>
            <w:pPr>
              <w:pStyle w:val="38"/>
              <w:spacing w:beforeLines="0" w:afterLines="0" w:line="240" w:lineRule="auto"/>
              <w:rPr>
                <w:rFonts w:hint="default" w:ascii="Times New Roman" w:hAnsi="Times New Roman" w:eastAsia="宋体" w:cs="Times New Roman"/>
                <w:snapToGrid w:val="0"/>
                <w:color w:val="auto"/>
                <w:kern w:val="21"/>
                <w:szCs w:val="21"/>
              </w:rPr>
            </w:pPr>
          </w:p>
        </w:tc>
        <w:tc>
          <w:tcPr>
            <w:tcW w:w="1417" w:type="dxa"/>
            <w:vAlign w:val="bottom"/>
          </w:tcPr>
          <w:p>
            <w:pPr>
              <w:keepNext w:val="0"/>
              <w:keepLines w:val="0"/>
              <w:widowControl/>
              <w:suppressLineNumbers w:val="0"/>
              <w:jc w:val="center"/>
              <w:textAlignment w:val="bottom"/>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SO</w:t>
            </w:r>
            <w:r>
              <w:rPr>
                <w:rStyle w:val="82"/>
                <w:rFonts w:hint="default" w:ascii="Times New Roman" w:hAnsi="Times New Roman" w:eastAsia="宋体" w:cs="Times New Roman"/>
                <w:color w:val="auto"/>
                <w:lang w:val="en-US" w:eastAsia="zh-CN" w:bidi="ar"/>
              </w:rPr>
              <w:t>2</w:t>
            </w:r>
          </w:p>
        </w:tc>
        <w:tc>
          <w:tcPr>
            <w:tcW w:w="1701" w:type="dxa"/>
            <w:vAlign w:val="center"/>
          </w:tcPr>
          <w:p>
            <w:pPr>
              <w:widowControl/>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0</w:t>
            </w:r>
          </w:p>
        </w:tc>
        <w:tc>
          <w:tcPr>
            <w:tcW w:w="1276" w:type="dxa"/>
            <w:vAlign w:val="center"/>
          </w:tcPr>
          <w:p>
            <w:pPr>
              <w:widowControl/>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0</w:t>
            </w:r>
          </w:p>
        </w:tc>
        <w:tc>
          <w:tcPr>
            <w:tcW w:w="1701" w:type="dxa"/>
            <w:vAlign w:val="center"/>
          </w:tcPr>
          <w:p>
            <w:pPr>
              <w:widowControl/>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0</w:t>
            </w:r>
          </w:p>
        </w:tc>
        <w:tc>
          <w:tcPr>
            <w:tcW w:w="1559" w:type="dxa"/>
            <w:vAlign w:val="center"/>
          </w:tcPr>
          <w:p>
            <w:pPr>
              <w:widowControl/>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0.</w:t>
            </w:r>
            <w:r>
              <w:rPr>
                <w:rFonts w:hint="eastAsia" w:cs="Times New Roman"/>
                <w:color w:val="auto"/>
                <w:szCs w:val="21"/>
                <w:lang w:val="en-US" w:eastAsia="zh-CN"/>
              </w:rPr>
              <w:t>12</w:t>
            </w:r>
          </w:p>
        </w:tc>
        <w:tc>
          <w:tcPr>
            <w:tcW w:w="1761" w:type="dxa"/>
            <w:vAlign w:val="center"/>
          </w:tcPr>
          <w:p>
            <w:pPr>
              <w:widowControl/>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0</w:t>
            </w:r>
          </w:p>
        </w:tc>
        <w:tc>
          <w:tcPr>
            <w:tcW w:w="1539" w:type="dxa"/>
            <w:vAlign w:val="center"/>
          </w:tcPr>
          <w:p>
            <w:pPr>
              <w:widowControl/>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0.</w:t>
            </w:r>
            <w:r>
              <w:rPr>
                <w:rFonts w:hint="eastAsia" w:cs="Times New Roman"/>
                <w:color w:val="auto"/>
                <w:szCs w:val="21"/>
                <w:lang w:val="en-US" w:eastAsia="zh-CN"/>
              </w:rPr>
              <w:t>12</w:t>
            </w:r>
          </w:p>
        </w:tc>
        <w:tc>
          <w:tcPr>
            <w:tcW w:w="1246" w:type="dxa"/>
            <w:vAlign w:val="center"/>
          </w:tcPr>
          <w:p>
            <w:pPr>
              <w:widowControl/>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w:t>
            </w:r>
            <w:r>
              <w:rPr>
                <w:rFonts w:hint="default" w:ascii="Times New Roman" w:hAnsi="Times New Roman" w:eastAsia="宋体" w:cs="Times New Roman"/>
                <w:color w:val="auto"/>
                <w:szCs w:val="21"/>
                <w:lang w:val="en-US" w:eastAsia="zh-CN"/>
              </w:rPr>
              <w:t>0.</w:t>
            </w:r>
            <w:r>
              <w:rPr>
                <w:rFonts w:hint="eastAsia" w:cs="Times New Roman"/>
                <w:color w:val="auto"/>
                <w:szCs w:val="21"/>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1588" w:type="dxa"/>
            <w:vMerge w:val="restart"/>
            <w:vAlign w:val="center"/>
          </w:tcPr>
          <w:p>
            <w:pPr>
              <w:pStyle w:val="38"/>
              <w:spacing w:beforeLines="0" w:afterLines="0" w:line="240" w:lineRule="auto"/>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废水</w:t>
            </w:r>
          </w:p>
        </w:tc>
        <w:tc>
          <w:tcPr>
            <w:tcW w:w="1417" w:type="dxa"/>
            <w:vAlign w:val="center"/>
          </w:tcPr>
          <w:p>
            <w:pPr>
              <w:pStyle w:val="38"/>
              <w:spacing w:beforeLines="0" w:afterLines="0" w:line="240" w:lineRule="auto"/>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水量</w:t>
            </w:r>
          </w:p>
        </w:tc>
        <w:tc>
          <w:tcPr>
            <w:tcW w:w="1701" w:type="dxa"/>
            <w:vAlign w:val="bottom"/>
          </w:tcPr>
          <w:p>
            <w:pPr>
              <w:widowControl/>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600</w:t>
            </w:r>
          </w:p>
        </w:tc>
        <w:tc>
          <w:tcPr>
            <w:tcW w:w="1276"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1701"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1559"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1961.9</w:t>
            </w:r>
          </w:p>
        </w:tc>
        <w:tc>
          <w:tcPr>
            <w:tcW w:w="1761"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-600</w:t>
            </w:r>
          </w:p>
        </w:tc>
        <w:tc>
          <w:tcPr>
            <w:tcW w:w="1539"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2561.9</w:t>
            </w:r>
          </w:p>
        </w:tc>
        <w:tc>
          <w:tcPr>
            <w:tcW w:w="1246"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r>
              <w:rPr>
                <w:rFonts w:hint="eastAsia"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1961.9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1588" w:type="dxa"/>
            <w:vMerge w:val="continue"/>
            <w:vAlign w:val="center"/>
          </w:tcPr>
          <w:p>
            <w:pPr>
              <w:pStyle w:val="38"/>
              <w:spacing w:beforeLines="0" w:afterLines="0" w:line="240" w:lineRule="auto"/>
              <w:rPr>
                <w:rFonts w:hint="default" w:ascii="Times New Roman" w:hAnsi="Times New Roman" w:eastAsia="宋体" w:cs="Times New Roman"/>
                <w:snapToGrid w:val="0"/>
                <w:color w:val="auto"/>
                <w:kern w:val="21"/>
                <w:szCs w:val="21"/>
              </w:rPr>
            </w:pPr>
          </w:p>
        </w:tc>
        <w:tc>
          <w:tcPr>
            <w:tcW w:w="1417" w:type="dxa"/>
            <w:vAlign w:val="bottom"/>
          </w:tcPr>
          <w:p>
            <w:pPr>
              <w:pStyle w:val="38"/>
              <w:spacing w:beforeLines="0" w:afterLines="0" w:line="240" w:lineRule="auto"/>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lang w:val="en-US" w:eastAsia="zh-CN"/>
              </w:rPr>
              <w:t>COD</w:t>
            </w:r>
          </w:p>
        </w:tc>
        <w:tc>
          <w:tcPr>
            <w:tcW w:w="1701"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0.24</w:t>
            </w:r>
          </w:p>
        </w:tc>
        <w:tc>
          <w:tcPr>
            <w:tcW w:w="1276"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1701"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1559"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0.91895</w:t>
            </w:r>
          </w:p>
        </w:tc>
        <w:tc>
          <w:tcPr>
            <w:tcW w:w="1761"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-0.24</w:t>
            </w:r>
          </w:p>
        </w:tc>
        <w:tc>
          <w:tcPr>
            <w:tcW w:w="1539"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1.15895</w:t>
            </w:r>
          </w:p>
        </w:tc>
        <w:tc>
          <w:tcPr>
            <w:tcW w:w="1246"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r>
              <w:rPr>
                <w:rFonts w:hint="eastAsia"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0.91895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1588" w:type="dxa"/>
            <w:vMerge w:val="continue"/>
            <w:vAlign w:val="center"/>
          </w:tcPr>
          <w:p>
            <w:pPr>
              <w:pStyle w:val="38"/>
              <w:spacing w:beforeLines="0" w:afterLines="0" w:line="240" w:lineRule="auto"/>
              <w:rPr>
                <w:rFonts w:hint="default" w:ascii="Times New Roman" w:hAnsi="Times New Roman" w:eastAsia="宋体" w:cs="Times New Roman"/>
                <w:snapToGrid w:val="0"/>
                <w:color w:val="auto"/>
                <w:kern w:val="21"/>
                <w:szCs w:val="21"/>
              </w:rPr>
            </w:pPr>
          </w:p>
        </w:tc>
        <w:tc>
          <w:tcPr>
            <w:tcW w:w="1417" w:type="dxa"/>
            <w:vAlign w:val="bottom"/>
          </w:tcPr>
          <w:p>
            <w:pPr>
              <w:pStyle w:val="38"/>
              <w:spacing w:beforeLines="0" w:afterLines="0" w:line="240" w:lineRule="auto"/>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lang w:val="en-US" w:eastAsia="zh-CN"/>
              </w:rPr>
              <w:t>SS</w:t>
            </w:r>
          </w:p>
        </w:tc>
        <w:tc>
          <w:tcPr>
            <w:tcW w:w="1701"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0.18</w:t>
            </w:r>
          </w:p>
        </w:tc>
        <w:tc>
          <w:tcPr>
            <w:tcW w:w="1276"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1701"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1559"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0.60216</w:t>
            </w:r>
          </w:p>
        </w:tc>
        <w:tc>
          <w:tcPr>
            <w:tcW w:w="1761"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-0.18</w:t>
            </w:r>
          </w:p>
        </w:tc>
        <w:tc>
          <w:tcPr>
            <w:tcW w:w="1539"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0.78216</w:t>
            </w:r>
          </w:p>
        </w:tc>
        <w:tc>
          <w:tcPr>
            <w:tcW w:w="1246"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r>
              <w:rPr>
                <w:rFonts w:hint="eastAsia"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0.60216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1588" w:type="dxa"/>
            <w:vMerge w:val="continue"/>
            <w:vAlign w:val="center"/>
          </w:tcPr>
          <w:p>
            <w:pPr>
              <w:pStyle w:val="38"/>
              <w:spacing w:beforeLines="0" w:afterLines="0" w:line="240" w:lineRule="auto"/>
              <w:rPr>
                <w:rFonts w:hint="default" w:ascii="Times New Roman" w:hAnsi="Times New Roman" w:eastAsia="宋体" w:cs="Times New Roman"/>
                <w:snapToGrid w:val="0"/>
                <w:color w:val="auto"/>
                <w:kern w:val="21"/>
                <w:szCs w:val="21"/>
              </w:rPr>
            </w:pPr>
          </w:p>
        </w:tc>
        <w:tc>
          <w:tcPr>
            <w:tcW w:w="1417" w:type="dxa"/>
            <w:vAlign w:val="bottom"/>
          </w:tcPr>
          <w:p>
            <w:pPr>
              <w:pStyle w:val="38"/>
              <w:spacing w:beforeLines="0" w:afterLines="0" w:line="240" w:lineRule="auto"/>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lang w:val="en-US" w:eastAsia="zh-CN"/>
              </w:rPr>
              <w:t>氨氮</w:t>
            </w:r>
          </w:p>
        </w:tc>
        <w:tc>
          <w:tcPr>
            <w:tcW w:w="1701"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0.015</w:t>
            </w:r>
          </w:p>
        </w:tc>
        <w:tc>
          <w:tcPr>
            <w:tcW w:w="1276"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1701"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1559"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0.018</w:t>
            </w:r>
          </w:p>
        </w:tc>
        <w:tc>
          <w:tcPr>
            <w:tcW w:w="1761"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-0.015</w:t>
            </w:r>
          </w:p>
        </w:tc>
        <w:tc>
          <w:tcPr>
            <w:tcW w:w="1539"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0.033</w:t>
            </w:r>
          </w:p>
        </w:tc>
        <w:tc>
          <w:tcPr>
            <w:tcW w:w="1246"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r>
              <w:rPr>
                <w:rFonts w:hint="eastAsia"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0.018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1588" w:type="dxa"/>
            <w:vMerge w:val="continue"/>
            <w:vAlign w:val="center"/>
          </w:tcPr>
          <w:p>
            <w:pPr>
              <w:pStyle w:val="38"/>
              <w:spacing w:beforeLines="0" w:afterLines="0" w:line="240" w:lineRule="auto"/>
              <w:rPr>
                <w:rFonts w:hint="default" w:ascii="Times New Roman" w:hAnsi="Times New Roman" w:eastAsia="宋体" w:cs="Times New Roman"/>
                <w:snapToGrid w:val="0"/>
                <w:color w:val="auto"/>
                <w:kern w:val="21"/>
                <w:szCs w:val="21"/>
              </w:rPr>
            </w:pPr>
          </w:p>
        </w:tc>
        <w:tc>
          <w:tcPr>
            <w:tcW w:w="1417" w:type="dxa"/>
            <w:vAlign w:val="bottom"/>
          </w:tcPr>
          <w:p>
            <w:pPr>
              <w:pStyle w:val="38"/>
              <w:spacing w:beforeLines="0" w:afterLines="0" w:line="240" w:lineRule="auto"/>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lang w:val="en-US" w:eastAsia="zh-CN"/>
              </w:rPr>
              <w:t>TP</w:t>
            </w:r>
          </w:p>
        </w:tc>
        <w:tc>
          <w:tcPr>
            <w:tcW w:w="1701"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0.003</w:t>
            </w:r>
          </w:p>
        </w:tc>
        <w:tc>
          <w:tcPr>
            <w:tcW w:w="1276"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1701"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1559"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0.0036</w:t>
            </w:r>
          </w:p>
        </w:tc>
        <w:tc>
          <w:tcPr>
            <w:tcW w:w="1761"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-0.003</w:t>
            </w:r>
          </w:p>
        </w:tc>
        <w:tc>
          <w:tcPr>
            <w:tcW w:w="1539"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0.0066</w:t>
            </w:r>
          </w:p>
        </w:tc>
        <w:tc>
          <w:tcPr>
            <w:tcW w:w="1246"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r>
              <w:rPr>
                <w:rFonts w:hint="eastAsia"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0.0036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1588" w:type="dxa"/>
            <w:vMerge w:val="continue"/>
            <w:vAlign w:val="center"/>
          </w:tcPr>
          <w:p>
            <w:pPr>
              <w:pStyle w:val="38"/>
              <w:spacing w:beforeLines="0" w:afterLines="0" w:line="240" w:lineRule="auto"/>
              <w:rPr>
                <w:rFonts w:hint="default" w:ascii="Times New Roman" w:hAnsi="Times New Roman" w:eastAsia="宋体" w:cs="Times New Roman"/>
                <w:snapToGrid w:val="0"/>
                <w:color w:val="auto"/>
                <w:kern w:val="21"/>
                <w:szCs w:val="21"/>
              </w:rPr>
            </w:pPr>
          </w:p>
        </w:tc>
        <w:tc>
          <w:tcPr>
            <w:tcW w:w="1417" w:type="dxa"/>
            <w:vAlign w:val="bottom"/>
          </w:tcPr>
          <w:p>
            <w:pPr>
              <w:pStyle w:val="38"/>
              <w:spacing w:beforeLines="0" w:afterLines="0" w:line="240" w:lineRule="auto"/>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lang w:val="en-US" w:eastAsia="zh-CN"/>
              </w:rPr>
              <w:t>TN</w:t>
            </w:r>
          </w:p>
        </w:tc>
        <w:tc>
          <w:tcPr>
            <w:tcW w:w="1701"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0.03</w:t>
            </w:r>
          </w:p>
        </w:tc>
        <w:tc>
          <w:tcPr>
            <w:tcW w:w="1276"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1701"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1559"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0.036</w:t>
            </w:r>
          </w:p>
        </w:tc>
        <w:tc>
          <w:tcPr>
            <w:tcW w:w="1761"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-0.03</w:t>
            </w:r>
          </w:p>
        </w:tc>
        <w:tc>
          <w:tcPr>
            <w:tcW w:w="1539"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0.066</w:t>
            </w:r>
          </w:p>
        </w:tc>
        <w:tc>
          <w:tcPr>
            <w:tcW w:w="1246"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r>
              <w:rPr>
                <w:rFonts w:hint="eastAsia"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0.036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1588" w:type="dxa"/>
            <w:vMerge w:val="continue"/>
            <w:vAlign w:val="center"/>
          </w:tcPr>
          <w:p>
            <w:pPr>
              <w:pStyle w:val="38"/>
              <w:spacing w:beforeLines="0" w:afterLines="0" w:line="240" w:lineRule="auto"/>
              <w:rPr>
                <w:rFonts w:hint="default" w:ascii="Times New Roman" w:hAnsi="Times New Roman" w:eastAsia="宋体" w:cs="Times New Roman"/>
                <w:snapToGrid w:val="0"/>
                <w:color w:val="auto"/>
                <w:kern w:val="21"/>
                <w:szCs w:val="21"/>
              </w:rPr>
            </w:pPr>
          </w:p>
        </w:tc>
        <w:tc>
          <w:tcPr>
            <w:tcW w:w="1417" w:type="dxa"/>
            <w:vAlign w:val="bottom"/>
          </w:tcPr>
          <w:p>
            <w:pPr>
              <w:pStyle w:val="38"/>
              <w:spacing w:beforeLines="0" w:afterLines="0" w:line="240" w:lineRule="auto"/>
              <w:rPr>
                <w:rFonts w:hint="default" w:ascii="Times New Roman" w:hAnsi="Times New Roman" w:eastAsia="宋体" w:cs="Times New Roman"/>
                <w:snapToGrid w:val="0"/>
                <w:color w:val="auto"/>
                <w:kern w:val="21"/>
                <w:szCs w:val="21"/>
                <w:lang w:val="en-US" w:eastAsia="zh-CN"/>
              </w:rPr>
            </w:pPr>
            <w:r>
              <w:rPr>
                <w:rFonts w:hint="eastAsia" w:ascii="Times New Roman" w:cs="Times New Roman"/>
                <w:snapToGrid w:val="0"/>
                <w:color w:val="auto"/>
                <w:kern w:val="21"/>
                <w:szCs w:val="21"/>
                <w:lang w:val="en-US" w:eastAsia="zh-CN"/>
              </w:rPr>
              <w:t>石油类</w:t>
            </w:r>
          </w:p>
        </w:tc>
        <w:tc>
          <w:tcPr>
            <w:tcW w:w="1701"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1276"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p>
        </w:tc>
        <w:tc>
          <w:tcPr>
            <w:tcW w:w="1701"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p>
        </w:tc>
        <w:tc>
          <w:tcPr>
            <w:tcW w:w="1559"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0.0011385</w:t>
            </w:r>
          </w:p>
        </w:tc>
        <w:tc>
          <w:tcPr>
            <w:tcW w:w="1761" w:type="dxa"/>
            <w:vAlign w:val="center"/>
          </w:tcPr>
          <w:p>
            <w:pPr>
              <w:keepNext w:val="0"/>
              <w:keepLines w:val="0"/>
              <w:widowControl/>
              <w:suppressLineNumbers w:val="0"/>
              <w:jc w:val="center"/>
              <w:textAlignment w:val="center"/>
              <w:rPr>
                <w:rFonts w:hint="eastAsia"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w:t>
            </w:r>
          </w:p>
        </w:tc>
        <w:tc>
          <w:tcPr>
            <w:tcW w:w="1539"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0.0011385</w:t>
            </w:r>
          </w:p>
        </w:tc>
        <w:tc>
          <w:tcPr>
            <w:tcW w:w="1246" w:type="dxa"/>
            <w:vAlign w:val="center"/>
          </w:tcPr>
          <w:p>
            <w:pPr>
              <w:keepNext w:val="0"/>
              <w:keepLines w:val="0"/>
              <w:widowControl/>
              <w:suppressLineNumbers w:val="0"/>
              <w:jc w:val="center"/>
              <w:textAlignment w:val="center"/>
              <w:rPr>
                <w:rFonts w:hint="eastAsia" w:cs="Times New Roman"/>
                <w:color w:val="auto"/>
                <w:szCs w:val="21"/>
                <w:lang w:val="en-US" w:eastAsia="zh-CN"/>
              </w:rPr>
            </w:pPr>
            <w:r>
              <w:rPr>
                <w:rFonts w:hint="eastAsia"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0.0011385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1588" w:type="dxa"/>
            <w:vMerge w:val="restart"/>
            <w:vAlign w:val="center"/>
          </w:tcPr>
          <w:p>
            <w:pPr>
              <w:pStyle w:val="38"/>
              <w:spacing w:beforeLines="0" w:afterLines="0" w:line="240" w:lineRule="auto"/>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一般工业</w:t>
            </w:r>
          </w:p>
          <w:p>
            <w:pPr>
              <w:pStyle w:val="38"/>
              <w:spacing w:before="24" w:after="24"/>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固体废物</w:t>
            </w:r>
          </w:p>
        </w:tc>
        <w:tc>
          <w:tcPr>
            <w:tcW w:w="1417" w:type="dxa"/>
            <w:vAlign w:val="center"/>
          </w:tcPr>
          <w:p>
            <w:pPr>
              <w:adjustRightInd w:val="0"/>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边角料</w:t>
            </w:r>
          </w:p>
        </w:tc>
        <w:tc>
          <w:tcPr>
            <w:tcW w:w="1701"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10</w:t>
            </w:r>
          </w:p>
        </w:tc>
        <w:tc>
          <w:tcPr>
            <w:tcW w:w="1276"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1701"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1559"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1761"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-10</w:t>
            </w:r>
          </w:p>
        </w:tc>
        <w:tc>
          <w:tcPr>
            <w:tcW w:w="1539"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10</w:t>
            </w:r>
          </w:p>
        </w:tc>
        <w:tc>
          <w:tcPr>
            <w:tcW w:w="1246"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1588" w:type="dxa"/>
            <w:vMerge w:val="continue"/>
            <w:vAlign w:val="center"/>
          </w:tcPr>
          <w:p>
            <w:pPr>
              <w:pStyle w:val="38"/>
              <w:spacing w:beforeLines="0" w:afterLines="0" w:line="240" w:lineRule="auto"/>
              <w:rPr>
                <w:rFonts w:hint="default" w:ascii="Times New Roman" w:hAnsi="Times New Roman" w:eastAsia="宋体" w:cs="Times New Roman"/>
                <w:snapToGrid w:val="0"/>
                <w:color w:val="auto"/>
                <w:kern w:val="21"/>
                <w:szCs w:val="21"/>
              </w:rPr>
            </w:pPr>
          </w:p>
        </w:tc>
        <w:tc>
          <w:tcPr>
            <w:tcW w:w="1417" w:type="dxa"/>
            <w:vAlign w:val="center"/>
          </w:tcPr>
          <w:p>
            <w:pPr>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val="en-US" w:eastAsia="zh-CN"/>
              </w:rPr>
              <w:t>焊渣</w:t>
            </w:r>
          </w:p>
        </w:tc>
        <w:tc>
          <w:tcPr>
            <w:tcW w:w="1701"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0.1</w:t>
            </w:r>
          </w:p>
        </w:tc>
        <w:tc>
          <w:tcPr>
            <w:tcW w:w="1276"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1701"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1559"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1761"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-0.1</w:t>
            </w:r>
          </w:p>
        </w:tc>
        <w:tc>
          <w:tcPr>
            <w:tcW w:w="1539"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0.1</w:t>
            </w:r>
          </w:p>
        </w:tc>
        <w:tc>
          <w:tcPr>
            <w:tcW w:w="1246"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1588" w:type="dxa"/>
            <w:vMerge w:val="restart"/>
            <w:vAlign w:val="center"/>
          </w:tcPr>
          <w:p>
            <w:pPr>
              <w:pStyle w:val="38"/>
              <w:spacing w:beforeLines="0" w:afterLines="0" w:line="240" w:lineRule="auto"/>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危险废物</w:t>
            </w:r>
          </w:p>
        </w:tc>
        <w:tc>
          <w:tcPr>
            <w:tcW w:w="1417" w:type="dxa"/>
            <w:vAlign w:val="bottom"/>
          </w:tcPr>
          <w:p>
            <w:pPr>
              <w:keepNext w:val="0"/>
              <w:keepLines w:val="0"/>
              <w:widowControl/>
              <w:suppressLineNumbers w:val="0"/>
              <w:jc w:val="center"/>
              <w:textAlignment w:val="bottom"/>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陶化槽液</w:t>
            </w:r>
          </w:p>
        </w:tc>
        <w:tc>
          <w:tcPr>
            <w:tcW w:w="1701"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w:t>
            </w:r>
          </w:p>
        </w:tc>
        <w:tc>
          <w:tcPr>
            <w:tcW w:w="1276"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w:t>
            </w:r>
          </w:p>
        </w:tc>
        <w:tc>
          <w:tcPr>
            <w:tcW w:w="1701"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w:t>
            </w:r>
          </w:p>
        </w:tc>
        <w:tc>
          <w:tcPr>
            <w:tcW w:w="1559"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15</w:t>
            </w:r>
          </w:p>
        </w:tc>
        <w:tc>
          <w:tcPr>
            <w:tcW w:w="1761"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w:t>
            </w:r>
          </w:p>
        </w:tc>
        <w:tc>
          <w:tcPr>
            <w:tcW w:w="1539" w:type="dxa"/>
            <w:vAlign w:val="center"/>
          </w:tcPr>
          <w:p>
            <w:pPr>
              <w:widowControl/>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15</w:t>
            </w:r>
          </w:p>
        </w:tc>
        <w:tc>
          <w:tcPr>
            <w:tcW w:w="1246" w:type="dxa"/>
            <w:vAlign w:val="center"/>
          </w:tcPr>
          <w:p>
            <w:pPr>
              <w:widowControl/>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1588" w:type="dxa"/>
            <w:vMerge w:val="continue"/>
            <w:vAlign w:val="center"/>
          </w:tcPr>
          <w:p>
            <w:pPr>
              <w:pStyle w:val="38"/>
              <w:spacing w:beforeLines="0" w:afterLines="0" w:line="240" w:lineRule="auto"/>
              <w:rPr>
                <w:rFonts w:hint="default" w:ascii="Times New Roman" w:hAnsi="Times New Roman" w:eastAsia="宋体" w:cs="Times New Roman"/>
                <w:snapToGrid w:val="0"/>
                <w:color w:val="auto"/>
                <w:kern w:val="21"/>
                <w:szCs w:val="21"/>
              </w:rPr>
            </w:pPr>
          </w:p>
        </w:tc>
        <w:tc>
          <w:tcPr>
            <w:tcW w:w="1417" w:type="dxa"/>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陶化槽渣</w:t>
            </w:r>
          </w:p>
        </w:tc>
        <w:tc>
          <w:tcPr>
            <w:tcW w:w="1701"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w:t>
            </w:r>
          </w:p>
        </w:tc>
        <w:tc>
          <w:tcPr>
            <w:tcW w:w="1276"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w:t>
            </w:r>
          </w:p>
        </w:tc>
        <w:tc>
          <w:tcPr>
            <w:tcW w:w="1701"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w:t>
            </w:r>
          </w:p>
        </w:tc>
        <w:tc>
          <w:tcPr>
            <w:tcW w:w="1559"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0.5</w:t>
            </w:r>
          </w:p>
        </w:tc>
        <w:tc>
          <w:tcPr>
            <w:tcW w:w="1761"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w:t>
            </w:r>
          </w:p>
        </w:tc>
        <w:tc>
          <w:tcPr>
            <w:tcW w:w="1539" w:type="dxa"/>
            <w:vAlign w:val="center"/>
          </w:tcPr>
          <w:p>
            <w:pPr>
              <w:widowControl/>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0.5</w:t>
            </w:r>
          </w:p>
        </w:tc>
        <w:tc>
          <w:tcPr>
            <w:tcW w:w="1246" w:type="dxa"/>
            <w:vAlign w:val="center"/>
          </w:tcPr>
          <w:p>
            <w:pPr>
              <w:widowControl/>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1588" w:type="dxa"/>
            <w:vMerge w:val="continue"/>
            <w:vAlign w:val="center"/>
          </w:tcPr>
          <w:p>
            <w:pPr>
              <w:pStyle w:val="38"/>
              <w:spacing w:beforeLines="0" w:afterLines="0" w:line="240" w:lineRule="auto"/>
              <w:rPr>
                <w:rFonts w:hint="default" w:ascii="Times New Roman" w:hAnsi="Times New Roman" w:eastAsia="宋体" w:cs="Times New Roman"/>
                <w:snapToGrid w:val="0"/>
                <w:color w:val="auto"/>
                <w:kern w:val="21"/>
                <w:szCs w:val="21"/>
              </w:rPr>
            </w:pPr>
          </w:p>
        </w:tc>
        <w:tc>
          <w:tcPr>
            <w:tcW w:w="1417" w:type="dxa"/>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漆渣</w:t>
            </w:r>
          </w:p>
        </w:tc>
        <w:tc>
          <w:tcPr>
            <w:tcW w:w="1701"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1276"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1701"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1559"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w:t>
            </w:r>
          </w:p>
        </w:tc>
        <w:tc>
          <w:tcPr>
            <w:tcW w:w="1761"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1539"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w:t>
            </w:r>
          </w:p>
        </w:tc>
        <w:tc>
          <w:tcPr>
            <w:tcW w:w="1246"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1588" w:type="dxa"/>
            <w:vMerge w:val="continue"/>
            <w:vAlign w:val="center"/>
          </w:tcPr>
          <w:p>
            <w:pPr>
              <w:pStyle w:val="38"/>
              <w:spacing w:beforeLines="0" w:afterLines="0" w:line="240" w:lineRule="auto"/>
              <w:rPr>
                <w:rFonts w:hint="default" w:ascii="Times New Roman" w:hAnsi="Times New Roman" w:eastAsia="宋体" w:cs="Times New Roman"/>
                <w:snapToGrid w:val="0"/>
                <w:color w:val="auto"/>
                <w:kern w:val="21"/>
                <w:szCs w:val="21"/>
              </w:rPr>
            </w:pPr>
          </w:p>
        </w:tc>
        <w:tc>
          <w:tcPr>
            <w:tcW w:w="1417" w:type="dxa"/>
            <w:vAlign w:val="bottom"/>
          </w:tcPr>
          <w:p>
            <w:pPr>
              <w:keepNext w:val="0"/>
              <w:keepLines w:val="0"/>
              <w:widowControl/>
              <w:suppressLineNumbers w:val="0"/>
              <w:jc w:val="center"/>
              <w:textAlignment w:val="bottom"/>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废过滤袋</w:t>
            </w:r>
          </w:p>
        </w:tc>
        <w:tc>
          <w:tcPr>
            <w:tcW w:w="1701" w:type="dxa"/>
            <w:vAlign w:val="center"/>
          </w:tcPr>
          <w:p>
            <w:pPr>
              <w:widowControl/>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0</w:t>
            </w:r>
          </w:p>
        </w:tc>
        <w:tc>
          <w:tcPr>
            <w:tcW w:w="1276" w:type="dxa"/>
            <w:vAlign w:val="center"/>
          </w:tcPr>
          <w:p>
            <w:pPr>
              <w:widowControl/>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0</w:t>
            </w:r>
          </w:p>
        </w:tc>
        <w:tc>
          <w:tcPr>
            <w:tcW w:w="1701" w:type="dxa"/>
            <w:vAlign w:val="center"/>
          </w:tcPr>
          <w:p>
            <w:pPr>
              <w:widowControl/>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0</w:t>
            </w:r>
          </w:p>
        </w:tc>
        <w:tc>
          <w:tcPr>
            <w:tcW w:w="1559" w:type="dxa"/>
            <w:vAlign w:val="center"/>
          </w:tcPr>
          <w:p>
            <w:pPr>
              <w:widowControl/>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0.6</w:t>
            </w:r>
          </w:p>
        </w:tc>
        <w:tc>
          <w:tcPr>
            <w:tcW w:w="1761" w:type="dxa"/>
            <w:vAlign w:val="center"/>
          </w:tcPr>
          <w:p>
            <w:pPr>
              <w:widowControl/>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0</w:t>
            </w:r>
          </w:p>
        </w:tc>
        <w:tc>
          <w:tcPr>
            <w:tcW w:w="1539" w:type="dxa"/>
            <w:vAlign w:val="center"/>
          </w:tcPr>
          <w:p>
            <w:pPr>
              <w:widowControl/>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0.6</w:t>
            </w:r>
          </w:p>
        </w:tc>
        <w:tc>
          <w:tcPr>
            <w:tcW w:w="1246" w:type="dxa"/>
            <w:vAlign w:val="center"/>
          </w:tcPr>
          <w:p>
            <w:pPr>
              <w:widowControl/>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1588" w:type="dxa"/>
            <w:vMerge w:val="continue"/>
            <w:vAlign w:val="center"/>
          </w:tcPr>
          <w:p>
            <w:pPr>
              <w:pStyle w:val="38"/>
              <w:spacing w:beforeLines="0" w:afterLines="0" w:line="240" w:lineRule="auto"/>
              <w:rPr>
                <w:rFonts w:hint="default" w:ascii="Times New Roman" w:hAnsi="Times New Roman" w:eastAsia="宋体" w:cs="Times New Roman"/>
                <w:snapToGrid w:val="0"/>
                <w:color w:val="auto"/>
                <w:kern w:val="21"/>
                <w:szCs w:val="21"/>
              </w:rPr>
            </w:pPr>
          </w:p>
        </w:tc>
        <w:tc>
          <w:tcPr>
            <w:tcW w:w="1417" w:type="dxa"/>
            <w:vAlign w:val="bottom"/>
          </w:tcPr>
          <w:p>
            <w:pPr>
              <w:keepNext w:val="0"/>
              <w:keepLines w:val="0"/>
              <w:widowControl/>
              <w:suppressLineNumbers w:val="0"/>
              <w:jc w:val="center"/>
              <w:textAlignment w:val="bottom"/>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废超滤膜</w:t>
            </w:r>
          </w:p>
        </w:tc>
        <w:tc>
          <w:tcPr>
            <w:tcW w:w="1701" w:type="dxa"/>
            <w:vAlign w:val="center"/>
          </w:tcPr>
          <w:p>
            <w:pPr>
              <w:widowControl/>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0</w:t>
            </w:r>
          </w:p>
        </w:tc>
        <w:tc>
          <w:tcPr>
            <w:tcW w:w="1276" w:type="dxa"/>
            <w:vAlign w:val="center"/>
          </w:tcPr>
          <w:p>
            <w:pPr>
              <w:widowControl/>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0</w:t>
            </w:r>
          </w:p>
        </w:tc>
        <w:tc>
          <w:tcPr>
            <w:tcW w:w="1701" w:type="dxa"/>
            <w:vAlign w:val="center"/>
          </w:tcPr>
          <w:p>
            <w:pPr>
              <w:widowControl/>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0</w:t>
            </w:r>
          </w:p>
        </w:tc>
        <w:tc>
          <w:tcPr>
            <w:tcW w:w="1559" w:type="dxa"/>
            <w:vAlign w:val="center"/>
          </w:tcPr>
          <w:p>
            <w:pPr>
              <w:widowControl/>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0.04</w:t>
            </w:r>
          </w:p>
        </w:tc>
        <w:tc>
          <w:tcPr>
            <w:tcW w:w="1761" w:type="dxa"/>
            <w:vAlign w:val="center"/>
          </w:tcPr>
          <w:p>
            <w:pPr>
              <w:widowControl/>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0</w:t>
            </w:r>
          </w:p>
        </w:tc>
        <w:tc>
          <w:tcPr>
            <w:tcW w:w="1539" w:type="dxa"/>
            <w:vAlign w:val="center"/>
          </w:tcPr>
          <w:p>
            <w:pPr>
              <w:widowControl/>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0.04</w:t>
            </w:r>
          </w:p>
        </w:tc>
        <w:tc>
          <w:tcPr>
            <w:tcW w:w="1246" w:type="dxa"/>
            <w:vAlign w:val="center"/>
          </w:tcPr>
          <w:p>
            <w:pPr>
              <w:widowControl/>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1588" w:type="dxa"/>
            <w:vMerge w:val="continue"/>
            <w:vAlign w:val="center"/>
          </w:tcPr>
          <w:p>
            <w:pPr>
              <w:pStyle w:val="38"/>
              <w:spacing w:beforeLines="0" w:afterLines="0" w:line="240" w:lineRule="auto"/>
              <w:rPr>
                <w:rFonts w:hint="default" w:ascii="Times New Roman" w:hAnsi="Times New Roman" w:eastAsia="宋体" w:cs="Times New Roman"/>
                <w:snapToGrid w:val="0"/>
                <w:color w:val="auto"/>
                <w:kern w:val="21"/>
                <w:szCs w:val="21"/>
              </w:rPr>
            </w:pPr>
          </w:p>
        </w:tc>
        <w:tc>
          <w:tcPr>
            <w:tcW w:w="1417" w:type="dxa"/>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污泥</w:t>
            </w:r>
          </w:p>
        </w:tc>
        <w:tc>
          <w:tcPr>
            <w:tcW w:w="1701"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1276"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1701"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1559"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20</w:t>
            </w:r>
          </w:p>
        </w:tc>
        <w:tc>
          <w:tcPr>
            <w:tcW w:w="1761" w:type="dxa"/>
            <w:vAlign w:val="center"/>
          </w:tcPr>
          <w:p>
            <w:pPr>
              <w:widowControl/>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w:t>
            </w:r>
          </w:p>
        </w:tc>
        <w:tc>
          <w:tcPr>
            <w:tcW w:w="1539"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20</w:t>
            </w:r>
          </w:p>
        </w:tc>
        <w:tc>
          <w:tcPr>
            <w:tcW w:w="1246"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1588" w:type="dxa"/>
            <w:vMerge w:val="continue"/>
            <w:vAlign w:val="center"/>
          </w:tcPr>
          <w:p>
            <w:pPr>
              <w:pStyle w:val="38"/>
              <w:spacing w:beforeLines="0" w:afterLines="0" w:line="240" w:lineRule="auto"/>
              <w:rPr>
                <w:rFonts w:hint="default" w:ascii="Times New Roman" w:hAnsi="Times New Roman" w:eastAsia="宋体" w:cs="Times New Roman"/>
                <w:snapToGrid w:val="0"/>
                <w:color w:val="auto"/>
                <w:kern w:val="21"/>
                <w:szCs w:val="21"/>
              </w:rPr>
            </w:pPr>
          </w:p>
        </w:tc>
        <w:tc>
          <w:tcPr>
            <w:tcW w:w="1417" w:type="dxa"/>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废包装桶</w:t>
            </w:r>
          </w:p>
        </w:tc>
        <w:tc>
          <w:tcPr>
            <w:tcW w:w="1701"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1276"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1701"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1559"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w:t>
            </w:r>
          </w:p>
        </w:tc>
        <w:tc>
          <w:tcPr>
            <w:tcW w:w="1761" w:type="dxa"/>
            <w:vAlign w:val="center"/>
          </w:tcPr>
          <w:p>
            <w:pPr>
              <w:widowControl/>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w:t>
            </w:r>
          </w:p>
        </w:tc>
        <w:tc>
          <w:tcPr>
            <w:tcW w:w="1539"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w:t>
            </w:r>
          </w:p>
        </w:tc>
        <w:tc>
          <w:tcPr>
            <w:tcW w:w="1246"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1588" w:type="dxa"/>
            <w:vMerge w:val="continue"/>
            <w:vAlign w:val="center"/>
          </w:tcPr>
          <w:p>
            <w:pPr>
              <w:pStyle w:val="38"/>
              <w:spacing w:beforeLines="0" w:afterLines="0" w:line="240" w:lineRule="auto"/>
              <w:rPr>
                <w:rFonts w:hint="default" w:ascii="Times New Roman" w:hAnsi="Times New Roman" w:eastAsia="宋体" w:cs="Times New Roman"/>
                <w:snapToGrid w:val="0"/>
                <w:color w:val="auto"/>
                <w:kern w:val="21"/>
                <w:szCs w:val="21"/>
              </w:rPr>
            </w:pPr>
          </w:p>
        </w:tc>
        <w:tc>
          <w:tcPr>
            <w:tcW w:w="1417" w:type="dxa"/>
            <w:vAlign w:val="bottom"/>
          </w:tcPr>
          <w:p>
            <w:pPr>
              <w:keepNext w:val="0"/>
              <w:keepLines w:val="0"/>
              <w:widowControl/>
              <w:suppressLineNumbers w:val="0"/>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i w:val="0"/>
                <w:iCs w:val="0"/>
                <w:color w:val="auto"/>
                <w:kern w:val="0"/>
                <w:sz w:val="21"/>
                <w:szCs w:val="21"/>
                <w:u w:val="none"/>
                <w:lang w:val="en-US" w:eastAsia="zh-CN" w:bidi="ar"/>
              </w:rPr>
              <w:t>废活性炭</w:t>
            </w:r>
          </w:p>
        </w:tc>
        <w:tc>
          <w:tcPr>
            <w:tcW w:w="1701"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1276"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1701"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1559"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43.1</w:t>
            </w:r>
          </w:p>
        </w:tc>
        <w:tc>
          <w:tcPr>
            <w:tcW w:w="1761"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1539"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43.1</w:t>
            </w:r>
          </w:p>
        </w:tc>
        <w:tc>
          <w:tcPr>
            <w:tcW w:w="1246"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w:t>
            </w:r>
            <w:r>
              <w:rPr>
                <w:rFonts w:hint="eastAsia" w:cs="Times New Roman"/>
                <w:color w:val="auto"/>
                <w:szCs w:val="21"/>
                <w:lang w:val="en-US" w:eastAsia="zh-CN"/>
              </w:rPr>
              <w:t>43.1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1588" w:type="dxa"/>
            <w:vAlign w:val="center"/>
          </w:tcPr>
          <w:p>
            <w:pPr>
              <w:pStyle w:val="38"/>
              <w:spacing w:beforeLines="0" w:afterLines="0" w:line="240" w:lineRule="auto"/>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生活垃圾</w:t>
            </w:r>
          </w:p>
        </w:tc>
        <w:tc>
          <w:tcPr>
            <w:tcW w:w="1417"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生活垃圾</w:t>
            </w:r>
          </w:p>
        </w:tc>
        <w:tc>
          <w:tcPr>
            <w:tcW w:w="1701"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7.5</w:t>
            </w:r>
          </w:p>
        </w:tc>
        <w:tc>
          <w:tcPr>
            <w:tcW w:w="1276"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1701"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w:t>
            </w:r>
          </w:p>
        </w:tc>
        <w:tc>
          <w:tcPr>
            <w:tcW w:w="1559"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9</w:t>
            </w:r>
          </w:p>
        </w:tc>
        <w:tc>
          <w:tcPr>
            <w:tcW w:w="1761"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-7.5</w:t>
            </w:r>
          </w:p>
        </w:tc>
        <w:tc>
          <w:tcPr>
            <w:tcW w:w="1539"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16.5</w:t>
            </w:r>
          </w:p>
        </w:tc>
        <w:tc>
          <w:tcPr>
            <w:tcW w:w="1246"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w:t>
            </w:r>
            <w:r>
              <w:rPr>
                <w:rFonts w:hint="eastAsia" w:cs="Times New Roman"/>
                <w:color w:val="auto"/>
                <w:szCs w:val="21"/>
                <w:lang w:val="en-US" w:eastAsia="zh-CN"/>
              </w:rPr>
              <w:t>9</w:t>
            </w:r>
          </w:p>
        </w:tc>
      </w:tr>
    </w:tbl>
    <w:p>
      <w:pPr>
        <w:pStyle w:val="38"/>
        <w:spacing w:beforeLines="80" w:after="24"/>
        <w:jc w:val="left"/>
        <w:rPr>
          <w:rFonts w:hint="default" w:ascii="Times New Roman" w:hAnsi="Times New Roman" w:eastAsia="宋体" w:cs="Times New Roman"/>
          <w:color w:val="auto"/>
        </w:rPr>
        <w:sectPr>
          <w:footerReference r:id="rId10" w:type="default"/>
          <w:pgSz w:w="16838" w:h="11906" w:orient="landscape"/>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r>
        <w:rPr>
          <w:rFonts w:hint="default" w:ascii="Times New Roman" w:hAnsi="Times New Roman" w:eastAsia="宋体" w:cs="Times New Roman"/>
          <w:snapToGrid w:val="0"/>
          <w:color w:val="auto"/>
          <w:kern w:val="21"/>
          <w:szCs w:val="21"/>
        </w:rPr>
        <w:t>注：</w:t>
      </w:r>
      <w:r>
        <w:rPr>
          <w:rFonts w:hint="default" w:ascii="Times New Roman" w:hAnsi="Times New Roman" w:eastAsia="宋体" w:cs="Times New Roman"/>
          <w:snapToGrid w:val="0"/>
          <w:color w:val="auto"/>
          <w:spacing w:val="-16"/>
          <w:kern w:val="21"/>
          <w:szCs w:val="21"/>
        </w:rPr>
        <w:fldChar w:fldCharType="begin"/>
      </w:r>
      <w:r>
        <w:rPr>
          <w:rFonts w:hint="default" w:ascii="Times New Roman" w:hAnsi="Times New Roman" w:eastAsia="宋体" w:cs="Times New Roman"/>
          <w:snapToGrid w:val="0"/>
          <w:color w:val="auto"/>
          <w:spacing w:val="-16"/>
          <w:kern w:val="21"/>
          <w:szCs w:val="21"/>
        </w:rPr>
        <w:instrText xml:space="preserve"> = 6 \* GB3 \* MERGEFORMAT </w:instrText>
      </w:r>
      <w:r>
        <w:rPr>
          <w:rFonts w:hint="default" w:ascii="Times New Roman" w:hAnsi="Times New Roman" w:eastAsia="宋体" w:cs="Times New Roman"/>
          <w:snapToGrid w:val="0"/>
          <w:color w:val="auto"/>
          <w:spacing w:val="-16"/>
          <w:kern w:val="21"/>
          <w:szCs w:val="21"/>
        </w:rPr>
        <w:fldChar w:fldCharType="separate"/>
      </w:r>
      <w:r>
        <w:rPr>
          <w:rFonts w:hint="default" w:ascii="Times New Roman" w:hAnsi="Times New Roman" w:eastAsia="宋体" w:cs="Times New Roman"/>
          <w:color w:val="auto"/>
          <w:szCs w:val="21"/>
        </w:rPr>
        <w:t>⑥</w:t>
      </w:r>
      <w:r>
        <w:rPr>
          <w:rFonts w:hint="default" w:ascii="Times New Roman" w:hAnsi="Times New Roman" w:eastAsia="宋体" w:cs="Times New Roman"/>
          <w:snapToGrid w:val="0"/>
          <w:color w:val="auto"/>
          <w:spacing w:val="-16"/>
          <w:kern w:val="21"/>
          <w:szCs w:val="21"/>
        </w:rPr>
        <w:fldChar w:fldCharType="end"/>
      </w:r>
      <w:r>
        <w:rPr>
          <w:rFonts w:hint="default" w:ascii="Times New Roman" w:hAnsi="Times New Roman" w:eastAsia="宋体" w:cs="Times New Roman"/>
          <w:snapToGrid w:val="0"/>
          <w:color w:val="auto"/>
          <w:spacing w:val="-16"/>
          <w:kern w:val="21"/>
          <w:szCs w:val="21"/>
        </w:rPr>
        <w:t>=</w:t>
      </w:r>
      <w:r>
        <w:rPr>
          <w:rFonts w:hint="default" w:ascii="Times New Roman" w:hAnsi="Times New Roman" w:eastAsia="宋体" w:cs="Times New Roman"/>
          <w:snapToGrid w:val="0"/>
          <w:color w:val="auto"/>
          <w:spacing w:val="-6"/>
          <w:kern w:val="21"/>
          <w:szCs w:val="21"/>
        </w:rPr>
        <w:fldChar w:fldCharType="begin"/>
      </w:r>
      <w:r>
        <w:rPr>
          <w:rFonts w:hint="default" w:ascii="Times New Roman" w:hAnsi="Times New Roman" w:eastAsia="宋体" w:cs="Times New Roman"/>
          <w:snapToGrid w:val="0"/>
          <w:color w:val="auto"/>
          <w:spacing w:val="-6"/>
          <w:kern w:val="21"/>
          <w:szCs w:val="21"/>
        </w:rPr>
        <w:instrText xml:space="preserve"> = 1 \* GB3 \* MERGEFORMAT </w:instrText>
      </w:r>
      <w:r>
        <w:rPr>
          <w:rFonts w:hint="default" w:ascii="Times New Roman" w:hAnsi="Times New Roman" w:eastAsia="宋体" w:cs="Times New Roman"/>
          <w:snapToGrid w:val="0"/>
          <w:color w:val="auto"/>
          <w:spacing w:val="-6"/>
          <w:kern w:val="21"/>
          <w:szCs w:val="21"/>
        </w:rPr>
        <w:fldChar w:fldCharType="separate"/>
      </w:r>
      <w:r>
        <w:rPr>
          <w:rFonts w:hint="default" w:ascii="Times New Roman" w:hAnsi="Times New Roman" w:eastAsia="宋体" w:cs="Times New Roman"/>
          <w:color w:val="auto"/>
          <w:szCs w:val="21"/>
        </w:rPr>
        <w:t>①</w:t>
      </w:r>
      <w:r>
        <w:rPr>
          <w:rFonts w:hint="default" w:ascii="Times New Roman" w:hAnsi="Times New Roman" w:eastAsia="宋体" w:cs="Times New Roman"/>
          <w:snapToGrid w:val="0"/>
          <w:color w:val="auto"/>
          <w:spacing w:val="-6"/>
          <w:kern w:val="21"/>
          <w:szCs w:val="21"/>
        </w:rPr>
        <w:fldChar w:fldCharType="end"/>
      </w:r>
      <w:r>
        <w:rPr>
          <w:rFonts w:hint="default" w:ascii="Times New Roman" w:hAnsi="Times New Roman" w:eastAsia="宋体" w:cs="Times New Roman"/>
          <w:snapToGrid w:val="0"/>
          <w:color w:val="auto"/>
          <w:spacing w:val="-6"/>
          <w:kern w:val="21"/>
          <w:szCs w:val="21"/>
        </w:rPr>
        <w:t>+</w:t>
      </w:r>
      <w:r>
        <w:rPr>
          <w:rFonts w:hint="default" w:ascii="Times New Roman" w:hAnsi="Times New Roman" w:eastAsia="宋体" w:cs="Times New Roman"/>
          <w:snapToGrid w:val="0"/>
          <w:color w:val="auto"/>
          <w:spacing w:val="-6"/>
          <w:kern w:val="21"/>
          <w:szCs w:val="21"/>
        </w:rPr>
        <w:fldChar w:fldCharType="begin"/>
      </w:r>
      <w:r>
        <w:rPr>
          <w:rFonts w:hint="default" w:ascii="Times New Roman" w:hAnsi="Times New Roman" w:eastAsia="宋体" w:cs="Times New Roman"/>
          <w:snapToGrid w:val="0"/>
          <w:color w:val="auto"/>
          <w:spacing w:val="-6"/>
          <w:kern w:val="21"/>
          <w:szCs w:val="21"/>
        </w:rPr>
        <w:instrText xml:space="preserve"> = 3 \* GB3 \* MERGEFORMAT </w:instrText>
      </w:r>
      <w:r>
        <w:rPr>
          <w:rFonts w:hint="default" w:ascii="Times New Roman" w:hAnsi="Times New Roman" w:eastAsia="宋体" w:cs="Times New Roman"/>
          <w:snapToGrid w:val="0"/>
          <w:color w:val="auto"/>
          <w:spacing w:val="-6"/>
          <w:kern w:val="21"/>
          <w:szCs w:val="21"/>
        </w:rPr>
        <w:fldChar w:fldCharType="separate"/>
      </w:r>
      <w:r>
        <w:rPr>
          <w:rFonts w:hint="default" w:ascii="Times New Roman" w:hAnsi="Times New Roman" w:eastAsia="宋体" w:cs="Times New Roman"/>
          <w:color w:val="auto"/>
          <w:szCs w:val="21"/>
        </w:rPr>
        <w:t>③</w:t>
      </w:r>
      <w:r>
        <w:rPr>
          <w:rFonts w:hint="default" w:ascii="Times New Roman" w:hAnsi="Times New Roman" w:eastAsia="宋体" w:cs="Times New Roman"/>
          <w:snapToGrid w:val="0"/>
          <w:color w:val="auto"/>
          <w:spacing w:val="-6"/>
          <w:kern w:val="21"/>
          <w:szCs w:val="21"/>
        </w:rPr>
        <w:fldChar w:fldCharType="end"/>
      </w:r>
      <w:r>
        <w:rPr>
          <w:rFonts w:hint="default" w:ascii="Times New Roman" w:hAnsi="Times New Roman" w:eastAsia="宋体" w:cs="Times New Roman"/>
          <w:snapToGrid w:val="0"/>
          <w:color w:val="auto"/>
          <w:spacing w:val="-6"/>
          <w:kern w:val="21"/>
          <w:szCs w:val="21"/>
        </w:rPr>
        <w:t>+</w:t>
      </w:r>
      <w:r>
        <w:rPr>
          <w:rFonts w:hint="default" w:ascii="Times New Roman" w:hAnsi="Times New Roman" w:eastAsia="宋体" w:cs="Times New Roman"/>
          <w:snapToGrid w:val="0"/>
          <w:color w:val="auto"/>
          <w:spacing w:val="-6"/>
          <w:kern w:val="21"/>
          <w:szCs w:val="21"/>
        </w:rPr>
        <w:fldChar w:fldCharType="begin"/>
      </w:r>
      <w:r>
        <w:rPr>
          <w:rFonts w:hint="default" w:ascii="Times New Roman" w:hAnsi="Times New Roman" w:eastAsia="宋体" w:cs="Times New Roman"/>
          <w:snapToGrid w:val="0"/>
          <w:color w:val="auto"/>
          <w:spacing w:val="-6"/>
          <w:kern w:val="21"/>
          <w:szCs w:val="21"/>
        </w:rPr>
        <w:instrText xml:space="preserve"> = 4 \* GB3 \* MERGEFORMAT </w:instrText>
      </w:r>
      <w:r>
        <w:rPr>
          <w:rFonts w:hint="default" w:ascii="Times New Roman" w:hAnsi="Times New Roman" w:eastAsia="宋体" w:cs="Times New Roman"/>
          <w:snapToGrid w:val="0"/>
          <w:color w:val="auto"/>
          <w:spacing w:val="-6"/>
          <w:kern w:val="21"/>
          <w:szCs w:val="21"/>
        </w:rPr>
        <w:fldChar w:fldCharType="separate"/>
      </w:r>
      <w:r>
        <w:rPr>
          <w:rFonts w:hint="default" w:ascii="Times New Roman" w:hAnsi="Times New Roman" w:eastAsia="宋体" w:cs="Times New Roman"/>
          <w:color w:val="auto"/>
          <w:szCs w:val="21"/>
        </w:rPr>
        <w:t>④</w:t>
      </w:r>
      <w:r>
        <w:rPr>
          <w:rFonts w:hint="default" w:ascii="Times New Roman" w:hAnsi="Times New Roman" w:eastAsia="宋体" w:cs="Times New Roman"/>
          <w:snapToGrid w:val="0"/>
          <w:color w:val="auto"/>
          <w:spacing w:val="-6"/>
          <w:kern w:val="21"/>
          <w:szCs w:val="21"/>
        </w:rPr>
        <w:fldChar w:fldCharType="end"/>
      </w:r>
      <w:r>
        <w:rPr>
          <w:rFonts w:hint="default" w:ascii="Times New Roman" w:hAnsi="Times New Roman" w:eastAsia="宋体" w:cs="Times New Roman"/>
          <w:snapToGrid w:val="0"/>
          <w:color w:val="auto"/>
          <w:spacing w:val="-6"/>
          <w:kern w:val="21"/>
          <w:szCs w:val="21"/>
        </w:rPr>
        <w:t>-</w:t>
      </w:r>
      <w:r>
        <w:rPr>
          <w:rFonts w:hint="default" w:ascii="Times New Roman" w:hAnsi="Times New Roman" w:eastAsia="宋体" w:cs="Times New Roman"/>
          <w:snapToGrid w:val="0"/>
          <w:color w:val="auto"/>
          <w:spacing w:val="-16"/>
          <w:kern w:val="21"/>
          <w:szCs w:val="21"/>
        </w:rPr>
        <w:fldChar w:fldCharType="begin"/>
      </w:r>
      <w:r>
        <w:rPr>
          <w:rFonts w:hint="default" w:ascii="Times New Roman" w:hAnsi="Times New Roman" w:eastAsia="宋体" w:cs="Times New Roman"/>
          <w:snapToGrid w:val="0"/>
          <w:color w:val="auto"/>
          <w:spacing w:val="-16"/>
          <w:kern w:val="21"/>
          <w:szCs w:val="21"/>
        </w:rPr>
        <w:instrText xml:space="preserve"> = 5 \* GB3 \* MERGEFORMAT </w:instrText>
      </w:r>
      <w:r>
        <w:rPr>
          <w:rFonts w:hint="default" w:ascii="Times New Roman" w:hAnsi="Times New Roman" w:eastAsia="宋体" w:cs="Times New Roman"/>
          <w:snapToGrid w:val="0"/>
          <w:color w:val="auto"/>
          <w:spacing w:val="-16"/>
          <w:kern w:val="21"/>
          <w:szCs w:val="21"/>
        </w:rPr>
        <w:fldChar w:fldCharType="separate"/>
      </w:r>
      <w:r>
        <w:rPr>
          <w:rFonts w:hint="default" w:ascii="Times New Roman" w:hAnsi="Times New Roman" w:eastAsia="宋体" w:cs="Times New Roman"/>
          <w:color w:val="auto"/>
          <w:szCs w:val="21"/>
        </w:rPr>
        <w:t>⑤</w:t>
      </w:r>
      <w:r>
        <w:rPr>
          <w:rFonts w:hint="default" w:ascii="Times New Roman" w:hAnsi="Times New Roman" w:eastAsia="宋体" w:cs="Times New Roman"/>
          <w:snapToGrid w:val="0"/>
          <w:color w:val="auto"/>
          <w:spacing w:val="-16"/>
          <w:kern w:val="21"/>
          <w:szCs w:val="21"/>
        </w:rPr>
        <w:fldChar w:fldCharType="end"/>
      </w:r>
      <w:r>
        <w:rPr>
          <w:rFonts w:hint="default" w:ascii="Times New Roman" w:hAnsi="Times New Roman" w:eastAsia="宋体" w:cs="Times New Roman"/>
          <w:snapToGrid w:val="0"/>
          <w:color w:val="auto"/>
          <w:spacing w:val="-16"/>
          <w:kern w:val="21"/>
          <w:szCs w:val="21"/>
        </w:rPr>
        <w:t>；</w:t>
      </w:r>
      <w:r>
        <w:rPr>
          <w:rFonts w:hint="default" w:ascii="Times New Roman" w:hAnsi="Times New Roman" w:eastAsia="宋体" w:cs="Times New Roman"/>
          <w:snapToGrid w:val="0"/>
          <w:color w:val="auto"/>
          <w:spacing w:val="-6"/>
          <w:kern w:val="21"/>
          <w:szCs w:val="21"/>
        </w:rPr>
        <w:fldChar w:fldCharType="begin"/>
      </w:r>
      <w:r>
        <w:rPr>
          <w:rFonts w:hint="default" w:ascii="Times New Roman" w:hAnsi="Times New Roman" w:eastAsia="宋体" w:cs="Times New Roman"/>
          <w:snapToGrid w:val="0"/>
          <w:color w:val="auto"/>
          <w:spacing w:val="-6"/>
          <w:kern w:val="21"/>
          <w:szCs w:val="21"/>
        </w:rPr>
        <w:instrText xml:space="preserve"> = 7 \* GB3 \* MERGEFORMAT </w:instrText>
      </w:r>
      <w:r>
        <w:rPr>
          <w:rFonts w:hint="default" w:ascii="Times New Roman" w:hAnsi="Times New Roman" w:eastAsia="宋体" w:cs="Times New Roman"/>
          <w:snapToGrid w:val="0"/>
          <w:color w:val="auto"/>
          <w:spacing w:val="-6"/>
          <w:kern w:val="21"/>
          <w:szCs w:val="21"/>
        </w:rPr>
        <w:fldChar w:fldCharType="separate"/>
      </w:r>
      <w:r>
        <w:rPr>
          <w:rFonts w:hint="default" w:ascii="Times New Roman" w:hAnsi="Times New Roman" w:eastAsia="宋体" w:cs="Times New Roman"/>
          <w:color w:val="auto"/>
          <w:szCs w:val="21"/>
        </w:rPr>
        <w:t>⑦</w:t>
      </w:r>
      <w:r>
        <w:rPr>
          <w:rFonts w:hint="default" w:ascii="Times New Roman" w:hAnsi="Times New Roman" w:eastAsia="宋体" w:cs="Times New Roman"/>
          <w:snapToGrid w:val="0"/>
          <w:color w:val="auto"/>
          <w:spacing w:val="-6"/>
          <w:kern w:val="21"/>
          <w:szCs w:val="21"/>
        </w:rPr>
        <w:fldChar w:fldCharType="end"/>
      </w:r>
      <w:r>
        <w:rPr>
          <w:rFonts w:hint="default" w:ascii="Times New Roman" w:hAnsi="Times New Roman" w:eastAsia="宋体" w:cs="Times New Roman"/>
          <w:snapToGrid w:val="0"/>
          <w:color w:val="auto"/>
          <w:spacing w:val="-6"/>
          <w:kern w:val="21"/>
          <w:szCs w:val="21"/>
        </w:rPr>
        <w:t>=</w:t>
      </w:r>
      <w:r>
        <w:rPr>
          <w:rFonts w:hint="default" w:ascii="Times New Roman" w:hAnsi="Times New Roman" w:eastAsia="宋体" w:cs="Times New Roman"/>
          <w:snapToGrid w:val="0"/>
          <w:color w:val="auto"/>
          <w:spacing w:val="-16"/>
          <w:kern w:val="21"/>
          <w:szCs w:val="21"/>
        </w:rPr>
        <w:fldChar w:fldCharType="begin"/>
      </w:r>
      <w:r>
        <w:rPr>
          <w:rFonts w:hint="default" w:ascii="Times New Roman" w:hAnsi="Times New Roman" w:eastAsia="宋体" w:cs="Times New Roman"/>
          <w:snapToGrid w:val="0"/>
          <w:color w:val="auto"/>
          <w:spacing w:val="-16"/>
          <w:kern w:val="21"/>
          <w:szCs w:val="21"/>
        </w:rPr>
        <w:instrText xml:space="preserve"> = 6 \* GB3 \* MERGEFORMAT </w:instrText>
      </w:r>
      <w:r>
        <w:rPr>
          <w:rFonts w:hint="default" w:ascii="Times New Roman" w:hAnsi="Times New Roman" w:eastAsia="宋体" w:cs="Times New Roman"/>
          <w:snapToGrid w:val="0"/>
          <w:color w:val="auto"/>
          <w:spacing w:val="-16"/>
          <w:kern w:val="21"/>
          <w:szCs w:val="21"/>
        </w:rPr>
        <w:fldChar w:fldCharType="separate"/>
      </w:r>
      <w:r>
        <w:rPr>
          <w:rFonts w:hint="default" w:ascii="Times New Roman" w:hAnsi="Times New Roman" w:eastAsia="宋体" w:cs="Times New Roman"/>
          <w:color w:val="auto"/>
          <w:szCs w:val="21"/>
        </w:rPr>
        <w:t>⑥</w:t>
      </w:r>
      <w:r>
        <w:rPr>
          <w:rFonts w:hint="default" w:ascii="Times New Roman" w:hAnsi="Times New Roman" w:eastAsia="宋体" w:cs="Times New Roman"/>
          <w:snapToGrid w:val="0"/>
          <w:color w:val="auto"/>
          <w:spacing w:val="-16"/>
          <w:kern w:val="21"/>
          <w:szCs w:val="21"/>
        </w:rPr>
        <w:fldChar w:fldCharType="end"/>
      </w:r>
      <w:r>
        <w:rPr>
          <w:rFonts w:hint="default" w:ascii="Times New Roman" w:hAnsi="Times New Roman" w:eastAsia="宋体" w:cs="Times New Roman"/>
          <w:snapToGrid w:val="0"/>
          <w:color w:val="auto"/>
          <w:spacing w:val="-16"/>
          <w:kern w:val="21"/>
          <w:szCs w:val="21"/>
        </w:rPr>
        <w:t>-</w:t>
      </w:r>
      <w:r>
        <w:rPr>
          <w:rFonts w:hint="default" w:ascii="Times New Roman" w:hAnsi="Times New Roman" w:eastAsia="宋体" w:cs="Times New Roman"/>
          <w:snapToGrid w:val="0"/>
          <w:color w:val="auto"/>
          <w:spacing w:val="-6"/>
          <w:kern w:val="21"/>
          <w:szCs w:val="21"/>
        </w:rPr>
        <w:fldChar w:fldCharType="begin"/>
      </w:r>
      <w:r>
        <w:rPr>
          <w:rFonts w:hint="default" w:ascii="Times New Roman" w:hAnsi="Times New Roman" w:eastAsia="宋体" w:cs="Times New Roman"/>
          <w:snapToGrid w:val="0"/>
          <w:color w:val="auto"/>
          <w:spacing w:val="-6"/>
          <w:kern w:val="21"/>
          <w:szCs w:val="21"/>
        </w:rPr>
        <w:instrText xml:space="preserve"> = 1 \* GB3 \* MERGEFORMAT </w:instrText>
      </w:r>
      <w:r>
        <w:rPr>
          <w:rFonts w:hint="default" w:ascii="Times New Roman" w:hAnsi="Times New Roman" w:eastAsia="宋体" w:cs="Times New Roman"/>
          <w:snapToGrid w:val="0"/>
          <w:color w:val="auto"/>
          <w:spacing w:val="-6"/>
          <w:kern w:val="21"/>
          <w:szCs w:val="21"/>
        </w:rPr>
        <w:fldChar w:fldCharType="separate"/>
      </w:r>
      <w:r>
        <w:rPr>
          <w:rFonts w:hint="default" w:ascii="Times New Roman" w:hAnsi="Times New Roman" w:eastAsia="宋体" w:cs="Times New Roman"/>
          <w:color w:val="auto"/>
          <w:szCs w:val="21"/>
        </w:rPr>
        <w:t>①</w:t>
      </w:r>
      <w:r>
        <w:rPr>
          <w:rFonts w:hint="default" w:ascii="Times New Roman" w:hAnsi="Times New Roman" w:eastAsia="宋体" w:cs="Times New Roman"/>
          <w:snapToGrid w:val="0"/>
          <w:color w:val="auto"/>
          <w:spacing w:val="-6"/>
          <w:kern w:val="21"/>
          <w:szCs w:val="21"/>
        </w:rPr>
        <w:fldChar w:fldCharType="end"/>
      </w:r>
    </w:p>
    <w:p>
      <w:pPr>
        <w:rPr>
          <w:rFonts w:hint="default" w:ascii="Times New Roman" w:hAnsi="Times New Roman" w:eastAsia="宋体" w:cs="Times New Roman"/>
          <w:color w:val="auto"/>
        </w:rPr>
      </w:pPr>
    </w:p>
    <w:sectPr>
      <w:footerReference r:id="rId11" w:type="default"/>
      <w:pgSz w:w="11906" w:h="16838"/>
      <w:pgMar w:top="1701" w:right="1531" w:bottom="1701" w:left="1531" w:header="851" w:footer="851"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FangSong_GB2312">
    <w:altName w:val="仿宋"/>
    <w:panose1 w:val="02010609060101010101"/>
    <w:charset w:val="86"/>
    <w:family w:val="modern"/>
    <w:pitch w:val="default"/>
    <w:sig w:usb0="00000000" w:usb1="00000000" w:usb2="00000016" w:usb3="00000000" w:csb0="00040001" w:csb1="00000000"/>
  </w:font>
  <w:font w:name="仿宋">
    <w:panose1 w:val="02010609060101010101"/>
    <w:charset w:val="86"/>
    <w:family w:val="auto"/>
    <w:pitch w:val="default"/>
    <w:sig w:usb0="800002BF" w:usb1="38CF7CFA" w:usb2="00000016" w:usb3="00000000" w:csb0="00040001" w:csb1="00000000"/>
  </w:font>
  <w:font w:name="Arial Black">
    <w:panose1 w:val="020B0A04020102020204"/>
    <w:charset w:val="00"/>
    <w:family w:val="swiss"/>
    <w:pitch w:val="default"/>
    <w:sig w:usb0="A00002AF" w:usb1="400078FB" w:usb2="00000000" w:usb3="00000000" w:csb0="6000009F" w:csb1="DFD70000"/>
  </w:font>
  <w:font w:name="文鼎CS中宋">
    <w:altName w:val="宋体"/>
    <w:panose1 w:val="00000000000000000000"/>
    <w:charset w:val="86"/>
    <w:family w:val="modern"/>
    <w:pitch w:val="default"/>
    <w:sig w:usb0="00000000" w:usb1="00000000" w:usb2="00000010" w:usb3="00000000" w:csb0="00040000" w:csb1="00000000"/>
  </w:font>
  <w:font w:name="TimesNewRomanPSMT">
    <w:altName w:val="Times New Roman"/>
    <w:panose1 w:val="00000000000000000000"/>
    <w:charset w:val="00"/>
    <w:family w:val="auto"/>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603F01FF" w:csb1="FFFF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方正黑体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Wingdings 2">
    <w:panose1 w:val="05020102010507070707"/>
    <w:charset w:val="02"/>
    <w:family w:val="roman"/>
    <w:pitch w:val="default"/>
    <w:sig w:usb0="00000000" w:usb1="00000000" w:usb2="00000000" w:usb3="00000000" w:csb0="80000000" w:csb1="00000000"/>
  </w:font>
  <w:font w:name="Cambria Math">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353235"/>
      <w:docPartObj>
        <w:docPartGallery w:val="autotext"/>
      </w:docPartObj>
    </w:sdtPr>
    <w:sdtContent>
      <w:p>
        <w:pPr>
          <w:pStyle w:val="14"/>
          <w:jc w:val="center"/>
        </w:pPr>
        <w:r>
          <w:rPr>
            <w:rFonts w:hint="eastAsia"/>
          </w:rPr>
          <w:t>1</w:t>
        </w:r>
      </w:p>
    </w:sdtContent>
  </w:sdt>
  <w:p>
    <w:pPr>
      <w:pStyle w:val="14"/>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center" w:y="1"/>
      <w:rPr>
        <w:rStyle w:val="26"/>
      </w:rPr>
    </w:pPr>
    <w:r>
      <w:fldChar w:fldCharType="begin"/>
    </w:r>
    <w:r>
      <w:rPr>
        <w:rStyle w:val="26"/>
      </w:rPr>
      <w:instrText xml:space="preserve">PAGE  </w:instrText>
    </w:r>
    <w:r>
      <w:fldChar w:fldCharType="end"/>
    </w:r>
  </w:p>
  <w:p>
    <w:pPr>
      <w:pStyle w:val="1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p>
  <w:p>
    <w:pPr>
      <w:pStyle w:val="1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785414"/>
      <w:docPartObj>
        <w:docPartGallery w:val="autotext"/>
      </w:docPartObj>
    </w:sdtPr>
    <w:sdtContent>
      <w:p>
        <w:pPr>
          <w:pStyle w:val="14"/>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14"/>
      <w:ind w:right="360" w:firstLine="360"/>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p>
  <w:p>
    <w:pPr>
      <w:pStyle w:val="1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pict>
        <v:shape id="_x0000_s3073" o:spid="_x0000_s3073"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joinstyle="miter"/>
          <v:imagedata o:title=""/>
          <o:lock v:ext="edit"/>
          <v:textbox inset="0mm,0mm,0mm,0mm" style="mso-fit-shape-to-text:t;">
            <w:txbxContent>
              <w:p>
                <w:pPr>
                  <w:pStyle w:val="14"/>
                </w:pPr>
                <w:r>
                  <w:fldChar w:fldCharType="begin"/>
                </w:r>
                <w:r>
                  <w:instrText xml:space="preserve"> PAGE  \* MERGEFORMAT </w:instrText>
                </w:r>
                <w:r>
                  <w:fldChar w:fldCharType="separate"/>
                </w:r>
                <w:r>
                  <w:t>18</w:t>
                </w:r>
                <w:r>
                  <w:fldChar w:fldCharType="end"/>
                </w:r>
              </w:p>
            </w:txbxContent>
          </v:textbox>
        </v:shape>
      </w:pict>
    </w:r>
  </w:p>
  <w:p>
    <w:pPr>
      <w:pStyle w:val="14"/>
      <w:ind w:right="360" w:firstLine="360"/>
      <w:jc w:val="cen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right="360" w:firstLine="360"/>
      <w:jc w:val="cen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right="360" w:firstLine="360"/>
      <w:jc w:val="center"/>
    </w:pPr>
    <w:r>
      <w:pict>
        <v:shape id="_x0000_s3074" o:spid="_x0000_s3074"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joinstyle="miter"/>
          <v:imagedata o:title=""/>
          <o:lock v:ext="edit"/>
          <v:textbox inset="0mm,0mm,0mm,0mm" style="mso-fit-shape-to-text:t;">
            <w:txbxContent>
              <w:p>
                <w:pPr>
                  <w:pStyle w:val="14"/>
                  <w:rPr>
                    <w:rStyle w:val="26"/>
                    <w:rFonts w:ascii="宋体" w:hAnsi="宋体"/>
                    <w:sz w:val="28"/>
                    <w:szCs w:val="28"/>
                  </w:rPr>
                </w:pPr>
                <w:r>
                  <w:rPr>
                    <w:rStyle w:val="26"/>
                    <w:rFonts w:hint="eastAsia" w:ascii="宋体" w:hAnsi="宋体"/>
                    <w:sz w:val="28"/>
                    <w:szCs w:val="28"/>
                  </w:rPr>
                  <w:t>—</w:t>
                </w:r>
                <w:r>
                  <w:rPr>
                    <w:rStyle w:val="26"/>
                    <w:rFonts w:hint="eastAsia" w:ascii="宋体" w:hAnsi="宋体"/>
                    <w:sz w:val="20"/>
                  </w:rPr>
                  <w:t xml:space="preserve">  </w:t>
                </w:r>
                <w:r>
                  <w:rPr>
                    <w:rStyle w:val="26"/>
                    <w:rFonts w:ascii="宋体" w:hAnsi="宋体"/>
                    <w:sz w:val="26"/>
                    <w:szCs w:val="26"/>
                  </w:rPr>
                  <w:fldChar w:fldCharType="begin"/>
                </w:r>
                <w:r>
                  <w:rPr>
                    <w:rStyle w:val="26"/>
                    <w:rFonts w:ascii="宋体" w:hAnsi="宋体"/>
                    <w:sz w:val="26"/>
                    <w:szCs w:val="26"/>
                  </w:rPr>
                  <w:instrText xml:space="preserve">PAGE  </w:instrText>
                </w:r>
                <w:r>
                  <w:rPr>
                    <w:rStyle w:val="26"/>
                    <w:rFonts w:ascii="宋体" w:hAnsi="宋体"/>
                    <w:sz w:val="26"/>
                    <w:szCs w:val="26"/>
                  </w:rPr>
                  <w:fldChar w:fldCharType="separate"/>
                </w:r>
                <w:r>
                  <w:rPr>
                    <w:rStyle w:val="26"/>
                    <w:rFonts w:ascii="宋体" w:hAnsi="宋体"/>
                    <w:sz w:val="26"/>
                    <w:szCs w:val="26"/>
                  </w:rPr>
                  <w:t>73</w:t>
                </w:r>
                <w:r>
                  <w:rPr>
                    <w:rStyle w:val="26"/>
                    <w:rFonts w:ascii="宋体" w:hAnsi="宋体"/>
                    <w:sz w:val="26"/>
                    <w:szCs w:val="26"/>
                  </w:rPr>
                  <w:fldChar w:fldCharType="end"/>
                </w:r>
                <w:r>
                  <w:rPr>
                    <w:rStyle w:val="26"/>
                    <w:rFonts w:hint="eastAsia" w:ascii="宋体" w:hAnsi="宋体"/>
                    <w:sz w:val="20"/>
                  </w:rPr>
                  <w:t xml:space="preserve">  </w:t>
                </w:r>
                <w:r>
                  <w:rPr>
                    <w:rStyle w:val="26"/>
                    <w:rFonts w:hint="eastAsia" w:ascii="宋体" w:hAnsi="宋体"/>
                    <w:sz w:val="28"/>
                    <w:szCs w:val="28"/>
                  </w:rPr>
                  <w:t>—</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2A87EF"/>
    <w:multiLevelType w:val="singleLevel"/>
    <w:tmpl w:val="0E2A87EF"/>
    <w:lvl w:ilvl="0" w:tentative="0">
      <w:start w:val="1"/>
      <w:numFmt w:val="decimal"/>
      <w:suff w:val="nothing"/>
      <w:lvlText w:val="%1）"/>
      <w:lvlJc w:val="left"/>
    </w:lvl>
  </w:abstractNum>
  <w:abstractNum w:abstractNumId="1">
    <w:nsid w:val="24A820FF"/>
    <w:multiLevelType w:val="singleLevel"/>
    <w:tmpl w:val="24A820FF"/>
    <w:lvl w:ilvl="0" w:tentative="0">
      <w:start w:val="4"/>
      <w:numFmt w:val="decimal"/>
      <w:suff w:val="nothing"/>
      <w:lvlText w:val="（%1）"/>
      <w:lvlJc w:val="left"/>
    </w:lvl>
  </w:abstractNum>
  <w:abstractNum w:abstractNumId="2">
    <w:nsid w:val="5A241D34"/>
    <w:multiLevelType w:val="singleLevel"/>
    <w:tmpl w:val="5A241D34"/>
    <w:lvl w:ilvl="0" w:tentative="0">
      <w:start w:val="1"/>
      <w:numFmt w:val="decimalEnclosedCircle"/>
      <w:lvlText w:val="%1"/>
      <w:lvlJc w:val="left"/>
      <w:rPr>
        <w:rFonts w:ascii="宋体" w:hAnsi="宋体" w:eastAsia="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hideSpellingErrors/>
  <w:attachedTemplate r:id="rId1"/>
  <w:documentProtection w:edit="trackedChanges"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A14947"/>
    <w:rsid w:val="00002B2D"/>
    <w:rsid w:val="00005E94"/>
    <w:rsid w:val="000060B3"/>
    <w:rsid w:val="000060D7"/>
    <w:rsid w:val="00007E83"/>
    <w:rsid w:val="00010671"/>
    <w:rsid w:val="00010A81"/>
    <w:rsid w:val="00010E0D"/>
    <w:rsid w:val="0001255F"/>
    <w:rsid w:val="00012DA2"/>
    <w:rsid w:val="00014275"/>
    <w:rsid w:val="00014D1B"/>
    <w:rsid w:val="0001509F"/>
    <w:rsid w:val="00015FD6"/>
    <w:rsid w:val="00016D7C"/>
    <w:rsid w:val="00017F15"/>
    <w:rsid w:val="0002274B"/>
    <w:rsid w:val="00022807"/>
    <w:rsid w:val="000236F7"/>
    <w:rsid w:val="000242FF"/>
    <w:rsid w:val="000268B0"/>
    <w:rsid w:val="00030596"/>
    <w:rsid w:val="00031900"/>
    <w:rsid w:val="00034D50"/>
    <w:rsid w:val="00036752"/>
    <w:rsid w:val="00036834"/>
    <w:rsid w:val="0003708A"/>
    <w:rsid w:val="000418FC"/>
    <w:rsid w:val="00041F29"/>
    <w:rsid w:val="00041FB3"/>
    <w:rsid w:val="00042973"/>
    <w:rsid w:val="00042E34"/>
    <w:rsid w:val="00043250"/>
    <w:rsid w:val="0004364B"/>
    <w:rsid w:val="00044028"/>
    <w:rsid w:val="000453DE"/>
    <w:rsid w:val="00045C4A"/>
    <w:rsid w:val="00046474"/>
    <w:rsid w:val="0004749B"/>
    <w:rsid w:val="00050617"/>
    <w:rsid w:val="00050876"/>
    <w:rsid w:val="000517AB"/>
    <w:rsid w:val="00055D15"/>
    <w:rsid w:val="000566A9"/>
    <w:rsid w:val="000601A9"/>
    <w:rsid w:val="00061B1F"/>
    <w:rsid w:val="00061FA4"/>
    <w:rsid w:val="00062A52"/>
    <w:rsid w:val="00067834"/>
    <w:rsid w:val="00067DBE"/>
    <w:rsid w:val="00067FAB"/>
    <w:rsid w:val="000709DB"/>
    <w:rsid w:val="00071FA4"/>
    <w:rsid w:val="0007233B"/>
    <w:rsid w:val="000733C4"/>
    <w:rsid w:val="0007399B"/>
    <w:rsid w:val="00073A0F"/>
    <w:rsid w:val="00073EB0"/>
    <w:rsid w:val="00074327"/>
    <w:rsid w:val="00074783"/>
    <w:rsid w:val="00074C43"/>
    <w:rsid w:val="0008070B"/>
    <w:rsid w:val="000807EC"/>
    <w:rsid w:val="000810AC"/>
    <w:rsid w:val="000812F3"/>
    <w:rsid w:val="0008152B"/>
    <w:rsid w:val="00081A02"/>
    <w:rsid w:val="0008220C"/>
    <w:rsid w:val="00082231"/>
    <w:rsid w:val="000829EA"/>
    <w:rsid w:val="0008607B"/>
    <w:rsid w:val="00087171"/>
    <w:rsid w:val="0008743C"/>
    <w:rsid w:val="00090279"/>
    <w:rsid w:val="00090F07"/>
    <w:rsid w:val="00092D38"/>
    <w:rsid w:val="0009377B"/>
    <w:rsid w:val="00094A4C"/>
    <w:rsid w:val="000A0786"/>
    <w:rsid w:val="000A1B61"/>
    <w:rsid w:val="000A20C9"/>
    <w:rsid w:val="000A2E6B"/>
    <w:rsid w:val="000A41BF"/>
    <w:rsid w:val="000A6869"/>
    <w:rsid w:val="000A7DBB"/>
    <w:rsid w:val="000B058F"/>
    <w:rsid w:val="000B10CD"/>
    <w:rsid w:val="000B11B2"/>
    <w:rsid w:val="000B3537"/>
    <w:rsid w:val="000B4467"/>
    <w:rsid w:val="000B4587"/>
    <w:rsid w:val="000B4DB9"/>
    <w:rsid w:val="000B5CBD"/>
    <w:rsid w:val="000B63C5"/>
    <w:rsid w:val="000B6C7A"/>
    <w:rsid w:val="000C032E"/>
    <w:rsid w:val="000C09AC"/>
    <w:rsid w:val="000C0B38"/>
    <w:rsid w:val="000C135E"/>
    <w:rsid w:val="000C767F"/>
    <w:rsid w:val="000D0BFE"/>
    <w:rsid w:val="000D1093"/>
    <w:rsid w:val="000D284D"/>
    <w:rsid w:val="000D5A44"/>
    <w:rsid w:val="000D7D48"/>
    <w:rsid w:val="000E0097"/>
    <w:rsid w:val="000E1078"/>
    <w:rsid w:val="000E1864"/>
    <w:rsid w:val="000E1FA8"/>
    <w:rsid w:val="000E3ED2"/>
    <w:rsid w:val="000E41BF"/>
    <w:rsid w:val="000E43C4"/>
    <w:rsid w:val="000E5540"/>
    <w:rsid w:val="000E583E"/>
    <w:rsid w:val="000E6457"/>
    <w:rsid w:val="000E6780"/>
    <w:rsid w:val="000F27C1"/>
    <w:rsid w:val="000F3F98"/>
    <w:rsid w:val="000F75DB"/>
    <w:rsid w:val="00100A25"/>
    <w:rsid w:val="00102053"/>
    <w:rsid w:val="00102658"/>
    <w:rsid w:val="00103D67"/>
    <w:rsid w:val="00104BE1"/>
    <w:rsid w:val="00106575"/>
    <w:rsid w:val="00110E69"/>
    <w:rsid w:val="001116DA"/>
    <w:rsid w:val="00115ABE"/>
    <w:rsid w:val="00115DD2"/>
    <w:rsid w:val="0011646B"/>
    <w:rsid w:val="00116A05"/>
    <w:rsid w:val="00116A5D"/>
    <w:rsid w:val="0012080D"/>
    <w:rsid w:val="001224C7"/>
    <w:rsid w:val="0012290A"/>
    <w:rsid w:val="00122E44"/>
    <w:rsid w:val="00123D20"/>
    <w:rsid w:val="00123E26"/>
    <w:rsid w:val="00123E4D"/>
    <w:rsid w:val="001266A7"/>
    <w:rsid w:val="00127131"/>
    <w:rsid w:val="00130770"/>
    <w:rsid w:val="00131E3C"/>
    <w:rsid w:val="00131F42"/>
    <w:rsid w:val="00132234"/>
    <w:rsid w:val="001326E9"/>
    <w:rsid w:val="001327A7"/>
    <w:rsid w:val="00132FDD"/>
    <w:rsid w:val="00133F19"/>
    <w:rsid w:val="001341F0"/>
    <w:rsid w:val="00134E71"/>
    <w:rsid w:val="001357F1"/>
    <w:rsid w:val="0013639D"/>
    <w:rsid w:val="00140837"/>
    <w:rsid w:val="00140FA8"/>
    <w:rsid w:val="0014287E"/>
    <w:rsid w:val="00142B78"/>
    <w:rsid w:val="00142FEB"/>
    <w:rsid w:val="001439DC"/>
    <w:rsid w:val="00143A2D"/>
    <w:rsid w:val="00145A41"/>
    <w:rsid w:val="00147D70"/>
    <w:rsid w:val="00147E74"/>
    <w:rsid w:val="00151675"/>
    <w:rsid w:val="00153234"/>
    <w:rsid w:val="00153B13"/>
    <w:rsid w:val="00153E4B"/>
    <w:rsid w:val="001555B8"/>
    <w:rsid w:val="00157435"/>
    <w:rsid w:val="00160902"/>
    <w:rsid w:val="00161099"/>
    <w:rsid w:val="0016286F"/>
    <w:rsid w:val="00170F8F"/>
    <w:rsid w:val="00171BD2"/>
    <w:rsid w:val="00171D03"/>
    <w:rsid w:val="0017276E"/>
    <w:rsid w:val="001729B0"/>
    <w:rsid w:val="001735B0"/>
    <w:rsid w:val="0017504D"/>
    <w:rsid w:val="0017564D"/>
    <w:rsid w:val="0017671A"/>
    <w:rsid w:val="00177422"/>
    <w:rsid w:val="00180018"/>
    <w:rsid w:val="00181003"/>
    <w:rsid w:val="00184590"/>
    <w:rsid w:val="0018566E"/>
    <w:rsid w:val="00185F82"/>
    <w:rsid w:val="001870D1"/>
    <w:rsid w:val="0018781E"/>
    <w:rsid w:val="00190B81"/>
    <w:rsid w:val="00191FD0"/>
    <w:rsid w:val="0019262D"/>
    <w:rsid w:val="00195C1E"/>
    <w:rsid w:val="00196B28"/>
    <w:rsid w:val="0019729F"/>
    <w:rsid w:val="001A0083"/>
    <w:rsid w:val="001A0C6F"/>
    <w:rsid w:val="001A1038"/>
    <w:rsid w:val="001A1B35"/>
    <w:rsid w:val="001A3049"/>
    <w:rsid w:val="001A48A2"/>
    <w:rsid w:val="001A4EBB"/>
    <w:rsid w:val="001A51E9"/>
    <w:rsid w:val="001A63F2"/>
    <w:rsid w:val="001A64B1"/>
    <w:rsid w:val="001A6ADD"/>
    <w:rsid w:val="001A6F61"/>
    <w:rsid w:val="001A7047"/>
    <w:rsid w:val="001A7997"/>
    <w:rsid w:val="001B1EBA"/>
    <w:rsid w:val="001B4519"/>
    <w:rsid w:val="001B5F74"/>
    <w:rsid w:val="001B72B8"/>
    <w:rsid w:val="001C18C3"/>
    <w:rsid w:val="001C27CE"/>
    <w:rsid w:val="001C3F62"/>
    <w:rsid w:val="001C4728"/>
    <w:rsid w:val="001C4D79"/>
    <w:rsid w:val="001C54C8"/>
    <w:rsid w:val="001C58FB"/>
    <w:rsid w:val="001C6183"/>
    <w:rsid w:val="001C69B3"/>
    <w:rsid w:val="001C7806"/>
    <w:rsid w:val="001D3953"/>
    <w:rsid w:val="001D4000"/>
    <w:rsid w:val="001D4418"/>
    <w:rsid w:val="001D4F0F"/>
    <w:rsid w:val="001D5595"/>
    <w:rsid w:val="001D57BC"/>
    <w:rsid w:val="001D5A01"/>
    <w:rsid w:val="001D6044"/>
    <w:rsid w:val="001D7874"/>
    <w:rsid w:val="001D78D1"/>
    <w:rsid w:val="001D7F22"/>
    <w:rsid w:val="001E0CB2"/>
    <w:rsid w:val="001E0E44"/>
    <w:rsid w:val="001E3AED"/>
    <w:rsid w:val="001E4601"/>
    <w:rsid w:val="001E514B"/>
    <w:rsid w:val="001E7E97"/>
    <w:rsid w:val="001F0668"/>
    <w:rsid w:val="001F0F17"/>
    <w:rsid w:val="001F12FA"/>
    <w:rsid w:val="001F1424"/>
    <w:rsid w:val="001F212F"/>
    <w:rsid w:val="001F2CB2"/>
    <w:rsid w:val="001F3347"/>
    <w:rsid w:val="001F3780"/>
    <w:rsid w:val="001F454E"/>
    <w:rsid w:val="001F69E4"/>
    <w:rsid w:val="001F73B2"/>
    <w:rsid w:val="00200EEF"/>
    <w:rsid w:val="002010D3"/>
    <w:rsid w:val="00202228"/>
    <w:rsid w:val="00202853"/>
    <w:rsid w:val="00203987"/>
    <w:rsid w:val="00203B3F"/>
    <w:rsid w:val="00203B5F"/>
    <w:rsid w:val="00205C64"/>
    <w:rsid w:val="00206A6D"/>
    <w:rsid w:val="00207516"/>
    <w:rsid w:val="00207F16"/>
    <w:rsid w:val="0021033F"/>
    <w:rsid w:val="0021043C"/>
    <w:rsid w:val="00210D3C"/>
    <w:rsid w:val="002125B4"/>
    <w:rsid w:val="002155B8"/>
    <w:rsid w:val="002157C4"/>
    <w:rsid w:val="0021637E"/>
    <w:rsid w:val="00217CD1"/>
    <w:rsid w:val="00220481"/>
    <w:rsid w:val="0022138B"/>
    <w:rsid w:val="00222229"/>
    <w:rsid w:val="00222A68"/>
    <w:rsid w:val="00222C09"/>
    <w:rsid w:val="0022353F"/>
    <w:rsid w:val="00224839"/>
    <w:rsid w:val="002249B2"/>
    <w:rsid w:val="00225A81"/>
    <w:rsid w:val="0022653E"/>
    <w:rsid w:val="00226574"/>
    <w:rsid w:val="0022751A"/>
    <w:rsid w:val="002278EC"/>
    <w:rsid w:val="002279CC"/>
    <w:rsid w:val="0023280E"/>
    <w:rsid w:val="00233555"/>
    <w:rsid w:val="00233FE7"/>
    <w:rsid w:val="00234259"/>
    <w:rsid w:val="00234486"/>
    <w:rsid w:val="00235B95"/>
    <w:rsid w:val="0023630E"/>
    <w:rsid w:val="002377D1"/>
    <w:rsid w:val="002409D1"/>
    <w:rsid w:val="00240DBE"/>
    <w:rsid w:val="0024345F"/>
    <w:rsid w:val="00245E62"/>
    <w:rsid w:val="002472A5"/>
    <w:rsid w:val="0024788E"/>
    <w:rsid w:val="002506BC"/>
    <w:rsid w:val="0025293C"/>
    <w:rsid w:val="00252B54"/>
    <w:rsid w:val="002542FB"/>
    <w:rsid w:val="00254345"/>
    <w:rsid w:val="00254984"/>
    <w:rsid w:val="00254A8E"/>
    <w:rsid w:val="00254EEB"/>
    <w:rsid w:val="0025578F"/>
    <w:rsid w:val="002565E9"/>
    <w:rsid w:val="0026103C"/>
    <w:rsid w:val="002613B7"/>
    <w:rsid w:val="002618D7"/>
    <w:rsid w:val="00263A0C"/>
    <w:rsid w:val="00264557"/>
    <w:rsid w:val="002658A7"/>
    <w:rsid w:val="00266B1C"/>
    <w:rsid w:val="00267DC1"/>
    <w:rsid w:val="002701DA"/>
    <w:rsid w:val="00271755"/>
    <w:rsid w:val="002719E9"/>
    <w:rsid w:val="00271F7D"/>
    <w:rsid w:val="002748E5"/>
    <w:rsid w:val="00274AF9"/>
    <w:rsid w:val="00274B06"/>
    <w:rsid w:val="00274ED0"/>
    <w:rsid w:val="00277C28"/>
    <w:rsid w:val="002805AB"/>
    <w:rsid w:val="002811EE"/>
    <w:rsid w:val="002814A5"/>
    <w:rsid w:val="002824AC"/>
    <w:rsid w:val="00283864"/>
    <w:rsid w:val="00284204"/>
    <w:rsid w:val="00287529"/>
    <w:rsid w:val="00290993"/>
    <w:rsid w:val="00291773"/>
    <w:rsid w:val="00291E27"/>
    <w:rsid w:val="002920D9"/>
    <w:rsid w:val="002926EC"/>
    <w:rsid w:val="0029406C"/>
    <w:rsid w:val="002961EA"/>
    <w:rsid w:val="0029735E"/>
    <w:rsid w:val="002A02A7"/>
    <w:rsid w:val="002A0E86"/>
    <w:rsid w:val="002A133C"/>
    <w:rsid w:val="002A168C"/>
    <w:rsid w:val="002A1B1A"/>
    <w:rsid w:val="002A1E6A"/>
    <w:rsid w:val="002A3DC7"/>
    <w:rsid w:val="002A59E3"/>
    <w:rsid w:val="002A6E43"/>
    <w:rsid w:val="002A7671"/>
    <w:rsid w:val="002A7BA9"/>
    <w:rsid w:val="002A7F2E"/>
    <w:rsid w:val="002B3C16"/>
    <w:rsid w:val="002B3D29"/>
    <w:rsid w:val="002B3D51"/>
    <w:rsid w:val="002B4825"/>
    <w:rsid w:val="002B49E2"/>
    <w:rsid w:val="002B5256"/>
    <w:rsid w:val="002B6094"/>
    <w:rsid w:val="002B6892"/>
    <w:rsid w:val="002B6A5C"/>
    <w:rsid w:val="002B6D6C"/>
    <w:rsid w:val="002B727A"/>
    <w:rsid w:val="002B735B"/>
    <w:rsid w:val="002B7B00"/>
    <w:rsid w:val="002B7C44"/>
    <w:rsid w:val="002C19DE"/>
    <w:rsid w:val="002C1B30"/>
    <w:rsid w:val="002C2482"/>
    <w:rsid w:val="002C2B17"/>
    <w:rsid w:val="002C4C95"/>
    <w:rsid w:val="002C58FF"/>
    <w:rsid w:val="002C6093"/>
    <w:rsid w:val="002C6E80"/>
    <w:rsid w:val="002C7417"/>
    <w:rsid w:val="002C7570"/>
    <w:rsid w:val="002D0A7E"/>
    <w:rsid w:val="002D15E8"/>
    <w:rsid w:val="002D1DC4"/>
    <w:rsid w:val="002D22C0"/>
    <w:rsid w:val="002D2965"/>
    <w:rsid w:val="002D350B"/>
    <w:rsid w:val="002D3DD0"/>
    <w:rsid w:val="002D3EBD"/>
    <w:rsid w:val="002D5A39"/>
    <w:rsid w:val="002D5B0C"/>
    <w:rsid w:val="002D5C07"/>
    <w:rsid w:val="002E02B0"/>
    <w:rsid w:val="002E0991"/>
    <w:rsid w:val="002E1F3A"/>
    <w:rsid w:val="002E298A"/>
    <w:rsid w:val="002E3332"/>
    <w:rsid w:val="002E417D"/>
    <w:rsid w:val="002E4193"/>
    <w:rsid w:val="002F1F2A"/>
    <w:rsid w:val="002F3C5D"/>
    <w:rsid w:val="002F45D4"/>
    <w:rsid w:val="002F5C54"/>
    <w:rsid w:val="002F6EF7"/>
    <w:rsid w:val="002F6F93"/>
    <w:rsid w:val="00301978"/>
    <w:rsid w:val="003023B6"/>
    <w:rsid w:val="00302F8F"/>
    <w:rsid w:val="0030332C"/>
    <w:rsid w:val="0030419F"/>
    <w:rsid w:val="003051C2"/>
    <w:rsid w:val="003053E9"/>
    <w:rsid w:val="00305899"/>
    <w:rsid w:val="00307AA8"/>
    <w:rsid w:val="00310266"/>
    <w:rsid w:val="00312296"/>
    <w:rsid w:val="00312DD5"/>
    <w:rsid w:val="00314F0E"/>
    <w:rsid w:val="0031566C"/>
    <w:rsid w:val="003173F3"/>
    <w:rsid w:val="00317BB3"/>
    <w:rsid w:val="00317E87"/>
    <w:rsid w:val="003208FD"/>
    <w:rsid w:val="0032121B"/>
    <w:rsid w:val="0032197D"/>
    <w:rsid w:val="00321A0A"/>
    <w:rsid w:val="00321D8E"/>
    <w:rsid w:val="00322083"/>
    <w:rsid w:val="003228F9"/>
    <w:rsid w:val="003256F6"/>
    <w:rsid w:val="00325928"/>
    <w:rsid w:val="0032613B"/>
    <w:rsid w:val="003262F5"/>
    <w:rsid w:val="00326D53"/>
    <w:rsid w:val="0033155C"/>
    <w:rsid w:val="00331B90"/>
    <w:rsid w:val="00332863"/>
    <w:rsid w:val="00333EC2"/>
    <w:rsid w:val="003341E2"/>
    <w:rsid w:val="00334AB1"/>
    <w:rsid w:val="003350EE"/>
    <w:rsid w:val="0033684D"/>
    <w:rsid w:val="003368D4"/>
    <w:rsid w:val="00337B42"/>
    <w:rsid w:val="00337EE2"/>
    <w:rsid w:val="00341517"/>
    <w:rsid w:val="00341B42"/>
    <w:rsid w:val="0034348F"/>
    <w:rsid w:val="003501F8"/>
    <w:rsid w:val="003503F3"/>
    <w:rsid w:val="003517F1"/>
    <w:rsid w:val="00353062"/>
    <w:rsid w:val="00356653"/>
    <w:rsid w:val="003573EC"/>
    <w:rsid w:val="0035743F"/>
    <w:rsid w:val="00357BE2"/>
    <w:rsid w:val="00357DFF"/>
    <w:rsid w:val="00360156"/>
    <w:rsid w:val="00360C7A"/>
    <w:rsid w:val="00360EE0"/>
    <w:rsid w:val="0036170C"/>
    <w:rsid w:val="00361FC4"/>
    <w:rsid w:val="003625F2"/>
    <w:rsid w:val="00362DBC"/>
    <w:rsid w:val="00363CD2"/>
    <w:rsid w:val="00365BB4"/>
    <w:rsid w:val="0036624C"/>
    <w:rsid w:val="003664A4"/>
    <w:rsid w:val="00366883"/>
    <w:rsid w:val="003669D5"/>
    <w:rsid w:val="00366A29"/>
    <w:rsid w:val="00366E0F"/>
    <w:rsid w:val="003670D6"/>
    <w:rsid w:val="003716F3"/>
    <w:rsid w:val="00374708"/>
    <w:rsid w:val="00374E68"/>
    <w:rsid w:val="00374FB4"/>
    <w:rsid w:val="00375378"/>
    <w:rsid w:val="00377712"/>
    <w:rsid w:val="003801FF"/>
    <w:rsid w:val="00381A72"/>
    <w:rsid w:val="003828F3"/>
    <w:rsid w:val="00383586"/>
    <w:rsid w:val="003835C6"/>
    <w:rsid w:val="00384676"/>
    <w:rsid w:val="003851AD"/>
    <w:rsid w:val="00387DC8"/>
    <w:rsid w:val="00387F16"/>
    <w:rsid w:val="00390857"/>
    <w:rsid w:val="00390A8E"/>
    <w:rsid w:val="00391030"/>
    <w:rsid w:val="00392F7A"/>
    <w:rsid w:val="0039340A"/>
    <w:rsid w:val="003949EB"/>
    <w:rsid w:val="00394D41"/>
    <w:rsid w:val="003969AE"/>
    <w:rsid w:val="003A1685"/>
    <w:rsid w:val="003A2D1D"/>
    <w:rsid w:val="003A332A"/>
    <w:rsid w:val="003A34FC"/>
    <w:rsid w:val="003A3C85"/>
    <w:rsid w:val="003A3D29"/>
    <w:rsid w:val="003A3E44"/>
    <w:rsid w:val="003A414F"/>
    <w:rsid w:val="003A4BF3"/>
    <w:rsid w:val="003A602B"/>
    <w:rsid w:val="003A7F58"/>
    <w:rsid w:val="003B397E"/>
    <w:rsid w:val="003B3D36"/>
    <w:rsid w:val="003B420D"/>
    <w:rsid w:val="003B44CC"/>
    <w:rsid w:val="003B4AE7"/>
    <w:rsid w:val="003B6FC6"/>
    <w:rsid w:val="003B7E7E"/>
    <w:rsid w:val="003B7F32"/>
    <w:rsid w:val="003C056D"/>
    <w:rsid w:val="003C0D00"/>
    <w:rsid w:val="003C1151"/>
    <w:rsid w:val="003C385B"/>
    <w:rsid w:val="003C66B4"/>
    <w:rsid w:val="003C6C16"/>
    <w:rsid w:val="003C7D10"/>
    <w:rsid w:val="003C7E52"/>
    <w:rsid w:val="003D0DFA"/>
    <w:rsid w:val="003D27BE"/>
    <w:rsid w:val="003D4314"/>
    <w:rsid w:val="003D46B1"/>
    <w:rsid w:val="003D4722"/>
    <w:rsid w:val="003D794D"/>
    <w:rsid w:val="003E3058"/>
    <w:rsid w:val="003E3332"/>
    <w:rsid w:val="003E52EC"/>
    <w:rsid w:val="003E56B5"/>
    <w:rsid w:val="003E5E23"/>
    <w:rsid w:val="003E6D22"/>
    <w:rsid w:val="003E76A9"/>
    <w:rsid w:val="003F0809"/>
    <w:rsid w:val="003F0A95"/>
    <w:rsid w:val="003F0AAA"/>
    <w:rsid w:val="003F1344"/>
    <w:rsid w:val="003F2EBB"/>
    <w:rsid w:val="003F2F99"/>
    <w:rsid w:val="003F4545"/>
    <w:rsid w:val="003F6A8C"/>
    <w:rsid w:val="003F755C"/>
    <w:rsid w:val="00400B6E"/>
    <w:rsid w:val="00401B3C"/>
    <w:rsid w:val="0040604B"/>
    <w:rsid w:val="00406E96"/>
    <w:rsid w:val="00406F01"/>
    <w:rsid w:val="004071F1"/>
    <w:rsid w:val="00407223"/>
    <w:rsid w:val="00410C5D"/>
    <w:rsid w:val="00413B6A"/>
    <w:rsid w:val="00414936"/>
    <w:rsid w:val="0041505E"/>
    <w:rsid w:val="0041543A"/>
    <w:rsid w:val="004166D2"/>
    <w:rsid w:val="00416D50"/>
    <w:rsid w:val="00416F9F"/>
    <w:rsid w:val="00416FD5"/>
    <w:rsid w:val="00417772"/>
    <w:rsid w:val="00420C08"/>
    <w:rsid w:val="00420E6A"/>
    <w:rsid w:val="00421E25"/>
    <w:rsid w:val="00421E96"/>
    <w:rsid w:val="00421F63"/>
    <w:rsid w:val="00423A94"/>
    <w:rsid w:val="0042406D"/>
    <w:rsid w:val="00425426"/>
    <w:rsid w:val="00425A9E"/>
    <w:rsid w:val="00425F98"/>
    <w:rsid w:val="00426D6B"/>
    <w:rsid w:val="0042771F"/>
    <w:rsid w:val="00427E0B"/>
    <w:rsid w:val="00430602"/>
    <w:rsid w:val="00431E6C"/>
    <w:rsid w:val="004337A3"/>
    <w:rsid w:val="00433CE7"/>
    <w:rsid w:val="00433FAA"/>
    <w:rsid w:val="00434E92"/>
    <w:rsid w:val="00435180"/>
    <w:rsid w:val="0043555B"/>
    <w:rsid w:val="004372D2"/>
    <w:rsid w:val="0044060B"/>
    <w:rsid w:val="00442AED"/>
    <w:rsid w:val="00442C5C"/>
    <w:rsid w:val="00442E0E"/>
    <w:rsid w:val="00443694"/>
    <w:rsid w:val="00444F51"/>
    <w:rsid w:val="00445667"/>
    <w:rsid w:val="00447B5D"/>
    <w:rsid w:val="00451EF8"/>
    <w:rsid w:val="004525B6"/>
    <w:rsid w:val="00452738"/>
    <w:rsid w:val="00454266"/>
    <w:rsid w:val="004555FD"/>
    <w:rsid w:val="00455D34"/>
    <w:rsid w:val="00455F02"/>
    <w:rsid w:val="00456091"/>
    <w:rsid w:val="00456C04"/>
    <w:rsid w:val="0046189A"/>
    <w:rsid w:val="00462971"/>
    <w:rsid w:val="0046360D"/>
    <w:rsid w:val="00465FEC"/>
    <w:rsid w:val="00466297"/>
    <w:rsid w:val="00466321"/>
    <w:rsid w:val="00467422"/>
    <w:rsid w:val="00470303"/>
    <w:rsid w:val="00470E7A"/>
    <w:rsid w:val="004715D6"/>
    <w:rsid w:val="00472020"/>
    <w:rsid w:val="00472431"/>
    <w:rsid w:val="004725D9"/>
    <w:rsid w:val="0047391F"/>
    <w:rsid w:val="00473C99"/>
    <w:rsid w:val="00474AA3"/>
    <w:rsid w:val="004805D6"/>
    <w:rsid w:val="00482794"/>
    <w:rsid w:val="00484278"/>
    <w:rsid w:val="00484B9B"/>
    <w:rsid w:val="004855F6"/>
    <w:rsid w:val="00485F3D"/>
    <w:rsid w:val="0048661E"/>
    <w:rsid w:val="004913BD"/>
    <w:rsid w:val="00494670"/>
    <w:rsid w:val="00495A56"/>
    <w:rsid w:val="00496168"/>
    <w:rsid w:val="00496663"/>
    <w:rsid w:val="00497111"/>
    <w:rsid w:val="004A324E"/>
    <w:rsid w:val="004A3823"/>
    <w:rsid w:val="004A4417"/>
    <w:rsid w:val="004A4C9C"/>
    <w:rsid w:val="004A710A"/>
    <w:rsid w:val="004B05E9"/>
    <w:rsid w:val="004B27C9"/>
    <w:rsid w:val="004B34A1"/>
    <w:rsid w:val="004B3F00"/>
    <w:rsid w:val="004B4AFD"/>
    <w:rsid w:val="004B59C3"/>
    <w:rsid w:val="004B5AA9"/>
    <w:rsid w:val="004B5BB1"/>
    <w:rsid w:val="004B65B4"/>
    <w:rsid w:val="004B6F36"/>
    <w:rsid w:val="004C0238"/>
    <w:rsid w:val="004C2B44"/>
    <w:rsid w:val="004C34CC"/>
    <w:rsid w:val="004C42BA"/>
    <w:rsid w:val="004C60A3"/>
    <w:rsid w:val="004C7542"/>
    <w:rsid w:val="004C794E"/>
    <w:rsid w:val="004D06DE"/>
    <w:rsid w:val="004D0E5B"/>
    <w:rsid w:val="004D1D40"/>
    <w:rsid w:val="004D3554"/>
    <w:rsid w:val="004D3F1D"/>
    <w:rsid w:val="004D4AF8"/>
    <w:rsid w:val="004D5E2F"/>
    <w:rsid w:val="004E3F87"/>
    <w:rsid w:val="004E53ED"/>
    <w:rsid w:val="004E5758"/>
    <w:rsid w:val="004E6064"/>
    <w:rsid w:val="004E60EF"/>
    <w:rsid w:val="004E6946"/>
    <w:rsid w:val="004E6E83"/>
    <w:rsid w:val="004E79A9"/>
    <w:rsid w:val="004F0315"/>
    <w:rsid w:val="004F1AD8"/>
    <w:rsid w:val="004F5149"/>
    <w:rsid w:val="004F6425"/>
    <w:rsid w:val="004F6430"/>
    <w:rsid w:val="004F72CA"/>
    <w:rsid w:val="004F7983"/>
    <w:rsid w:val="00500EDE"/>
    <w:rsid w:val="00500F6B"/>
    <w:rsid w:val="0050118E"/>
    <w:rsid w:val="00503959"/>
    <w:rsid w:val="005039CB"/>
    <w:rsid w:val="0050558F"/>
    <w:rsid w:val="00505F80"/>
    <w:rsid w:val="00506286"/>
    <w:rsid w:val="0050714C"/>
    <w:rsid w:val="00507F11"/>
    <w:rsid w:val="00510813"/>
    <w:rsid w:val="0051111F"/>
    <w:rsid w:val="00511990"/>
    <w:rsid w:val="00511DE0"/>
    <w:rsid w:val="0051237D"/>
    <w:rsid w:val="005131F1"/>
    <w:rsid w:val="00514870"/>
    <w:rsid w:val="00514B9B"/>
    <w:rsid w:val="005167BC"/>
    <w:rsid w:val="00517F02"/>
    <w:rsid w:val="00522D17"/>
    <w:rsid w:val="005237BF"/>
    <w:rsid w:val="00523BBF"/>
    <w:rsid w:val="00523F54"/>
    <w:rsid w:val="005242E2"/>
    <w:rsid w:val="00524303"/>
    <w:rsid w:val="00524542"/>
    <w:rsid w:val="005249FC"/>
    <w:rsid w:val="00524B14"/>
    <w:rsid w:val="00525750"/>
    <w:rsid w:val="005258A2"/>
    <w:rsid w:val="0052783E"/>
    <w:rsid w:val="00530768"/>
    <w:rsid w:val="005317E7"/>
    <w:rsid w:val="005323CE"/>
    <w:rsid w:val="005325BE"/>
    <w:rsid w:val="00532B79"/>
    <w:rsid w:val="00537A03"/>
    <w:rsid w:val="005401AE"/>
    <w:rsid w:val="005414AB"/>
    <w:rsid w:val="00542E07"/>
    <w:rsid w:val="00543730"/>
    <w:rsid w:val="005452DC"/>
    <w:rsid w:val="00545424"/>
    <w:rsid w:val="0054548B"/>
    <w:rsid w:val="00545C62"/>
    <w:rsid w:val="0054669F"/>
    <w:rsid w:val="00547EAB"/>
    <w:rsid w:val="005503E6"/>
    <w:rsid w:val="00551BAB"/>
    <w:rsid w:val="005534CD"/>
    <w:rsid w:val="00554A7B"/>
    <w:rsid w:val="0055572C"/>
    <w:rsid w:val="00556C9F"/>
    <w:rsid w:val="005602F6"/>
    <w:rsid w:val="00560828"/>
    <w:rsid w:val="0056106A"/>
    <w:rsid w:val="005616C4"/>
    <w:rsid w:val="00562E39"/>
    <w:rsid w:val="00563A90"/>
    <w:rsid w:val="005648F9"/>
    <w:rsid w:val="00565F90"/>
    <w:rsid w:val="00567103"/>
    <w:rsid w:val="00570653"/>
    <w:rsid w:val="00571C02"/>
    <w:rsid w:val="005720AE"/>
    <w:rsid w:val="005739A3"/>
    <w:rsid w:val="00574557"/>
    <w:rsid w:val="005745EE"/>
    <w:rsid w:val="00575408"/>
    <w:rsid w:val="0057657A"/>
    <w:rsid w:val="00577477"/>
    <w:rsid w:val="0058037E"/>
    <w:rsid w:val="00583E14"/>
    <w:rsid w:val="00585CAB"/>
    <w:rsid w:val="005861E2"/>
    <w:rsid w:val="005864F7"/>
    <w:rsid w:val="00586A95"/>
    <w:rsid w:val="00586EB1"/>
    <w:rsid w:val="00590434"/>
    <w:rsid w:val="005908FF"/>
    <w:rsid w:val="0059097C"/>
    <w:rsid w:val="005948F3"/>
    <w:rsid w:val="00594B07"/>
    <w:rsid w:val="00594D77"/>
    <w:rsid w:val="00594DC3"/>
    <w:rsid w:val="005969E4"/>
    <w:rsid w:val="005978A2"/>
    <w:rsid w:val="005A06B7"/>
    <w:rsid w:val="005A0969"/>
    <w:rsid w:val="005A0DB8"/>
    <w:rsid w:val="005A16BA"/>
    <w:rsid w:val="005A1759"/>
    <w:rsid w:val="005A347E"/>
    <w:rsid w:val="005A41DA"/>
    <w:rsid w:val="005A68A7"/>
    <w:rsid w:val="005B28A9"/>
    <w:rsid w:val="005B474E"/>
    <w:rsid w:val="005B47ED"/>
    <w:rsid w:val="005B54C9"/>
    <w:rsid w:val="005B6102"/>
    <w:rsid w:val="005B6428"/>
    <w:rsid w:val="005C0843"/>
    <w:rsid w:val="005C2314"/>
    <w:rsid w:val="005C2977"/>
    <w:rsid w:val="005C2D68"/>
    <w:rsid w:val="005C4A4B"/>
    <w:rsid w:val="005C6737"/>
    <w:rsid w:val="005C7F61"/>
    <w:rsid w:val="005D104B"/>
    <w:rsid w:val="005D3287"/>
    <w:rsid w:val="005D36AB"/>
    <w:rsid w:val="005D430B"/>
    <w:rsid w:val="005D45AE"/>
    <w:rsid w:val="005D5B22"/>
    <w:rsid w:val="005D6E30"/>
    <w:rsid w:val="005D6F31"/>
    <w:rsid w:val="005E012F"/>
    <w:rsid w:val="005E28CB"/>
    <w:rsid w:val="005E2D29"/>
    <w:rsid w:val="005E3CA0"/>
    <w:rsid w:val="005E424B"/>
    <w:rsid w:val="005E64AA"/>
    <w:rsid w:val="005F0F10"/>
    <w:rsid w:val="005F331A"/>
    <w:rsid w:val="005F3506"/>
    <w:rsid w:val="005F47E2"/>
    <w:rsid w:val="005F598F"/>
    <w:rsid w:val="005F61E9"/>
    <w:rsid w:val="006004D2"/>
    <w:rsid w:val="006014F2"/>
    <w:rsid w:val="00602566"/>
    <w:rsid w:val="00602C85"/>
    <w:rsid w:val="006046A4"/>
    <w:rsid w:val="00607299"/>
    <w:rsid w:val="00607EDF"/>
    <w:rsid w:val="006103EF"/>
    <w:rsid w:val="00612162"/>
    <w:rsid w:val="006140B3"/>
    <w:rsid w:val="00614C32"/>
    <w:rsid w:val="0061560F"/>
    <w:rsid w:val="00617CC3"/>
    <w:rsid w:val="0062177C"/>
    <w:rsid w:val="00621B89"/>
    <w:rsid w:val="00621BEE"/>
    <w:rsid w:val="00622BBC"/>
    <w:rsid w:val="0062391F"/>
    <w:rsid w:val="006254BC"/>
    <w:rsid w:val="0062593D"/>
    <w:rsid w:val="00626081"/>
    <w:rsid w:val="006263E0"/>
    <w:rsid w:val="00632915"/>
    <w:rsid w:val="0063296D"/>
    <w:rsid w:val="00632B79"/>
    <w:rsid w:val="00633A47"/>
    <w:rsid w:val="00636AC0"/>
    <w:rsid w:val="00637182"/>
    <w:rsid w:val="006377A6"/>
    <w:rsid w:val="00637A3D"/>
    <w:rsid w:val="00640426"/>
    <w:rsid w:val="006410D8"/>
    <w:rsid w:val="006411EF"/>
    <w:rsid w:val="00641ED5"/>
    <w:rsid w:val="006421BA"/>
    <w:rsid w:val="0064270B"/>
    <w:rsid w:val="00642FD8"/>
    <w:rsid w:val="00644131"/>
    <w:rsid w:val="006446CD"/>
    <w:rsid w:val="00645B68"/>
    <w:rsid w:val="00645CBA"/>
    <w:rsid w:val="00646B75"/>
    <w:rsid w:val="0065290C"/>
    <w:rsid w:val="00652D25"/>
    <w:rsid w:val="0065420A"/>
    <w:rsid w:val="0065522F"/>
    <w:rsid w:val="0065585F"/>
    <w:rsid w:val="006560CB"/>
    <w:rsid w:val="00656A33"/>
    <w:rsid w:val="00657B4E"/>
    <w:rsid w:val="00661682"/>
    <w:rsid w:val="00661CAB"/>
    <w:rsid w:val="00664886"/>
    <w:rsid w:val="00664CBA"/>
    <w:rsid w:val="006673CC"/>
    <w:rsid w:val="0067053D"/>
    <w:rsid w:val="00674695"/>
    <w:rsid w:val="006748B8"/>
    <w:rsid w:val="006769B6"/>
    <w:rsid w:val="00677185"/>
    <w:rsid w:val="006775C3"/>
    <w:rsid w:val="00681AFD"/>
    <w:rsid w:val="00681B04"/>
    <w:rsid w:val="006831AE"/>
    <w:rsid w:val="006837F4"/>
    <w:rsid w:val="006856C5"/>
    <w:rsid w:val="00686721"/>
    <w:rsid w:val="0069189D"/>
    <w:rsid w:val="00691E0E"/>
    <w:rsid w:val="006920F0"/>
    <w:rsid w:val="0069290A"/>
    <w:rsid w:val="00695440"/>
    <w:rsid w:val="0069775A"/>
    <w:rsid w:val="00697813"/>
    <w:rsid w:val="006A00A9"/>
    <w:rsid w:val="006A0F80"/>
    <w:rsid w:val="006A3EE8"/>
    <w:rsid w:val="006A4BB0"/>
    <w:rsid w:val="006A6142"/>
    <w:rsid w:val="006A72BF"/>
    <w:rsid w:val="006A734C"/>
    <w:rsid w:val="006B03F2"/>
    <w:rsid w:val="006B19E6"/>
    <w:rsid w:val="006B37DC"/>
    <w:rsid w:val="006B4C84"/>
    <w:rsid w:val="006B4F68"/>
    <w:rsid w:val="006B6526"/>
    <w:rsid w:val="006B7610"/>
    <w:rsid w:val="006C0592"/>
    <w:rsid w:val="006C091C"/>
    <w:rsid w:val="006C272E"/>
    <w:rsid w:val="006C277B"/>
    <w:rsid w:val="006C4414"/>
    <w:rsid w:val="006C49A3"/>
    <w:rsid w:val="006C5479"/>
    <w:rsid w:val="006C658B"/>
    <w:rsid w:val="006C7DE1"/>
    <w:rsid w:val="006D13B5"/>
    <w:rsid w:val="006D4A35"/>
    <w:rsid w:val="006D539D"/>
    <w:rsid w:val="006D73F7"/>
    <w:rsid w:val="006D7955"/>
    <w:rsid w:val="006E0C11"/>
    <w:rsid w:val="006E12FF"/>
    <w:rsid w:val="006E19ED"/>
    <w:rsid w:val="006E1BDA"/>
    <w:rsid w:val="006E2E99"/>
    <w:rsid w:val="006E2EF4"/>
    <w:rsid w:val="006E35D9"/>
    <w:rsid w:val="006E607E"/>
    <w:rsid w:val="006E6B99"/>
    <w:rsid w:val="006E6E18"/>
    <w:rsid w:val="006E7048"/>
    <w:rsid w:val="006E77A5"/>
    <w:rsid w:val="006E7936"/>
    <w:rsid w:val="006F2CD0"/>
    <w:rsid w:val="006F4A06"/>
    <w:rsid w:val="006F4D65"/>
    <w:rsid w:val="006F759C"/>
    <w:rsid w:val="00701CAA"/>
    <w:rsid w:val="00701DB3"/>
    <w:rsid w:val="007035F7"/>
    <w:rsid w:val="00703A0C"/>
    <w:rsid w:val="00703BDF"/>
    <w:rsid w:val="007043F2"/>
    <w:rsid w:val="00706531"/>
    <w:rsid w:val="00706C5D"/>
    <w:rsid w:val="00706C8F"/>
    <w:rsid w:val="0070759D"/>
    <w:rsid w:val="00707846"/>
    <w:rsid w:val="00715B87"/>
    <w:rsid w:val="00717C30"/>
    <w:rsid w:val="007201EC"/>
    <w:rsid w:val="00720FD4"/>
    <w:rsid w:val="007220AC"/>
    <w:rsid w:val="00722AC5"/>
    <w:rsid w:val="00724F70"/>
    <w:rsid w:val="0072644A"/>
    <w:rsid w:val="0072647A"/>
    <w:rsid w:val="007265C2"/>
    <w:rsid w:val="00727534"/>
    <w:rsid w:val="00730E48"/>
    <w:rsid w:val="0073171F"/>
    <w:rsid w:val="00731DFB"/>
    <w:rsid w:val="00732922"/>
    <w:rsid w:val="00733B84"/>
    <w:rsid w:val="00734925"/>
    <w:rsid w:val="007359D9"/>
    <w:rsid w:val="007363D6"/>
    <w:rsid w:val="0073650D"/>
    <w:rsid w:val="00742277"/>
    <w:rsid w:val="007424AE"/>
    <w:rsid w:val="00742EFA"/>
    <w:rsid w:val="007451A5"/>
    <w:rsid w:val="007456CF"/>
    <w:rsid w:val="00747CDE"/>
    <w:rsid w:val="0075017F"/>
    <w:rsid w:val="0075162E"/>
    <w:rsid w:val="00751B72"/>
    <w:rsid w:val="00753173"/>
    <w:rsid w:val="00753C0B"/>
    <w:rsid w:val="00754034"/>
    <w:rsid w:val="0075457E"/>
    <w:rsid w:val="007548F2"/>
    <w:rsid w:val="00756556"/>
    <w:rsid w:val="00757772"/>
    <w:rsid w:val="0075787D"/>
    <w:rsid w:val="00760B6C"/>
    <w:rsid w:val="007612CA"/>
    <w:rsid w:val="0076159A"/>
    <w:rsid w:val="007618C4"/>
    <w:rsid w:val="0076692D"/>
    <w:rsid w:val="00767980"/>
    <w:rsid w:val="00770B19"/>
    <w:rsid w:val="00771256"/>
    <w:rsid w:val="00772C55"/>
    <w:rsid w:val="007738EC"/>
    <w:rsid w:val="00774003"/>
    <w:rsid w:val="00774625"/>
    <w:rsid w:val="0077463F"/>
    <w:rsid w:val="007771CD"/>
    <w:rsid w:val="0078008B"/>
    <w:rsid w:val="00781C22"/>
    <w:rsid w:val="007824C5"/>
    <w:rsid w:val="007836EA"/>
    <w:rsid w:val="0078391D"/>
    <w:rsid w:val="00784CDA"/>
    <w:rsid w:val="007850A7"/>
    <w:rsid w:val="0078585D"/>
    <w:rsid w:val="00786977"/>
    <w:rsid w:val="007870C6"/>
    <w:rsid w:val="007906C4"/>
    <w:rsid w:val="00790A88"/>
    <w:rsid w:val="00792C52"/>
    <w:rsid w:val="00792DAF"/>
    <w:rsid w:val="007935A2"/>
    <w:rsid w:val="007935FF"/>
    <w:rsid w:val="007940EA"/>
    <w:rsid w:val="00795308"/>
    <w:rsid w:val="007967E8"/>
    <w:rsid w:val="007A037F"/>
    <w:rsid w:val="007A0F2C"/>
    <w:rsid w:val="007A1912"/>
    <w:rsid w:val="007A1A25"/>
    <w:rsid w:val="007A2170"/>
    <w:rsid w:val="007A22BF"/>
    <w:rsid w:val="007A3323"/>
    <w:rsid w:val="007A344B"/>
    <w:rsid w:val="007A5837"/>
    <w:rsid w:val="007A5D83"/>
    <w:rsid w:val="007A7AF9"/>
    <w:rsid w:val="007B1ABD"/>
    <w:rsid w:val="007B2AE9"/>
    <w:rsid w:val="007B5C88"/>
    <w:rsid w:val="007B72B8"/>
    <w:rsid w:val="007B7A58"/>
    <w:rsid w:val="007C11C2"/>
    <w:rsid w:val="007C21B5"/>
    <w:rsid w:val="007C39BA"/>
    <w:rsid w:val="007C4380"/>
    <w:rsid w:val="007C4DEC"/>
    <w:rsid w:val="007C510A"/>
    <w:rsid w:val="007C5299"/>
    <w:rsid w:val="007C7050"/>
    <w:rsid w:val="007C7FD1"/>
    <w:rsid w:val="007D04A0"/>
    <w:rsid w:val="007D19DD"/>
    <w:rsid w:val="007D20E9"/>
    <w:rsid w:val="007D2A88"/>
    <w:rsid w:val="007D3229"/>
    <w:rsid w:val="007D4C4F"/>
    <w:rsid w:val="007D4CFE"/>
    <w:rsid w:val="007D6AF4"/>
    <w:rsid w:val="007E1475"/>
    <w:rsid w:val="007E18CB"/>
    <w:rsid w:val="007E1DA6"/>
    <w:rsid w:val="007E1F30"/>
    <w:rsid w:val="007E220E"/>
    <w:rsid w:val="007E4BD2"/>
    <w:rsid w:val="007E5923"/>
    <w:rsid w:val="007E7309"/>
    <w:rsid w:val="007F0502"/>
    <w:rsid w:val="007F2DE3"/>
    <w:rsid w:val="007F2E37"/>
    <w:rsid w:val="007F35BC"/>
    <w:rsid w:val="007F3D38"/>
    <w:rsid w:val="007F68E6"/>
    <w:rsid w:val="00801393"/>
    <w:rsid w:val="00801BE8"/>
    <w:rsid w:val="00802F88"/>
    <w:rsid w:val="00803254"/>
    <w:rsid w:val="00803E5A"/>
    <w:rsid w:val="008053DB"/>
    <w:rsid w:val="00806416"/>
    <w:rsid w:val="00807668"/>
    <w:rsid w:val="0081033B"/>
    <w:rsid w:val="00810B1B"/>
    <w:rsid w:val="0081293E"/>
    <w:rsid w:val="00812B84"/>
    <w:rsid w:val="0081422B"/>
    <w:rsid w:val="00814693"/>
    <w:rsid w:val="00815465"/>
    <w:rsid w:val="00815471"/>
    <w:rsid w:val="0081609F"/>
    <w:rsid w:val="008170CB"/>
    <w:rsid w:val="00817E9A"/>
    <w:rsid w:val="00821916"/>
    <w:rsid w:val="00822712"/>
    <w:rsid w:val="00822A95"/>
    <w:rsid w:val="00822EBD"/>
    <w:rsid w:val="008238FA"/>
    <w:rsid w:val="00826F53"/>
    <w:rsid w:val="00827F0B"/>
    <w:rsid w:val="00830467"/>
    <w:rsid w:val="008306BD"/>
    <w:rsid w:val="0083092D"/>
    <w:rsid w:val="00830A48"/>
    <w:rsid w:val="00831440"/>
    <w:rsid w:val="00831A33"/>
    <w:rsid w:val="00831A80"/>
    <w:rsid w:val="008326FF"/>
    <w:rsid w:val="0083276C"/>
    <w:rsid w:val="00833743"/>
    <w:rsid w:val="00833B57"/>
    <w:rsid w:val="00833CE1"/>
    <w:rsid w:val="00834099"/>
    <w:rsid w:val="008340A4"/>
    <w:rsid w:val="00836231"/>
    <w:rsid w:val="008375D9"/>
    <w:rsid w:val="008401D4"/>
    <w:rsid w:val="0084361A"/>
    <w:rsid w:val="00843D65"/>
    <w:rsid w:val="008445AC"/>
    <w:rsid w:val="00845FD2"/>
    <w:rsid w:val="00846355"/>
    <w:rsid w:val="00846F40"/>
    <w:rsid w:val="008476D4"/>
    <w:rsid w:val="00850B26"/>
    <w:rsid w:val="00851366"/>
    <w:rsid w:val="0085217A"/>
    <w:rsid w:val="0085425E"/>
    <w:rsid w:val="008543B4"/>
    <w:rsid w:val="00855248"/>
    <w:rsid w:val="00855DF3"/>
    <w:rsid w:val="00857248"/>
    <w:rsid w:val="00860DEB"/>
    <w:rsid w:val="0086614C"/>
    <w:rsid w:val="00870F21"/>
    <w:rsid w:val="0087135F"/>
    <w:rsid w:val="00871AE9"/>
    <w:rsid w:val="00872D94"/>
    <w:rsid w:val="00873E7A"/>
    <w:rsid w:val="0087700F"/>
    <w:rsid w:val="008774D7"/>
    <w:rsid w:val="00877A64"/>
    <w:rsid w:val="00880106"/>
    <w:rsid w:val="00880364"/>
    <w:rsid w:val="00880A8B"/>
    <w:rsid w:val="00884EFD"/>
    <w:rsid w:val="00887FD6"/>
    <w:rsid w:val="00891592"/>
    <w:rsid w:val="00891E9E"/>
    <w:rsid w:val="00892051"/>
    <w:rsid w:val="008921F0"/>
    <w:rsid w:val="00892CCC"/>
    <w:rsid w:val="0089518D"/>
    <w:rsid w:val="008A1C78"/>
    <w:rsid w:val="008A2F68"/>
    <w:rsid w:val="008A3578"/>
    <w:rsid w:val="008A507B"/>
    <w:rsid w:val="008A67B1"/>
    <w:rsid w:val="008A772B"/>
    <w:rsid w:val="008A7AE2"/>
    <w:rsid w:val="008B0810"/>
    <w:rsid w:val="008B1253"/>
    <w:rsid w:val="008B289E"/>
    <w:rsid w:val="008B291F"/>
    <w:rsid w:val="008B3AA4"/>
    <w:rsid w:val="008B4FA6"/>
    <w:rsid w:val="008B5282"/>
    <w:rsid w:val="008B67A3"/>
    <w:rsid w:val="008B7BAF"/>
    <w:rsid w:val="008B7C17"/>
    <w:rsid w:val="008C0ED1"/>
    <w:rsid w:val="008C1988"/>
    <w:rsid w:val="008C1C32"/>
    <w:rsid w:val="008C1E03"/>
    <w:rsid w:val="008C2C95"/>
    <w:rsid w:val="008C2D01"/>
    <w:rsid w:val="008C40E6"/>
    <w:rsid w:val="008C5C63"/>
    <w:rsid w:val="008D0648"/>
    <w:rsid w:val="008D0F7A"/>
    <w:rsid w:val="008D2285"/>
    <w:rsid w:val="008D305C"/>
    <w:rsid w:val="008D55F7"/>
    <w:rsid w:val="008D68E4"/>
    <w:rsid w:val="008D7C82"/>
    <w:rsid w:val="008E0506"/>
    <w:rsid w:val="008E0CFF"/>
    <w:rsid w:val="008E28BC"/>
    <w:rsid w:val="008E4620"/>
    <w:rsid w:val="008E5D6B"/>
    <w:rsid w:val="008E76F0"/>
    <w:rsid w:val="008F15FE"/>
    <w:rsid w:val="008F2D29"/>
    <w:rsid w:val="008F43B9"/>
    <w:rsid w:val="008F5187"/>
    <w:rsid w:val="008F60D8"/>
    <w:rsid w:val="008F6910"/>
    <w:rsid w:val="008F7B3E"/>
    <w:rsid w:val="00900044"/>
    <w:rsid w:val="009004E0"/>
    <w:rsid w:val="00900B42"/>
    <w:rsid w:val="00902727"/>
    <w:rsid w:val="00902D70"/>
    <w:rsid w:val="00902E83"/>
    <w:rsid w:val="0090312B"/>
    <w:rsid w:val="009046C5"/>
    <w:rsid w:val="009055E8"/>
    <w:rsid w:val="00906168"/>
    <w:rsid w:val="00914D80"/>
    <w:rsid w:val="009156EB"/>
    <w:rsid w:val="00917176"/>
    <w:rsid w:val="0091736D"/>
    <w:rsid w:val="00921BCC"/>
    <w:rsid w:val="00924245"/>
    <w:rsid w:val="00924866"/>
    <w:rsid w:val="00925798"/>
    <w:rsid w:val="0093037A"/>
    <w:rsid w:val="0093600C"/>
    <w:rsid w:val="00936D18"/>
    <w:rsid w:val="00936D35"/>
    <w:rsid w:val="00937D48"/>
    <w:rsid w:val="009402B3"/>
    <w:rsid w:val="009405BC"/>
    <w:rsid w:val="00940941"/>
    <w:rsid w:val="00940AE2"/>
    <w:rsid w:val="0094154D"/>
    <w:rsid w:val="009434CE"/>
    <w:rsid w:val="00943CE9"/>
    <w:rsid w:val="00946970"/>
    <w:rsid w:val="00946ECA"/>
    <w:rsid w:val="00947B06"/>
    <w:rsid w:val="00947E4E"/>
    <w:rsid w:val="009510C3"/>
    <w:rsid w:val="0095155F"/>
    <w:rsid w:val="009518A5"/>
    <w:rsid w:val="00951DEF"/>
    <w:rsid w:val="00952175"/>
    <w:rsid w:val="00953AEC"/>
    <w:rsid w:val="00954429"/>
    <w:rsid w:val="009563CE"/>
    <w:rsid w:val="009606A1"/>
    <w:rsid w:val="00960A78"/>
    <w:rsid w:val="009617E8"/>
    <w:rsid w:val="00962A9A"/>
    <w:rsid w:val="00963713"/>
    <w:rsid w:val="00963F0B"/>
    <w:rsid w:val="00964C10"/>
    <w:rsid w:val="00965EB7"/>
    <w:rsid w:val="00966938"/>
    <w:rsid w:val="00966A24"/>
    <w:rsid w:val="009675B9"/>
    <w:rsid w:val="009730F0"/>
    <w:rsid w:val="009736B1"/>
    <w:rsid w:val="0097476A"/>
    <w:rsid w:val="00976328"/>
    <w:rsid w:val="009766C4"/>
    <w:rsid w:val="0097680D"/>
    <w:rsid w:val="00976CCC"/>
    <w:rsid w:val="00980CCF"/>
    <w:rsid w:val="00982438"/>
    <w:rsid w:val="00982682"/>
    <w:rsid w:val="009833E2"/>
    <w:rsid w:val="009836EE"/>
    <w:rsid w:val="0098404C"/>
    <w:rsid w:val="00984225"/>
    <w:rsid w:val="00985283"/>
    <w:rsid w:val="00985404"/>
    <w:rsid w:val="0098728A"/>
    <w:rsid w:val="00992B55"/>
    <w:rsid w:val="00995992"/>
    <w:rsid w:val="00996E54"/>
    <w:rsid w:val="009A03E5"/>
    <w:rsid w:val="009A0F3B"/>
    <w:rsid w:val="009A1BB4"/>
    <w:rsid w:val="009A2036"/>
    <w:rsid w:val="009A2628"/>
    <w:rsid w:val="009A3200"/>
    <w:rsid w:val="009A3A64"/>
    <w:rsid w:val="009A3EB2"/>
    <w:rsid w:val="009A4C5D"/>
    <w:rsid w:val="009A50ED"/>
    <w:rsid w:val="009A5C85"/>
    <w:rsid w:val="009A6105"/>
    <w:rsid w:val="009A7E54"/>
    <w:rsid w:val="009B01AF"/>
    <w:rsid w:val="009B0897"/>
    <w:rsid w:val="009B31BB"/>
    <w:rsid w:val="009B363A"/>
    <w:rsid w:val="009B36FF"/>
    <w:rsid w:val="009B7BD9"/>
    <w:rsid w:val="009C04E8"/>
    <w:rsid w:val="009C085C"/>
    <w:rsid w:val="009C2619"/>
    <w:rsid w:val="009C38E8"/>
    <w:rsid w:val="009C4E8B"/>
    <w:rsid w:val="009C5ADA"/>
    <w:rsid w:val="009C7DD5"/>
    <w:rsid w:val="009D4EDB"/>
    <w:rsid w:val="009D78C3"/>
    <w:rsid w:val="009D7EA2"/>
    <w:rsid w:val="009E227D"/>
    <w:rsid w:val="009E2AA6"/>
    <w:rsid w:val="009E2C95"/>
    <w:rsid w:val="009E3E83"/>
    <w:rsid w:val="009E4DD3"/>
    <w:rsid w:val="009E5019"/>
    <w:rsid w:val="009E577B"/>
    <w:rsid w:val="009E5904"/>
    <w:rsid w:val="009E5BFD"/>
    <w:rsid w:val="009E7118"/>
    <w:rsid w:val="009E735E"/>
    <w:rsid w:val="009F1575"/>
    <w:rsid w:val="009F2B1F"/>
    <w:rsid w:val="009F2F5F"/>
    <w:rsid w:val="009F50B9"/>
    <w:rsid w:val="009F5424"/>
    <w:rsid w:val="009F5603"/>
    <w:rsid w:val="009F577F"/>
    <w:rsid w:val="009F6E69"/>
    <w:rsid w:val="00A010B0"/>
    <w:rsid w:val="00A03E3B"/>
    <w:rsid w:val="00A04D28"/>
    <w:rsid w:val="00A04F1B"/>
    <w:rsid w:val="00A0501B"/>
    <w:rsid w:val="00A05221"/>
    <w:rsid w:val="00A0592B"/>
    <w:rsid w:val="00A06D16"/>
    <w:rsid w:val="00A06E11"/>
    <w:rsid w:val="00A10BC3"/>
    <w:rsid w:val="00A1231F"/>
    <w:rsid w:val="00A12390"/>
    <w:rsid w:val="00A13E5C"/>
    <w:rsid w:val="00A147A0"/>
    <w:rsid w:val="00A14947"/>
    <w:rsid w:val="00A14AD2"/>
    <w:rsid w:val="00A156E2"/>
    <w:rsid w:val="00A156EC"/>
    <w:rsid w:val="00A15EFE"/>
    <w:rsid w:val="00A15FA7"/>
    <w:rsid w:val="00A162EB"/>
    <w:rsid w:val="00A2051C"/>
    <w:rsid w:val="00A24148"/>
    <w:rsid w:val="00A24CF3"/>
    <w:rsid w:val="00A26E52"/>
    <w:rsid w:val="00A32A76"/>
    <w:rsid w:val="00A32A83"/>
    <w:rsid w:val="00A33B4D"/>
    <w:rsid w:val="00A340CF"/>
    <w:rsid w:val="00A34E06"/>
    <w:rsid w:val="00A356DD"/>
    <w:rsid w:val="00A368AD"/>
    <w:rsid w:val="00A368DB"/>
    <w:rsid w:val="00A4033D"/>
    <w:rsid w:val="00A42197"/>
    <w:rsid w:val="00A423AA"/>
    <w:rsid w:val="00A43940"/>
    <w:rsid w:val="00A44D22"/>
    <w:rsid w:val="00A46258"/>
    <w:rsid w:val="00A46582"/>
    <w:rsid w:val="00A5108C"/>
    <w:rsid w:val="00A51FB2"/>
    <w:rsid w:val="00A52391"/>
    <w:rsid w:val="00A53996"/>
    <w:rsid w:val="00A53EC6"/>
    <w:rsid w:val="00A544ED"/>
    <w:rsid w:val="00A54671"/>
    <w:rsid w:val="00A55C0F"/>
    <w:rsid w:val="00A61270"/>
    <w:rsid w:val="00A61E56"/>
    <w:rsid w:val="00A62212"/>
    <w:rsid w:val="00A63410"/>
    <w:rsid w:val="00A6389D"/>
    <w:rsid w:val="00A655DA"/>
    <w:rsid w:val="00A65EDD"/>
    <w:rsid w:val="00A704B0"/>
    <w:rsid w:val="00A71C0E"/>
    <w:rsid w:val="00A71DDF"/>
    <w:rsid w:val="00A7293A"/>
    <w:rsid w:val="00A72DFD"/>
    <w:rsid w:val="00A735FE"/>
    <w:rsid w:val="00A74271"/>
    <w:rsid w:val="00A749BA"/>
    <w:rsid w:val="00A7642F"/>
    <w:rsid w:val="00A76B24"/>
    <w:rsid w:val="00A77EFE"/>
    <w:rsid w:val="00A810F7"/>
    <w:rsid w:val="00A81A2D"/>
    <w:rsid w:val="00A83AE6"/>
    <w:rsid w:val="00A84C75"/>
    <w:rsid w:val="00A85E75"/>
    <w:rsid w:val="00A86318"/>
    <w:rsid w:val="00A86C5B"/>
    <w:rsid w:val="00A8713F"/>
    <w:rsid w:val="00A879EA"/>
    <w:rsid w:val="00A90A2A"/>
    <w:rsid w:val="00A90BA1"/>
    <w:rsid w:val="00A91F4E"/>
    <w:rsid w:val="00A9249C"/>
    <w:rsid w:val="00A92DE6"/>
    <w:rsid w:val="00A94888"/>
    <w:rsid w:val="00A97099"/>
    <w:rsid w:val="00A97A9A"/>
    <w:rsid w:val="00AA0671"/>
    <w:rsid w:val="00AA0885"/>
    <w:rsid w:val="00AA21E7"/>
    <w:rsid w:val="00AA2531"/>
    <w:rsid w:val="00AA3EEE"/>
    <w:rsid w:val="00AA3FEB"/>
    <w:rsid w:val="00AA4227"/>
    <w:rsid w:val="00AA445E"/>
    <w:rsid w:val="00AA6563"/>
    <w:rsid w:val="00AA656F"/>
    <w:rsid w:val="00AA7163"/>
    <w:rsid w:val="00AA73AC"/>
    <w:rsid w:val="00AB15D6"/>
    <w:rsid w:val="00AB1786"/>
    <w:rsid w:val="00AB1E09"/>
    <w:rsid w:val="00AB32EE"/>
    <w:rsid w:val="00AB3F0A"/>
    <w:rsid w:val="00AB5330"/>
    <w:rsid w:val="00AB537C"/>
    <w:rsid w:val="00AB7747"/>
    <w:rsid w:val="00AC14CE"/>
    <w:rsid w:val="00AC221C"/>
    <w:rsid w:val="00AC2A56"/>
    <w:rsid w:val="00AC343E"/>
    <w:rsid w:val="00AC3B1A"/>
    <w:rsid w:val="00AC4006"/>
    <w:rsid w:val="00AC49D7"/>
    <w:rsid w:val="00AC4E7F"/>
    <w:rsid w:val="00AC569B"/>
    <w:rsid w:val="00AC7E5D"/>
    <w:rsid w:val="00AD055E"/>
    <w:rsid w:val="00AD0BCC"/>
    <w:rsid w:val="00AD43C3"/>
    <w:rsid w:val="00AD47A7"/>
    <w:rsid w:val="00AD5450"/>
    <w:rsid w:val="00AD5D4F"/>
    <w:rsid w:val="00AD7241"/>
    <w:rsid w:val="00AE120C"/>
    <w:rsid w:val="00AE328B"/>
    <w:rsid w:val="00AE390C"/>
    <w:rsid w:val="00AE5C4B"/>
    <w:rsid w:val="00AE692E"/>
    <w:rsid w:val="00AF0CBF"/>
    <w:rsid w:val="00AF257F"/>
    <w:rsid w:val="00AF33CF"/>
    <w:rsid w:val="00AF4D50"/>
    <w:rsid w:val="00AF4DB0"/>
    <w:rsid w:val="00AF4F4B"/>
    <w:rsid w:val="00AF5719"/>
    <w:rsid w:val="00AF6179"/>
    <w:rsid w:val="00AF7D6B"/>
    <w:rsid w:val="00B00A74"/>
    <w:rsid w:val="00B031B3"/>
    <w:rsid w:val="00B03BC9"/>
    <w:rsid w:val="00B03E56"/>
    <w:rsid w:val="00B053A3"/>
    <w:rsid w:val="00B06E92"/>
    <w:rsid w:val="00B11418"/>
    <w:rsid w:val="00B121C2"/>
    <w:rsid w:val="00B123A7"/>
    <w:rsid w:val="00B12841"/>
    <w:rsid w:val="00B1295A"/>
    <w:rsid w:val="00B12B1A"/>
    <w:rsid w:val="00B14072"/>
    <w:rsid w:val="00B14AAD"/>
    <w:rsid w:val="00B14BAA"/>
    <w:rsid w:val="00B20A45"/>
    <w:rsid w:val="00B20C5C"/>
    <w:rsid w:val="00B21030"/>
    <w:rsid w:val="00B2273E"/>
    <w:rsid w:val="00B22C5C"/>
    <w:rsid w:val="00B22CCD"/>
    <w:rsid w:val="00B23C2C"/>
    <w:rsid w:val="00B24F30"/>
    <w:rsid w:val="00B266A9"/>
    <w:rsid w:val="00B31ABF"/>
    <w:rsid w:val="00B31DD5"/>
    <w:rsid w:val="00B322C8"/>
    <w:rsid w:val="00B33BE3"/>
    <w:rsid w:val="00B34326"/>
    <w:rsid w:val="00B34B96"/>
    <w:rsid w:val="00B37319"/>
    <w:rsid w:val="00B37628"/>
    <w:rsid w:val="00B41619"/>
    <w:rsid w:val="00B4360A"/>
    <w:rsid w:val="00B45729"/>
    <w:rsid w:val="00B4576C"/>
    <w:rsid w:val="00B466FF"/>
    <w:rsid w:val="00B46A85"/>
    <w:rsid w:val="00B47506"/>
    <w:rsid w:val="00B47B34"/>
    <w:rsid w:val="00B47F56"/>
    <w:rsid w:val="00B50A12"/>
    <w:rsid w:val="00B53B5D"/>
    <w:rsid w:val="00B5425B"/>
    <w:rsid w:val="00B567DD"/>
    <w:rsid w:val="00B6055E"/>
    <w:rsid w:val="00B6317D"/>
    <w:rsid w:val="00B63699"/>
    <w:rsid w:val="00B645F9"/>
    <w:rsid w:val="00B6550D"/>
    <w:rsid w:val="00B65C58"/>
    <w:rsid w:val="00B67E2F"/>
    <w:rsid w:val="00B716CC"/>
    <w:rsid w:val="00B7394A"/>
    <w:rsid w:val="00B741AD"/>
    <w:rsid w:val="00B75DE9"/>
    <w:rsid w:val="00B760EB"/>
    <w:rsid w:val="00B7723F"/>
    <w:rsid w:val="00B77250"/>
    <w:rsid w:val="00B77F2B"/>
    <w:rsid w:val="00B80474"/>
    <w:rsid w:val="00B80534"/>
    <w:rsid w:val="00B81EF3"/>
    <w:rsid w:val="00B8433C"/>
    <w:rsid w:val="00B85584"/>
    <w:rsid w:val="00B8691A"/>
    <w:rsid w:val="00B87491"/>
    <w:rsid w:val="00B87C37"/>
    <w:rsid w:val="00B9020C"/>
    <w:rsid w:val="00B919CD"/>
    <w:rsid w:val="00B92F46"/>
    <w:rsid w:val="00B93FDE"/>
    <w:rsid w:val="00B94529"/>
    <w:rsid w:val="00BA056B"/>
    <w:rsid w:val="00BA0D02"/>
    <w:rsid w:val="00BA1280"/>
    <w:rsid w:val="00BA170F"/>
    <w:rsid w:val="00BA29E9"/>
    <w:rsid w:val="00BA7142"/>
    <w:rsid w:val="00BA7320"/>
    <w:rsid w:val="00BB0813"/>
    <w:rsid w:val="00BB237C"/>
    <w:rsid w:val="00BB411B"/>
    <w:rsid w:val="00BB41A3"/>
    <w:rsid w:val="00BB5626"/>
    <w:rsid w:val="00BB61CF"/>
    <w:rsid w:val="00BB6242"/>
    <w:rsid w:val="00BB6A96"/>
    <w:rsid w:val="00BC1871"/>
    <w:rsid w:val="00BC32DC"/>
    <w:rsid w:val="00BC35B6"/>
    <w:rsid w:val="00BC3E3A"/>
    <w:rsid w:val="00BC6293"/>
    <w:rsid w:val="00BD15C0"/>
    <w:rsid w:val="00BD1B51"/>
    <w:rsid w:val="00BD376B"/>
    <w:rsid w:val="00BD4596"/>
    <w:rsid w:val="00BD510D"/>
    <w:rsid w:val="00BD5652"/>
    <w:rsid w:val="00BD7652"/>
    <w:rsid w:val="00BD76F3"/>
    <w:rsid w:val="00BE026E"/>
    <w:rsid w:val="00BE0859"/>
    <w:rsid w:val="00BE1405"/>
    <w:rsid w:val="00BE2BE8"/>
    <w:rsid w:val="00BE312D"/>
    <w:rsid w:val="00BE7B31"/>
    <w:rsid w:val="00BF051A"/>
    <w:rsid w:val="00BF1C20"/>
    <w:rsid w:val="00BF4381"/>
    <w:rsid w:val="00BF561B"/>
    <w:rsid w:val="00BF6B47"/>
    <w:rsid w:val="00BF7F9F"/>
    <w:rsid w:val="00C0122D"/>
    <w:rsid w:val="00C02B6A"/>
    <w:rsid w:val="00C0727C"/>
    <w:rsid w:val="00C0743D"/>
    <w:rsid w:val="00C07982"/>
    <w:rsid w:val="00C10203"/>
    <w:rsid w:val="00C10578"/>
    <w:rsid w:val="00C11550"/>
    <w:rsid w:val="00C135BC"/>
    <w:rsid w:val="00C13D54"/>
    <w:rsid w:val="00C1539D"/>
    <w:rsid w:val="00C15C95"/>
    <w:rsid w:val="00C15D43"/>
    <w:rsid w:val="00C16B1B"/>
    <w:rsid w:val="00C173F5"/>
    <w:rsid w:val="00C20CDF"/>
    <w:rsid w:val="00C20EDF"/>
    <w:rsid w:val="00C232AF"/>
    <w:rsid w:val="00C2596A"/>
    <w:rsid w:val="00C25EAF"/>
    <w:rsid w:val="00C26553"/>
    <w:rsid w:val="00C26D46"/>
    <w:rsid w:val="00C26D5F"/>
    <w:rsid w:val="00C27363"/>
    <w:rsid w:val="00C27537"/>
    <w:rsid w:val="00C32707"/>
    <w:rsid w:val="00C328FE"/>
    <w:rsid w:val="00C3297A"/>
    <w:rsid w:val="00C33507"/>
    <w:rsid w:val="00C362CF"/>
    <w:rsid w:val="00C37E88"/>
    <w:rsid w:val="00C40789"/>
    <w:rsid w:val="00C422F8"/>
    <w:rsid w:val="00C428F4"/>
    <w:rsid w:val="00C429C8"/>
    <w:rsid w:val="00C4409D"/>
    <w:rsid w:val="00C44596"/>
    <w:rsid w:val="00C44916"/>
    <w:rsid w:val="00C44E72"/>
    <w:rsid w:val="00C45A06"/>
    <w:rsid w:val="00C461BB"/>
    <w:rsid w:val="00C46F1E"/>
    <w:rsid w:val="00C47E5B"/>
    <w:rsid w:val="00C502CF"/>
    <w:rsid w:val="00C5077F"/>
    <w:rsid w:val="00C52E3B"/>
    <w:rsid w:val="00C5410D"/>
    <w:rsid w:val="00C54A31"/>
    <w:rsid w:val="00C603AD"/>
    <w:rsid w:val="00C6052B"/>
    <w:rsid w:val="00C60A03"/>
    <w:rsid w:val="00C61693"/>
    <w:rsid w:val="00C61E4B"/>
    <w:rsid w:val="00C627B4"/>
    <w:rsid w:val="00C64BFF"/>
    <w:rsid w:val="00C64EEE"/>
    <w:rsid w:val="00C651E4"/>
    <w:rsid w:val="00C65705"/>
    <w:rsid w:val="00C659B8"/>
    <w:rsid w:val="00C703FB"/>
    <w:rsid w:val="00C704E9"/>
    <w:rsid w:val="00C71E18"/>
    <w:rsid w:val="00C72C79"/>
    <w:rsid w:val="00C73A9A"/>
    <w:rsid w:val="00C75465"/>
    <w:rsid w:val="00C75856"/>
    <w:rsid w:val="00C75D09"/>
    <w:rsid w:val="00C763C9"/>
    <w:rsid w:val="00C76A1B"/>
    <w:rsid w:val="00C76A8F"/>
    <w:rsid w:val="00C80057"/>
    <w:rsid w:val="00C81A96"/>
    <w:rsid w:val="00C81D26"/>
    <w:rsid w:val="00C821EA"/>
    <w:rsid w:val="00C82232"/>
    <w:rsid w:val="00C82913"/>
    <w:rsid w:val="00C82965"/>
    <w:rsid w:val="00C83D3E"/>
    <w:rsid w:val="00C84C35"/>
    <w:rsid w:val="00C850BD"/>
    <w:rsid w:val="00C86431"/>
    <w:rsid w:val="00C868E4"/>
    <w:rsid w:val="00C86FD7"/>
    <w:rsid w:val="00C90E72"/>
    <w:rsid w:val="00C91DBB"/>
    <w:rsid w:val="00C93C1E"/>
    <w:rsid w:val="00C966D4"/>
    <w:rsid w:val="00C972B1"/>
    <w:rsid w:val="00CA1654"/>
    <w:rsid w:val="00CA191E"/>
    <w:rsid w:val="00CA2CCE"/>
    <w:rsid w:val="00CA3FC0"/>
    <w:rsid w:val="00CA43FD"/>
    <w:rsid w:val="00CA4E21"/>
    <w:rsid w:val="00CA5AAC"/>
    <w:rsid w:val="00CA5BA1"/>
    <w:rsid w:val="00CA7CFF"/>
    <w:rsid w:val="00CA7EF8"/>
    <w:rsid w:val="00CB1DCF"/>
    <w:rsid w:val="00CB1F89"/>
    <w:rsid w:val="00CB2280"/>
    <w:rsid w:val="00CB3D60"/>
    <w:rsid w:val="00CB436E"/>
    <w:rsid w:val="00CB5B56"/>
    <w:rsid w:val="00CC0309"/>
    <w:rsid w:val="00CC0B99"/>
    <w:rsid w:val="00CC1779"/>
    <w:rsid w:val="00CC4270"/>
    <w:rsid w:val="00CC489B"/>
    <w:rsid w:val="00CC4F23"/>
    <w:rsid w:val="00CC58E0"/>
    <w:rsid w:val="00CC5B27"/>
    <w:rsid w:val="00CC6BED"/>
    <w:rsid w:val="00CC7250"/>
    <w:rsid w:val="00CC7D42"/>
    <w:rsid w:val="00CD18BE"/>
    <w:rsid w:val="00CD1AD8"/>
    <w:rsid w:val="00CD2605"/>
    <w:rsid w:val="00CD265D"/>
    <w:rsid w:val="00CD2BCD"/>
    <w:rsid w:val="00CD3A4C"/>
    <w:rsid w:val="00CD4C08"/>
    <w:rsid w:val="00CD58E2"/>
    <w:rsid w:val="00CD5D3A"/>
    <w:rsid w:val="00CE09DD"/>
    <w:rsid w:val="00CE10E9"/>
    <w:rsid w:val="00CE194C"/>
    <w:rsid w:val="00CE2451"/>
    <w:rsid w:val="00CE2910"/>
    <w:rsid w:val="00CE2B83"/>
    <w:rsid w:val="00CE49DF"/>
    <w:rsid w:val="00CE5393"/>
    <w:rsid w:val="00CE774D"/>
    <w:rsid w:val="00CF14ED"/>
    <w:rsid w:val="00CF36BE"/>
    <w:rsid w:val="00CF3B17"/>
    <w:rsid w:val="00CF40F3"/>
    <w:rsid w:val="00CF467A"/>
    <w:rsid w:val="00CF50DE"/>
    <w:rsid w:val="00CF596E"/>
    <w:rsid w:val="00CF5A9B"/>
    <w:rsid w:val="00CF6000"/>
    <w:rsid w:val="00CF6A3B"/>
    <w:rsid w:val="00D003F3"/>
    <w:rsid w:val="00D01144"/>
    <w:rsid w:val="00D01C8F"/>
    <w:rsid w:val="00D0364F"/>
    <w:rsid w:val="00D0382D"/>
    <w:rsid w:val="00D04438"/>
    <w:rsid w:val="00D05A5E"/>
    <w:rsid w:val="00D06834"/>
    <w:rsid w:val="00D07AFD"/>
    <w:rsid w:val="00D12106"/>
    <w:rsid w:val="00D149AD"/>
    <w:rsid w:val="00D178B0"/>
    <w:rsid w:val="00D22451"/>
    <w:rsid w:val="00D22AFD"/>
    <w:rsid w:val="00D2738A"/>
    <w:rsid w:val="00D308ED"/>
    <w:rsid w:val="00D31937"/>
    <w:rsid w:val="00D334C2"/>
    <w:rsid w:val="00D33FCC"/>
    <w:rsid w:val="00D34AA1"/>
    <w:rsid w:val="00D36149"/>
    <w:rsid w:val="00D3619E"/>
    <w:rsid w:val="00D364EF"/>
    <w:rsid w:val="00D366E9"/>
    <w:rsid w:val="00D36D86"/>
    <w:rsid w:val="00D3765B"/>
    <w:rsid w:val="00D428AA"/>
    <w:rsid w:val="00D45686"/>
    <w:rsid w:val="00D456D9"/>
    <w:rsid w:val="00D46213"/>
    <w:rsid w:val="00D50A34"/>
    <w:rsid w:val="00D50F2D"/>
    <w:rsid w:val="00D51A6B"/>
    <w:rsid w:val="00D53EFA"/>
    <w:rsid w:val="00D5510E"/>
    <w:rsid w:val="00D55450"/>
    <w:rsid w:val="00D558E0"/>
    <w:rsid w:val="00D55E25"/>
    <w:rsid w:val="00D616CE"/>
    <w:rsid w:val="00D620D7"/>
    <w:rsid w:val="00D63631"/>
    <w:rsid w:val="00D6590A"/>
    <w:rsid w:val="00D66530"/>
    <w:rsid w:val="00D6688D"/>
    <w:rsid w:val="00D7065A"/>
    <w:rsid w:val="00D70747"/>
    <w:rsid w:val="00D70AB7"/>
    <w:rsid w:val="00D715BD"/>
    <w:rsid w:val="00D71C2B"/>
    <w:rsid w:val="00D71D5A"/>
    <w:rsid w:val="00D75E73"/>
    <w:rsid w:val="00D76093"/>
    <w:rsid w:val="00D76701"/>
    <w:rsid w:val="00D76B69"/>
    <w:rsid w:val="00D80567"/>
    <w:rsid w:val="00D807ED"/>
    <w:rsid w:val="00D820FD"/>
    <w:rsid w:val="00D83CBE"/>
    <w:rsid w:val="00D84810"/>
    <w:rsid w:val="00D852E4"/>
    <w:rsid w:val="00D864F2"/>
    <w:rsid w:val="00D86B7D"/>
    <w:rsid w:val="00D9199F"/>
    <w:rsid w:val="00D91E87"/>
    <w:rsid w:val="00D92993"/>
    <w:rsid w:val="00D93AE7"/>
    <w:rsid w:val="00D94A7C"/>
    <w:rsid w:val="00D95097"/>
    <w:rsid w:val="00D95896"/>
    <w:rsid w:val="00D95DB4"/>
    <w:rsid w:val="00D97234"/>
    <w:rsid w:val="00DA0315"/>
    <w:rsid w:val="00DA0B58"/>
    <w:rsid w:val="00DA2773"/>
    <w:rsid w:val="00DA3CF4"/>
    <w:rsid w:val="00DA54D1"/>
    <w:rsid w:val="00DA60D4"/>
    <w:rsid w:val="00DB0461"/>
    <w:rsid w:val="00DB08DF"/>
    <w:rsid w:val="00DB0E3E"/>
    <w:rsid w:val="00DB2983"/>
    <w:rsid w:val="00DB2D57"/>
    <w:rsid w:val="00DB3247"/>
    <w:rsid w:val="00DB341B"/>
    <w:rsid w:val="00DB3CBB"/>
    <w:rsid w:val="00DB4210"/>
    <w:rsid w:val="00DB567E"/>
    <w:rsid w:val="00DB5BF9"/>
    <w:rsid w:val="00DB6FA5"/>
    <w:rsid w:val="00DC1257"/>
    <w:rsid w:val="00DC2A3E"/>
    <w:rsid w:val="00DC3DC0"/>
    <w:rsid w:val="00DC5B2B"/>
    <w:rsid w:val="00DC6777"/>
    <w:rsid w:val="00DC6B13"/>
    <w:rsid w:val="00DC7DFB"/>
    <w:rsid w:val="00DD222B"/>
    <w:rsid w:val="00DD318D"/>
    <w:rsid w:val="00DD440E"/>
    <w:rsid w:val="00DD59E5"/>
    <w:rsid w:val="00DE1498"/>
    <w:rsid w:val="00DE50E0"/>
    <w:rsid w:val="00DE51C2"/>
    <w:rsid w:val="00DF0D39"/>
    <w:rsid w:val="00DF14E6"/>
    <w:rsid w:val="00DF2778"/>
    <w:rsid w:val="00DF2E12"/>
    <w:rsid w:val="00DF40DB"/>
    <w:rsid w:val="00DF514A"/>
    <w:rsid w:val="00DF6690"/>
    <w:rsid w:val="00DF6804"/>
    <w:rsid w:val="00DF6FFA"/>
    <w:rsid w:val="00DF732A"/>
    <w:rsid w:val="00DF744A"/>
    <w:rsid w:val="00DF7F6C"/>
    <w:rsid w:val="00E01AC8"/>
    <w:rsid w:val="00E0209D"/>
    <w:rsid w:val="00E0358D"/>
    <w:rsid w:val="00E038A6"/>
    <w:rsid w:val="00E04323"/>
    <w:rsid w:val="00E04BA6"/>
    <w:rsid w:val="00E0560E"/>
    <w:rsid w:val="00E05A2C"/>
    <w:rsid w:val="00E06190"/>
    <w:rsid w:val="00E06403"/>
    <w:rsid w:val="00E069E5"/>
    <w:rsid w:val="00E070A2"/>
    <w:rsid w:val="00E1083A"/>
    <w:rsid w:val="00E10A2F"/>
    <w:rsid w:val="00E12A66"/>
    <w:rsid w:val="00E151B7"/>
    <w:rsid w:val="00E15E5C"/>
    <w:rsid w:val="00E161C8"/>
    <w:rsid w:val="00E1751F"/>
    <w:rsid w:val="00E17AB6"/>
    <w:rsid w:val="00E216C3"/>
    <w:rsid w:val="00E2273B"/>
    <w:rsid w:val="00E23737"/>
    <w:rsid w:val="00E2476A"/>
    <w:rsid w:val="00E24FB0"/>
    <w:rsid w:val="00E25113"/>
    <w:rsid w:val="00E26444"/>
    <w:rsid w:val="00E2656A"/>
    <w:rsid w:val="00E26616"/>
    <w:rsid w:val="00E2711D"/>
    <w:rsid w:val="00E3010D"/>
    <w:rsid w:val="00E30CDD"/>
    <w:rsid w:val="00E316CB"/>
    <w:rsid w:val="00E32834"/>
    <w:rsid w:val="00E330CD"/>
    <w:rsid w:val="00E3315E"/>
    <w:rsid w:val="00E34149"/>
    <w:rsid w:val="00E35812"/>
    <w:rsid w:val="00E3629B"/>
    <w:rsid w:val="00E36B92"/>
    <w:rsid w:val="00E37B96"/>
    <w:rsid w:val="00E412D0"/>
    <w:rsid w:val="00E424B6"/>
    <w:rsid w:val="00E454A0"/>
    <w:rsid w:val="00E45DB7"/>
    <w:rsid w:val="00E46462"/>
    <w:rsid w:val="00E526CF"/>
    <w:rsid w:val="00E55D7D"/>
    <w:rsid w:val="00E56322"/>
    <w:rsid w:val="00E570BD"/>
    <w:rsid w:val="00E60982"/>
    <w:rsid w:val="00E60C9A"/>
    <w:rsid w:val="00E61CA6"/>
    <w:rsid w:val="00E62C62"/>
    <w:rsid w:val="00E642BE"/>
    <w:rsid w:val="00E654C1"/>
    <w:rsid w:val="00E658CC"/>
    <w:rsid w:val="00E65D97"/>
    <w:rsid w:val="00E7057D"/>
    <w:rsid w:val="00E70C64"/>
    <w:rsid w:val="00E72A5A"/>
    <w:rsid w:val="00E73354"/>
    <w:rsid w:val="00E74335"/>
    <w:rsid w:val="00E74D24"/>
    <w:rsid w:val="00E76B7F"/>
    <w:rsid w:val="00E81090"/>
    <w:rsid w:val="00E81F73"/>
    <w:rsid w:val="00E82A1C"/>
    <w:rsid w:val="00E82E30"/>
    <w:rsid w:val="00E82F6D"/>
    <w:rsid w:val="00E86D00"/>
    <w:rsid w:val="00E90E2E"/>
    <w:rsid w:val="00E91F1A"/>
    <w:rsid w:val="00E9242D"/>
    <w:rsid w:val="00E956B8"/>
    <w:rsid w:val="00E9731B"/>
    <w:rsid w:val="00E97E12"/>
    <w:rsid w:val="00EA0E90"/>
    <w:rsid w:val="00EA1A54"/>
    <w:rsid w:val="00EA3446"/>
    <w:rsid w:val="00EA46D7"/>
    <w:rsid w:val="00EA4B99"/>
    <w:rsid w:val="00EA6575"/>
    <w:rsid w:val="00EA7C3C"/>
    <w:rsid w:val="00EB0CC9"/>
    <w:rsid w:val="00EB1F36"/>
    <w:rsid w:val="00EB21F4"/>
    <w:rsid w:val="00EB2AC4"/>
    <w:rsid w:val="00EB3572"/>
    <w:rsid w:val="00EB5255"/>
    <w:rsid w:val="00EB5793"/>
    <w:rsid w:val="00EB5B27"/>
    <w:rsid w:val="00EB5C47"/>
    <w:rsid w:val="00EB64C1"/>
    <w:rsid w:val="00EC0012"/>
    <w:rsid w:val="00EC08BD"/>
    <w:rsid w:val="00EC0B19"/>
    <w:rsid w:val="00EC0CB1"/>
    <w:rsid w:val="00EC2D78"/>
    <w:rsid w:val="00EC2DB6"/>
    <w:rsid w:val="00EC358C"/>
    <w:rsid w:val="00EC5596"/>
    <w:rsid w:val="00EC5B31"/>
    <w:rsid w:val="00EC7B10"/>
    <w:rsid w:val="00ED0639"/>
    <w:rsid w:val="00ED6CA7"/>
    <w:rsid w:val="00ED7449"/>
    <w:rsid w:val="00EE0611"/>
    <w:rsid w:val="00EE1288"/>
    <w:rsid w:val="00EE2B98"/>
    <w:rsid w:val="00EE2F8F"/>
    <w:rsid w:val="00EE42AE"/>
    <w:rsid w:val="00EE493D"/>
    <w:rsid w:val="00EE628B"/>
    <w:rsid w:val="00EF1F46"/>
    <w:rsid w:val="00EF24A1"/>
    <w:rsid w:val="00EF3169"/>
    <w:rsid w:val="00EF3796"/>
    <w:rsid w:val="00EF3D89"/>
    <w:rsid w:val="00EF4755"/>
    <w:rsid w:val="00EF5E91"/>
    <w:rsid w:val="00EF6F90"/>
    <w:rsid w:val="00EF7135"/>
    <w:rsid w:val="00EF73FD"/>
    <w:rsid w:val="00F027DB"/>
    <w:rsid w:val="00F0356F"/>
    <w:rsid w:val="00F04ED6"/>
    <w:rsid w:val="00F10B0F"/>
    <w:rsid w:val="00F11113"/>
    <w:rsid w:val="00F11474"/>
    <w:rsid w:val="00F12E17"/>
    <w:rsid w:val="00F1316D"/>
    <w:rsid w:val="00F13220"/>
    <w:rsid w:val="00F14A7A"/>
    <w:rsid w:val="00F1770E"/>
    <w:rsid w:val="00F2079B"/>
    <w:rsid w:val="00F22150"/>
    <w:rsid w:val="00F22985"/>
    <w:rsid w:val="00F27D59"/>
    <w:rsid w:val="00F31122"/>
    <w:rsid w:val="00F32C2D"/>
    <w:rsid w:val="00F33704"/>
    <w:rsid w:val="00F3383E"/>
    <w:rsid w:val="00F360A3"/>
    <w:rsid w:val="00F36EAA"/>
    <w:rsid w:val="00F41175"/>
    <w:rsid w:val="00F413D4"/>
    <w:rsid w:val="00F445DF"/>
    <w:rsid w:val="00F44BF0"/>
    <w:rsid w:val="00F451BF"/>
    <w:rsid w:val="00F465A7"/>
    <w:rsid w:val="00F47930"/>
    <w:rsid w:val="00F479EF"/>
    <w:rsid w:val="00F50B7C"/>
    <w:rsid w:val="00F52EB3"/>
    <w:rsid w:val="00F5307D"/>
    <w:rsid w:val="00F53ABC"/>
    <w:rsid w:val="00F550E6"/>
    <w:rsid w:val="00F60AFB"/>
    <w:rsid w:val="00F624AD"/>
    <w:rsid w:val="00F625F5"/>
    <w:rsid w:val="00F64077"/>
    <w:rsid w:val="00F641DD"/>
    <w:rsid w:val="00F6476B"/>
    <w:rsid w:val="00F655B1"/>
    <w:rsid w:val="00F67227"/>
    <w:rsid w:val="00F70065"/>
    <w:rsid w:val="00F714CA"/>
    <w:rsid w:val="00F71820"/>
    <w:rsid w:val="00F71C5F"/>
    <w:rsid w:val="00F72FE7"/>
    <w:rsid w:val="00F74345"/>
    <w:rsid w:val="00F74808"/>
    <w:rsid w:val="00F7564E"/>
    <w:rsid w:val="00F759BE"/>
    <w:rsid w:val="00F762E0"/>
    <w:rsid w:val="00F77D05"/>
    <w:rsid w:val="00F800F1"/>
    <w:rsid w:val="00F80A0A"/>
    <w:rsid w:val="00F80B7C"/>
    <w:rsid w:val="00F82B19"/>
    <w:rsid w:val="00F830A4"/>
    <w:rsid w:val="00F8368B"/>
    <w:rsid w:val="00F84948"/>
    <w:rsid w:val="00F871B1"/>
    <w:rsid w:val="00F9145D"/>
    <w:rsid w:val="00F91BFB"/>
    <w:rsid w:val="00F9212D"/>
    <w:rsid w:val="00F92D63"/>
    <w:rsid w:val="00F943EF"/>
    <w:rsid w:val="00F9503C"/>
    <w:rsid w:val="00F95CB1"/>
    <w:rsid w:val="00F9652A"/>
    <w:rsid w:val="00F965DA"/>
    <w:rsid w:val="00F96CFA"/>
    <w:rsid w:val="00FA1340"/>
    <w:rsid w:val="00FA26FE"/>
    <w:rsid w:val="00FA37F9"/>
    <w:rsid w:val="00FA406A"/>
    <w:rsid w:val="00FA4ADF"/>
    <w:rsid w:val="00FA730D"/>
    <w:rsid w:val="00FA79B4"/>
    <w:rsid w:val="00FB0E2A"/>
    <w:rsid w:val="00FB121B"/>
    <w:rsid w:val="00FB2D95"/>
    <w:rsid w:val="00FB2F5F"/>
    <w:rsid w:val="00FB3C9C"/>
    <w:rsid w:val="00FB49A0"/>
    <w:rsid w:val="00FB503A"/>
    <w:rsid w:val="00FB516C"/>
    <w:rsid w:val="00FB55A4"/>
    <w:rsid w:val="00FB63BB"/>
    <w:rsid w:val="00FB6923"/>
    <w:rsid w:val="00FC072C"/>
    <w:rsid w:val="00FC26A1"/>
    <w:rsid w:val="00FC3CB2"/>
    <w:rsid w:val="00FC503D"/>
    <w:rsid w:val="00FC5F7F"/>
    <w:rsid w:val="00FC6377"/>
    <w:rsid w:val="00FC644F"/>
    <w:rsid w:val="00FC6917"/>
    <w:rsid w:val="00FC6A70"/>
    <w:rsid w:val="00FC72F2"/>
    <w:rsid w:val="00FD0236"/>
    <w:rsid w:val="00FD093E"/>
    <w:rsid w:val="00FD1623"/>
    <w:rsid w:val="00FD18F4"/>
    <w:rsid w:val="00FD3396"/>
    <w:rsid w:val="00FD501E"/>
    <w:rsid w:val="00FD54DB"/>
    <w:rsid w:val="00FD619F"/>
    <w:rsid w:val="00FD63AC"/>
    <w:rsid w:val="00FD7E16"/>
    <w:rsid w:val="00FE2226"/>
    <w:rsid w:val="00FE3728"/>
    <w:rsid w:val="00FE4B9B"/>
    <w:rsid w:val="00FE7380"/>
    <w:rsid w:val="00FE79CD"/>
    <w:rsid w:val="00FF0B53"/>
    <w:rsid w:val="00FF2350"/>
    <w:rsid w:val="00FF2676"/>
    <w:rsid w:val="00FF2F4F"/>
    <w:rsid w:val="00FF6849"/>
    <w:rsid w:val="00FF7810"/>
    <w:rsid w:val="010762B9"/>
    <w:rsid w:val="01290F7E"/>
    <w:rsid w:val="015A3746"/>
    <w:rsid w:val="015D1E09"/>
    <w:rsid w:val="019E00A1"/>
    <w:rsid w:val="01AE1698"/>
    <w:rsid w:val="02697903"/>
    <w:rsid w:val="02F96569"/>
    <w:rsid w:val="03B32EFA"/>
    <w:rsid w:val="03B3482E"/>
    <w:rsid w:val="03EA7B21"/>
    <w:rsid w:val="052F5F5B"/>
    <w:rsid w:val="059E66BD"/>
    <w:rsid w:val="05EE5544"/>
    <w:rsid w:val="05F83EAE"/>
    <w:rsid w:val="061053EE"/>
    <w:rsid w:val="06175E89"/>
    <w:rsid w:val="063E7D85"/>
    <w:rsid w:val="06465023"/>
    <w:rsid w:val="067A585C"/>
    <w:rsid w:val="07124399"/>
    <w:rsid w:val="07293586"/>
    <w:rsid w:val="07295285"/>
    <w:rsid w:val="07636392"/>
    <w:rsid w:val="07770C56"/>
    <w:rsid w:val="07A84FDD"/>
    <w:rsid w:val="07FF6803"/>
    <w:rsid w:val="08DF5EEA"/>
    <w:rsid w:val="090A52A8"/>
    <w:rsid w:val="091D5315"/>
    <w:rsid w:val="092217DD"/>
    <w:rsid w:val="093A7294"/>
    <w:rsid w:val="09843F57"/>
    <w:rsid w:val="0A263993"/>
    <w:rsid w:val="0A2D3AC2"/>
    <w:rsid w:val="0AA755DF"/>
    <w:rsid w:val="0B120D44"/>
    <w:rsid w:val="0BC773CD"/>
    <w:rsid w:val="0BD27BF6"/>
    <w:rsid w:val="0C3B3C7D"/>
    <w:rsid w:val="0C834522"/>
    <w:rsid w:val="0CAB2EAE"/>
    <w:rsid w:val="0D621C7D"/>
    <w:rsid w:val="0D95328A"/>
    <w:rsid w:val="0DEB76F2"/>
    <w:rsid w:val="0E312B15"/>
    <w:rsid w:val="0E73034D"/>
    <w:rsid w:val="0EA919BB"/>
    <w:rsid w:val="0F076C44"/>
    <w:rsid w:val="0F13775A"/>
    <w:rsid w:val="0F5F45FE"/>
    <w:rsid w:val="0F9A112B"/>
    <w:rsid w:val="0FA74230"/>
    <w:rsid w:val="106D2F64"/>
    <w:rsid w:val="10B63710"/>
    <w:rsid w:val="10F10820"/>
    <w:rsid w:val="111C2F7A"/>
    <w:rsid w:val="115403B3"/>
    <w:rsid w:val="11665CA1"/>
    <w:rsid w:val="12CB39FF"/>
    <w:rsid w:val="12E3308D"/>
    <w:rsid w:val="13951726"/>
    <w:rsid w:val="13A23090"/>
    <w:rsid w:val="14396509"/>
    <w:rsid w:val="14DD2C3C"/>
    <w:rsid w:val="15551214"/>
    <w:rsid w:val="157D6612"/>
    <w:rsid w:val="16087E1D"/>
    <w:rsid w:val="161526EB"/>
    <w:rsid w:val="1677105D"/>
    <w:rsid w:val="16C35836"/>
    <w:rsid w:val="17701D14"/>
    <w:rsid w:val="17735226"/>
    <w:rsid w:val="17F46E10"/>
    <w:rsid w:val="189F624C"/>
    <w:rsid w:val="19C01832"/>
    <w:rsid w:val="1A1C66C0"/>
    <w:rsid w:val="1A42393B"/>
    <w:rsid w:val="1A7516DA"/>
    <w:rsid w:val="1AAD45DE"/>
    <w:rsid w:val="1B046F80"/>
    <w:rsid w:val="1B3267B5"/>
    <w:rsid w:val="1B364EAE"/>
    <w:rsid w:val="1B40161D"/>
    <w:rsid w:val="1B441859"/>
    <w:rsid w:val="1B6606B1"/>
    <w:rsid w:val="1C5E7925"/>
    <w:rsid w:val="1CAF5818"/>
    <w:rsid w:val="1CFD070F"/>
    <w:rsid w:val="1D5F6196"/>
    <w:rsid w:val="1D6132A5"/>
    <w:rsid w:val="1D8E56D5"/>
    <w:rsid w:val="1E7A43DA"/>
    <w:rsid w:val="1FE7539E"/>
    <w:rsid w:val="20671BE0"/>
    <w:rsid w:val="20963CB8"/>
    <w:rsid w:val="20A81A1B"/>
    <w:rsid w:val="20B07FB6"/>
    <w:rsid w:val="20B646FB"/>
    <w:rsid w:val="2134454B"/>
    <w:rsid w:val="213B74B1"/>
    <w:rsid w:val="215A2310"/>
    <w:rsid w:val="21821834"/>
    <w:rsid w:val="21DE318A"/>
    <w:rsid w:val="21EF5B80"/>
    <w:rsid w:val="22576990"/>
    <w:rsid w:val="22F47480"/>
    <w:rsid w:val="23C8464B"/>
    <w:rsid w:val="23D14AD9"/>
    <w:rsid w:val="23DE1C48"/>
    <w:rsid w:val="240210CD"/>
    <w:rsid w:val="24BF09F7"/>
    <w:rsid w:val="252D53FE"/>
    <w:rsid w:val="255F5792"/>
    <w:rsid w:val="25EC2D81"/>
    <w:rsid w:val="277057A2"/>
    <w:rsid w:val="28FF5682"/>
    <w:rsid w:val="29206EB8"/>
    <w:rsid w:val="29595666"/>
    <w:rsid w:val="29874881"/>
    <w:rsid w:val="29E325E0"/>
    <w:rsid w:val="2A3A0527"/>
    <w:rsid w:val="2A452503"/>
    <w:rsid w:val="2A500FBC"/>
    <w:rsid w:val="2A56543D"/>
    <w:rsid w:val="2A9545B5"/>
    <w:rsid w:val="2BA936A8"/>
    <w:rsid w:val="2BAF555A"/>
    <w:rsid w:val="2C315A5A"/>
    <w:rsid w:val="2C4B1C25"/>
    <w:rsid w:val="2D1D4689"/>
    <w:rsid w:val="2D5544D9"/>
    <w:rsid w:val="2D867653"/>
    <w:rsid w:val="2D9E56F5"/>
    <w:rsid w:val="2E667F96"/>
    <w:rsid w:val="2E8226AB"/>
    <w:rsid w:val="2FD065E6"/>
    <w:rsid w:val="2FD96870"/>
    <w:rsid w:val="30580BC9"/>
    <w:rsid w:val="307B20E5"/>
    <w:rsid w:val="31037EC0"/>
    <w:rsid w:val="311E2ED7"/>
    <w:rsid w:val="315619EE"/>
    <w:rsid w:val="315C449C"/>
    <w:rsid w:val="316B6088"/>
    <w:rsid w:val="31A07D06"/>
    <w:rsid w:val="31B82709"/>
    <w:rsid w:val="31C75DA0"/>
    <w:rsid w:val="31D05482"/>
    <w:rsid w:val="32400B34"/>
    <w:rsid w:val="329E6876"/>
    <w:rsid w:val="32A071D1"/>
    <w:rsid w:val="333015F2"/>
    <w:rsid w:val="334B6320"/>
    <w:rsid w:val="33A12CAA"/>
    <w:rsid w:val="33D934D4"/>
    <w:rsid w:val="33E145DF"/>
    <w:rsid w:val="33FE2F6A"/>
    <w:rsid w:val="340E07E5"/>
    <w:rsid w:val="34235BF7"/>
    <w:rsid w:val="357539EF"/>
    <w:rsid w:val="358C5FA8"/>
    <w:rsid w:val="35C15DF1"/>
    <w:rsid w:val="36074A7F"/>
    <w:rsid w:val="362571A7"/>
    <w:rsid w:val="36923549"/>
    <w:rsid w:val="36B75FBF"/>
    <w:rsid w:val="36BD0C45"/>
    <w:rsid w:val="37162820"/>
    <w:rsid w:val="37E00298"/>
    <w:rsid w:val="37FD25EB"/>
    <w:rsid w:val="38B302F9"/>
    <w:rsid w:val="38EC46E2"/>
    <w:rsid w:val="38F12CD3"/>
    <w:rsid w:val="38F94775"/>
    <w:rsid w:val="392457C8"/>
    <w:rsid w:val="392971ED"/>
    <w:rsid w:val="39325651"/>
    <w:rsid w:val="39A42B02"/>
    <w:rsid w:val="39ED6243"/>
    <w:rsid w:val="3A872856"/>
    <w:rsid w:val="3AB26AFE"/>
    <w:rsid w:val="3ABE446B"/>
    <w:rsid w:val="3B0A04B5"/>
    <w:rsid w:val="3B3763D1"/>
    <w:rsid w:val="3C1D3F07"/>
    <w:rsid w:val="3C2F6E1E"/>
    <w:rsid w:val="3C4F64BA"/>
    <w:rsid w:val="3CDA245A"/>
    <w:rsid w:val="3D1E06B7"/>
    <w:rsid w:val="3D3D6F71"/>
    <w:rsid w:val="3DA374D7"/>
    <w:rsid w:val="3E1026D9"/>
    <w:rsid w:val="3E2308EC"/>
    <w:rsid w:val="3EDA0523"/>
    <w:rsid w:val="407A6407"/>
    <w:rsid w:val="40827192"/>
    <w:rsid w:val="4200449D"/>
    <w:rsid w:val="423A3BCC"/>
    <w:rsid w:val="424E57D2"/>
    <w:rsid w:val="4257387A"/>
    <w:rsid w:val="42B26C49"/>
    <w:rsid w:val="433A6FE6"/>
    <w:rsid w:val="43480868"/>
    <w:rsid w:val="4350713C"/>
    <w:rsid w:val="436653E0"/>
    <w:rsid w:val="43B7353B"/>
    <w:rsid w:val="43C4431A"/>
    <w:rsid w:val="43EE4CC7"/>
    <w:rsid w:val="445A2EAE"/>
    <w:rsid w:val="44B951CC"/>
    <w:rsid w:val="44CD14E0"/>
    <w:rsid w:val="44F20B0B"/>
    <w:rsid w:val="452E5F4C"/>
    <w:rsid w:val="45612018"/>
    <w:rsid w:val="458946E9"/>
    <w:rsid w:val="45A47C0E"/>
    <w:rsid w:val="46577FD6"/>
    <w:rsid w:val="46D955A7"/>
    <w:rsid w:val="47133957"/>
    <w:rsid w:val="47A07E0C"/>
    <w:rsid w:val="482D3E87"/>
    <w:rsid w:val="4870272E"/>
    <w:rsid w:val="490A7238"/>
    <w:rsid w:val="49DC7715"/>
    <w:rsid w:val="4A023139"/>
    <w:rsid w:val="4A63587C"/>
    <w:rsid w:val="4A7B576F"/>
    <w:rsid w:val="4A9E3E82"/>
    <w:rsid w:val="4AF561A9"/>
    <w:rsid w:val="4B3F1547"/>
    <w:rsid w:val="4C4A0649"/>
    <w:rsid w:val="4C7E5ECA"/>
    <w:rsid w:val="4C876AA5"/>
    <w:rsid w:val="4D0E00FB"/>
    <w:rsid w:val="4D176606"/>
    <w:rsid w:val="4DEC4FB0"/>
    <w:rsid w:val="4E075D8A"/>
    <w:rsid w:val="4E2162DD"/>
    <w:rsid w:val="4E792785"/>
    <w:rsid w:val="4EC00FAD"/>
    <w:rsid w:val="4F5B752C"/>
    <w:rsid w:val="4F9843DC"/>
    <w:rsid w:val="4FC62A8C"/>
    <w:rsid w:val="4FE20F0D"/>
    <w:rsid w:val="4FE51552"/>
    <w:rsid w:val="50504C4B"/>
    <w:rsid w:val="509C6E7C"/>
    <w:rsid w:val="5162104E"/>
    <w:rsid w:val="53900BF2"/>
    <w:rsid w:val="53A039CC"/>
    <w:rsid w:val="53A1505A"/>
    <w:rsid w:val="54063E08"/>
    <w:rsid w:val="543437E8"/>
    <w:rsid w:val="545C5CB5"/>
    <w:rsid w:val="54F73313"/>
    <w:rsid w:val="54F80955"/>
    <w:rsid w:val="555170A7"/>
    <w:rsid w:val="5587536D"/>
    <w:rsid w:val="559B174B"/>
    <w:rsid w:val="55CE0CF4"/>
    <w:rsid w:val="56465E5A"/>
    <w:rsid w:val="56B22A9C"/>
    <w:rsid w:val="578E7771"/>
    <w:rsid w:val="57B72A76"/>
    <w:rsid w:val="57C3426C"/>
    <w:rsid w:val="57CE1F93"/>
    <w:rsid w:val="582C2378"/>
    <w:rsid w:val="584508F3"/>
    <w:rsid w:val="585A0132"/>
    <w:rsid w:val="587844BB"/>
    <w:rsid w:val="588743D1"/>
    <w:rsid w:val="5887701A"/>
    <w:rsid w:val="58A712B3"/>
    <w:rsid w:val="59B02104"/>
    <w:rsid w:val="59C0439F"/>
    <w:rsid w:val="5A05280B"/>
    <w:rsid w:val="5A677E01"/>
    <w:rsid w:val="5ABE2233"/>
    <w:rsid w:val="5B5F48F4"/>
    <w:rsid w:val="5BDF5D95"/>
    <w:rsid w:val="5BFE7528"/>
    <w:rsid w:val="5CBB1AC6"/>
    <w:rsid w:val="5E2467F1"/>
    <w:rsid w:val="5E7D7CB9"/>
    <w:rsid w:val="5F1A2B43"/>
    <w:rsid w:val="5FB837BB"/>
    <w:rsid w:val="5FFA0F8F"/>
    <w:rsid w:val="60CC405A"/>
    <w:rsid w:val="60E70DF2"/>
    <w:rsid w:val="61A17964"/>
    <w:rsid w:val="61E215D8"/>
    <w:rsid w:val="621A2EA0"/>
    <w:rsid w:val="621B3775"/>
    <w:rsid w:val="62364782"/>
    <w:rsid w:val="62CF7D4E"/>
    <w:rsid w:val="62D27206"/>
    <w:rsid w:val="6394356A"/>
    <w:rsid w:val="63C61B2C"/>
    <w:rsid w:val="63D40BE9"/>
    <w:rsid w:val="64102431"/>
    <w:rsid w:val="64A5243A"/>
    <w:rsid w:val="64F531DE"/>
    <w:rsid w:val="65373578"/>
    <w:rsid w:val="6564517E"/>
    <w:rsid w:val="658A3957"/>
    <w:rsid w:val="65982872"/>
    <w:rsid w:val="65D05201"/>
    <w:rsid w:val="66A65723"/>
    <w:rsid w:val="66CC65E8"/>
    <w:rsid w:val="671F124A"/>
    <w:rsid w:val="677A33C6"/>
    <w:rsid w:val="67DC3F63"/>
    <w:rsid w:val="681F6961"/>
    <w:rsid w:val="68610A2F"/>
    <w:rsid w:val="68805514"/>
    <w:rsid w:val="69316E2F"/>
    <w:rsid w:val="694E2071"/>
    <w:rsid w:val="69766163"/>
    <w:rsid w:val="697A3B33"/>
    <w:rsid w:val="69A05F71"/>
    <w:rsid w:val="69D44760"/>
    <w:rsid w:val="69DD7064"/>
    <w:rsid w:val="6A520EC7"/>
    <w:rsid w:val="6AF87E20"/>
    <w:rsid w:val="6B322639"/>
    <w:rsid w:val="6B3D0830"/>
    <w:rsid w:val="6B661B67"/>
    <w:rsid w:val="6B6C114B"/>
    <w:rsid w:val="6C636C38"/>
    <w:rsid w:val="6CBA0C9E"/>
    <w:rsid w:val="6D1A2A99"/>
    <w:rsid w:val="6DB34098"/>
    <w:rsid w:val="6DB545B6"/>
    <w:rsid w:val="6DE02FB4"/>
    <w:rsid w:val="6E514CED"/>
    <w:rsid w:val="6E9C6948"/>
    <w:rsid w:val="6EB563D5"/>
    <w:rsid w:val="6ED92677"/>
    <w:rsid w:val="6EFC0516"/>
    <w:rsid w:val="6F225983"/>
    <w:rsid w:val="6FFC5590"/>
    <w:rsid w:val="706D1DD0"/>
    <w:rsid w:val="70856B87"/>
    <w:rsid w:val="70D527EE"/>
    <w:rsid w:val="715B5300"/>
    <w:rsid w:val="71660996"/>
    <w:rsid w:val="71CA5863"/>
    <w:rsid w:val="71D27F8A"/>
    <w:rsid w:val="72553024"/>
    <w:rsid w:val="73122968"/>
    <w:rsid w:val="731F5D5E"/>
    <w:rsid w:val="73A80200"/>
    <w:rsid w:val="73C51AD5"/>
    <w:rsid w:val="741E793C"/>
    <w:rsid w:val="745E3944"/>
    <w:rsid w:val="75A43195"/>
    <w:rsid w:val="7635099D"/>
    <w:rsid w:val="76F25BFD"/>
    <w:rsid w:val="77762421"/>
    <w:rsid w:val="77B56B1F"/>
    <w:rsid w:val="77FB07AB"/>
    <w:rsid w:val="780F09F4"/>
    <w:rsid w:val="78A90480"/>
    <w:rsid w:val="79C765B5"/>
    <w:rsid w:val="79CD1315"/>
    <w:rsid w:val="79DB2756"/>
    <w:rsid w:val="7A364017"/>
    <w:rsid w:val="7A8265E1"/>
    <w:rsid w:val="7ABA7ADA"/>
    <w:rsid w:val="7B686D42"/>
    <w:rsid w:val="7B841746"/>
    <w:rsid w:val="7B8437E3"/>
    <w:rsid w:val="7C6C5AC7"/>
    <w:rsid w:val="7CC6544B"/>
    <w:rsid w:val="7D0239FF"/>
    <w:rsid w:val="7D5E40CD"/>
    <w:rsid w:val="7D6B7916"/>
    <w:rsid w:val="7DCD56F2"/>
    <w:rsid w:val="7F001CE7"/>
    <w:rsid w:val="7F0349F0"/>
    <w:rsid w:val="7F3A13C3"/>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rules v:ext="edit">
        <o:r id="V:Rule1" type="connector" idref="#直接连接符 18"/>
        <o:r id="V:Rule2" type="connector" idref="#_x0000_s2060"/>
        <o:r id="V:Rule3" type="connector" idref="#_x0000_s2111"/>
        <o:r id="V:Rule4" type="connector" idref="#_x0000_s2113"/>
      </o:rules>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0"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39"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iPriority="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semiHidden="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nhideWhenUsed="0" w:uiPriority="0" w:semiHidden="0" w:name="Body Text First Indent" w:locked="1"/>
    <w:lsdException w:qFormat="1" w:unhideWhenUsed="0" w:uiPriority="0" w:semiHidden="0" w:name="Body Text First Indent 2" w:locked="1"/>
    <w:lsdException w:unhideWhenUsed="0" w:uiPriority="0" w:semiHidden="0" w:name="Note Heading" w:locked="1"/>
    <w:lsdException w:qFormat="1" w:unhideWhenUsed="0" w:uiPriority="0" w:semiHidden="0" w:name="Body Text 2" w:locked="1"/>
    <w:lsdException w:unhideWhenUsed="0" w:uiPriority="0" w:semiHidden="0" w:name="Body Text 3" w:locked="1"/>
    <w:lsdException w:qFormat="1" w:unhideWhenUsed="0" w:uiPriority="0" w:semiHidden="0" w:name="Body Text Indent 2" w:locked="1"/>
    <w:lsdException w:qFormat="1" w:unhideWhenUsed="0" w:uiPriority="0" w:semiHidden="0" w:name="Body Text Indent 3" w:locked="1"/>
    <w:lsdException w:qFormat="1" w:unhideWhenUsed="0" w:uiPriority="0" w:semiHidden="0" w:name="Block Text" w:locked="1"/>
    <w:lsdException w:qFormat="1"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99"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semiHidden="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semiHidden="0" w:name="Balloon Text"/>
    <w:lsdException w:qFormat="1" w:unhideWhenUsed="0" w:uiPriority="0" w:semiHidden="0" w:name="Table Grid"/>
    <w:lsdException w:unhideWhenUsed="0" w:uiPriority="0" w:semiHidden="0" w:name="Table Theme" w:locked="1"/>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4">
    <w:name w:val="heading 2"/>
    <w:basedOn w:val="1"/>
    <w:next w:val="1"/>
    <w:link w:val="55"/>
    <w:unhideWhenUsed/>
    <w:qFormat/>
    <w:locked/>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2">
    <w:name w:val="Block Text"/>
    <w:basedOn w:val="1"/>
    <w:qFormat/>
    <w:locked/>
    <w:uiPriority w:val="0"/>
    <w:pPr>
      <w:spacing w:after="120"/>
      <w:ind w:left="1440" w:leftChars="700" w:right="1440" w:rightChars="700"/>
    </w:pPr>
    <w:rPr>
      <w:rFonts w:ascii="Calibri" w:hAnsi="Calibri"/>
      <w:szCs w:val="20"/>
    </w:rPr>
  </w:style>
  <w:style w:type="paragraph" w:styleId="5">
    <w:name w:val="Normal Indent"/>
    <w:basedOn w:val="1"/>
    <w:link w:val="53"/>
    <w:qFormat/>
    <w:locked/>
    <w:uiPriority w:val="0"/>
    <w:pPr>
      <w:ind w:firstLine="420"/>
    </w:pPr>
    <w:rPr>
      <w:rFonts w:ascii="Calibri" w:hAnsi="Calibri"/>
      <w:szCs w:val="20"/>
    </w:rPr>
  </w:style>
  <w:style w:type="paragraph" w:styleId="6">
    <w:name w:val="annotation text"/>
    <w:basedOn w:val="1"/>
    <w:link w:val="36"/>
    <w:qFormat/>
    <w:uiPriority w:val="0"/>
    <w:pPr>
      <w:jc w:val="left"/>
    </w:pPr>
    <w:rPr>
      <w:kern w:val="0"/>
      <w:sz w:val="24"/>
      <w:szCs w:val="20"/>
    </w:rPr>
  </w:style>
  <w:style w:type="paragraph" w:styleId="7">
    <w:name w:val="Body Text"/>
    <w:basedOn w:val="1"/>
    <w:next w:val="1"/>
    <w:link w:val="35"/>
    <w:qFormat/>
    <w:uiPriority w:val="0"/>
    <w:pPr>
      <w:widowControl/>
      <w:snapToGrid w:val="0"/>
      <w:spacing w:before="60" w:after="160" w:line="259" w:lineRule="auto"/>
      <w:ind w:right="113"/>
    </w:pPr>
    <w:rPr>
      <w:kern w:val="0"/>
      <w:sz w:val="18"/>
      <w:szCs w:val="20"/>
    </w:rPr>
  </w:style>
  <w:style w:type="paragraph" w:styleId="8">
    <w:name w:val="Body Text Indent"/>
    <w:basedOn w:val="1"/>
    <w:link w:val="44"/>
    <w:qFormat/>
    <w:uiPriority w:val="0"/>
    <w:pPr>
      <w:spacing w:after="120"/>
      <w:ind w:left="420" w:leftChars="200"/>
    </w:pPr>
    <w:rPr>
      <w:kern w:val="0"/>
      <w:sz w:val="24"/>
      <w:szCs w:val="20"/>
    </w:rPr>
  </w:style>
  <w:style w:type="paragraph" w:styleId="9">
    <w:name w:val="Plain Text"/>
    <w:basedOn w:val="1"/>
    <w:next w:val="10"/>
    <w:link w:val="56"/>
    <w:qFormat/>
    <w:locked/>
    <w:uiPriority w:val="0"/>
    <w:rPr>
      <w:rFonts w:ascii="宋体" w:hAnsi="Courier New"/>
      <w:szCs w:val="20"/>
    </w:rPr>
  </w:style>
  <w:style w:type="paragraph" w:styleId="10">
    <w:name w:val="toc 1"/>
    <w:basedOn w:val="1"/>
    <w:next w:val="1"/>
    <w:qFormat/>
    <w:locked/>
    <w:uiPriority w:val="39"/>
    <w:pPr>
      <w:spacing w:before="120" w:after="120"/>
      <w:jc w:val="left"/>
    </w:pPr>
    <w:rPr>
      <w:rFonts w:ascii="Calibri" w:hAnsi="Calibri"/>
      <w:b/>
      <w:bCs/>
      <w:caps/>
      <w:sz w:val="20"/>
      <w:szCs w:val="20"/>
    </w:rPr>
  </w:style>
  <w:style w:type="paragraph" w:styleId="11">
    <w:name w:val="Date"/>
    <w:basedOn w:val="1"/>
    <w:next w:val="1"/>
    <w:link w:val="31"/>
    <w:qFormat/>
    <w:uiPriority w:val="0"/>
    <w:pPr>
      <w:ind w:left="100" w:leftChars="2500"/>
    </w:pPr>
    <w:rPr>
      <w:kern w:val="0"/>
      <w:sz w:val="24"/>
      <w:szCs w:val="20"/>
    </w:rPr>
  </w:style>
  <w:style w:type="paragraph" w:styleId="12">
    <w:name w:val="Body Text Indent 2"/>
    <w:basedOn w:val="1"/>
    <w:link w:val="57"/>
    <w:qFormat/>
    <w:locked/>
    <w:uiPriority w:val="0"/>
    <w:pPr>
      <w:spacing w:line="500" w:lineRule="exact"/>
      <w:ind w:firstLine="480" w:firstLineChars="200"/>
    </w:pPr>
    <w:rPr>
      <w:rFonts w:ascii="宋体" w:hAnsi="Calibri"/>
      <w:bCs/>
      <w:sz w:val="24"/>
      <w:szCs w:val="20"/>
    </w:rPr>
  </w:style>
  <w:style w:type="paragraph" w:styleId="13">
    <w:name w:val="Balloon Text"/>
    <w:basedOn w:val="1"/>
    <w:link w:val="40"/>
    <w:qFormat/>
    <w:uiPriority w:val="0"/>
    <w:rPr>
      <w:kern w:val="0"/>
      <w:sz w:val="18"/>
      <w:szCs w:val="20"/>
    </w:rPr>
  </w:style>
  <w:style w:type="paragraph" w:styleId="14">
    <w:name w:val="footer"/>
    <w:basedOn w:val="1"/>
    <w:link w:val="30"/>
    <w:qFormat/>
    <w:uiPriority w:val="99"/>
    <w:pPr>
      <w:tabs>
        <w:tab w:val="center" w:pos="4153"/>
        <w:tab w:val="right" w:pos="8306"/>
      </w:tabs>
      <w:snapToGrid w:val="0"/>
      <w:jc w:val="left"/>
    </w:pPr>
    <w:rPr>
      <w:kern w:val="0"/>
      <w:sz w:val="18"/>
      <w:szCs w:val="20"/>
    </w:rPr>
  </w:style>
  <w:style w:type="paragraph" w:styleId="15">
    <w:name w:val="header"/>
    <w:basedOn w:val="1"/>
    <w:link w:val="42"/>
    <w:qFormat/>
    <w:uiPriority w:val="0"/>
    <w:pPr>
      <w:tabs>
        <w:tab w:val="center" w:pos="4153"/>
        <w:tab w:val="right" w:pos="8306"/>
      </w:tabs>
      <w:snapToGrid w:val="0"/>
      <w:jc w:val="center"/>
    </w:pPr>
    <w:rPr>
      <w:kern w:val="0"/>
      <w:sz w:val="18"/>
      <w:szCs w:val="20"/>
    </w:rPr>
  </w:style>
  <w:style w:type="paragraph" w:styleId="16">
    <w:name w:val="Body Text Indent 3"/>
    <w:basedOn w:val="1"/>
    <w:link w:val="58"/>
    <w:qFormat/>
    <w:locked/>
    <w:uiPriority w:val="0"/>
    <w:pPr>
      <w:spacing w:line="360" w:lineRule="auto"/>
      <w:ind w:firstLine="471" w:firstLineChars="200"/>
    </w:pPr>
    <w:rPr>
      <w:rFonts w:ascii="宋体" w:hAnsi="宋体"/>
      <w:sz w:val="24"/>
      <w:szCs w:val="20"/>
    </w:rPr>
  </w:style>
  <w:style w:type="paragraph" w:styleId="17">
    <w:name w:val="Body Text 2"/>
    <w:basedOn w:val="1"/>
    <w:link w:val="48"/>
    <w:qFormat/>
    <w:locked/>
    <w:uiPriority w:val="0"/>
    <w:pPr>
      <w:spacing w:after="120" w:line="480" w:lineRule="auto"/>
    </w:pPr>
  </w:style>
  <w:style w:type="paragraph" w:styleId="18">
    <w:name w:val="Normal (Web)"/>
    <w:basedOn w:val="1"/>
    <w:link w:val="33"/>
    <w:qFormat/>
    <w:uiPriority w:val="99"/>
    <w:pPr>
      <w:widowControl/>
      <w:spacing w:before="100" w:beforeAutospacing="1" w:after="100" w:afterAutospacing="1"/>
      <w:jc w:val="left"/>
    </w:pPr>
    <w:rPr>
      <w:rFonts w:ascii="宋体" w:hAnsi="宋体"/>
      <w:kern w:val="0"/>
      <w:sz w:val="24"/>
      <w:szCs w:val="20"/>
    </w:rPr>
  </w:style>
  <w:style w:type="paragraph" w:styleId="19">
    <w:name w:val="annotation subject"/>
    <w:basedOn w:val="6"/>
    <w:next w:val="6"/>
    <w:link w:val="41"/>
    <w:qFormat/>
    <w:uiPriority w:val="0"/>
    <w:rPr>
      <w:b/>
    </w:rPr>
  </w:style>
  <w:style w:type="paragraph" w:styleId="20">
    <w:name w:val="Body Text First Indent"/>
    <w:basedOn w:val="7"/>
    <w:next w:val="1"/>
    <w:qFormat/>
    <w:locked/>
    <w:uiPriority w:val="0"/>
    <w:pPr>
      <w:spacing w:after="120" w:line="240" w:lineRule="auto"/>
      <w:ind w:firstLine="420" w:firstLineChars="100"/>
    </w:pPr>
    <w:rPr>
      <w:sz w:val="21"/>
    </w:rPr>
  </w:style>
  <w:style w:type="paragraph" w:styleId="21">
    <w:name w:val="Body Text First Indent 2"/>
    <w:basedOn w:val="8"/>
    <w:next w:val="20"/>
    <w:link w:val="59"/>
    <w:qFormat/>
    <w:locked/>
    <w:uiPriority w:val="0"/>
    <w:pPr>
      <w:ind w:firstLine="420" w:firstLineChars="200"/>
    </w:pPr>
    <w:rPr>
      <w:rFonts w:ascii="Calibri" w:hAnsi="Calibri" w:eastAsia="楷体_GB2312"/>
      <w:color w:val="000000"/>
      <w:kern w:val="2"/>
      <w:sz w:val="21"/>
    </w:rPr>
  </w:style>
  <w:style w:type="table" w:styleId="23">
    <w:name w:val="Table Grid"/>
    <w:basedOn w:val="2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5">
    <w:name w:val="Strong"/>
    <w:qFormat/>
    <w:locked/>
    <w:uiPriority w:val="0"/>
    <w:rPr>
      <w:rFonts w:ascii="Times New Roman" w:hAnsi="Times New Roman" w:eastAsia="宋体" w:cs="Times New Roman"/>
      <w:b/>
      <w:bCs/>
    </w:rPr>
  </w:style>
  <w:style w:type="character" w:styleId="26">
    <w:name w:val="page number"/>
    <w:basedOn w:val="24"/>
    <w:qFormat/>
    <w:locked/>
    <w:uiPriority w:val="0"/>
  </w:style>
  <w:style w:type="character" w:styleId="27">
    <w:name w:val="Hyperlink"/>
    <w:basedOn w:val="24"/>
    <w:qFormat/>
    <w:locked/>
    <w:uiPriority w:val="0"/>
    <w:rPr>
      <w:color w:val="0000FF"/>
      <w:u w:val="single"/>
    </w:rPr>
  </w:style>
  <w:style w:type="character" w:styleId="28">
    <w:name w:val="annotation reference"/>
    <w:qFormat/>
    <w:uiPriority w:val="0"/>
    <w:rPr>
      <w:sz w:val="21"/>
    </w:rPr>
  </w:style>
  <w:style w:type="paragraph" w:customStyle="1" w:styleId="29">
    <w:name w:val="BlockQuote"/>
    <w:basedOn w:val="1"/>
    <w:qFormat/>
    <w:uiPriority w:val="0"/>
    <w:pPr>
      <w:widowControl/>
      <w:spacing w:line="300" w:lineRule="exact"/>
      <w:ind w:left="-96" w:leftChars="-40" w:right="-16" w:firstLine="482" w:firstLineChars="200"/>
      <w:textAlignment w:val="baseline"/>
    </w:pPr>
    <w:rPr>
      <w:rFonts w:ascii="宋体" w:hAnsi="宋体" w:eastAsia="FangSong_GB2312"/>
      <w:sz w:val="28"/>
    </w:rPr>
  </w:style>
  <w:style w:type="character" w:customStyle="1" w:styleId="30">
    <w:name w:val="页脚 Char"/>
    <w:link w:val="14"/>
    <w:qFormat/>
    <w:locked/>
    <w:uiPriority w:val="99"/>
    <w:rPr>
      <w:sz w:val="18"/>
    </w:rPr>
  </w:style>
  <w:style w:type="character" w:customStyle="1" w:styleId="31">
    <w:name w:val="日期 Char"/>
    <w:link w:val="11"/>
    <w:qFormat/>
    <w:locked/>
    <w:uiPriority w:val="0"/>
    <w:rPr>
      <w:rFonts w:ascii="Times New Roman" w:hAnsi="Times New Roman" w:eastAsia="宋体"/>
      <w:sz w:val="24"/>
    </w:rPr>
  </w:style>
  <w:style w:type="character" w:customStyle="1" w:styleId="32">
    <w:name w:val="页脚 字符"/>
    <w:basedOn w:val="24"/>
    <w:qFormat/>
    <w:uiPriority w:val="99"/>
  </w:style>
  <w:style w:type="character" w:customStyle="1" w:styleId="33">
    <w:name w:val="普通(网站) Char"/>
    <w:link w:val="18"/>
    <w:qFormat/>
    <w:locked/>
    <w:uiPriority w:val="0"/>
    <w:rPr>
      <w:rFonts w:ascii="宋体" w:hAnsi="宋体" w:eastAsia="宋体"/>
      <w:sz w:val="24"/>
    </w:rPr>
  </w:style>
  <w:style w:type="character" w:customStyle="1" w:styleId="34">
    <w:name w:val="正文文本 字符1"/>
    <w:semiHidden/>
    <w:qFormat/>
    <w:uiPriority w:val="0"/>
    <w:rPr>
      <w:rFonts w:ascii="Times New Roman" w:hAnsi="Times New Roman" w:eastAsia="宋体"/>
      <w:sz w:val="24"/>
    </w:rPr>
  </w:style>
  <w:style w:type="character" w:customStyle="1" w:styleId="35">
    <w:name w:val="正文文本 Char"/>
    <w:link w:val="7"/>
    <w:qFormat/>
    <w:locked/>
    <w:uiPriority w:val="0"/>
    <w:rPr>
      <w:sz w:val="18"/>
    </w:rPr>
  </w:style>
  <w:style w:type="character" w:customStyle="1" w:styleId="36">
    <w:name w:val="批注文字 Char1"/>
    <w:link w:val="6"/>
    <w:qFormat/>
    <w:locked/>
    <w:uiPriority w:val="0"/>
    <w:rPr>
      <w:rFonts w:ascii="Times New Roman" w:hAnsi="Times New Roman" w:eastAsia="宋体"/>
      <w:sz w:val="24"/>
    </w:rPr>
  </w:style>
  <w:style w:type="character" w:customStyle="1" w:styleId="37">
    <w:name w:val="表格 Char"/>
    <w:link w:val="38"/>
    <w:qFormat/>
    <w:locked/>
    <w:uiPriority w:val="0"/>
    <w:rPr>
      <w:rFonts w:ascii="宋体"/>
      <w:sz w:val="21"/>
    </w:rPr>
  </w:style>
  <w:style w:type="paragraph" w:customStyle="1" w:styleId="38">
    <w:name w:val="表格"/>
    <w:basedOn w:val="1"/>
    <w:next w:val="1"/>
    <w:link w:val="37"/>
    <w:qFormat/>
    <w:uiPriority w:val="0"/>
    <w:pPr>
      <w:adjustRightInd w:val="0"/>
      <w:snapToGrid w:val="0"/>
      <w:spacing w:beforeLines="10" w:afterLines="10" w:line="259" w:lineRule="auto"/>
      <w:jc w:val="center"/>
    </w:pPr>
    <w:rPr>
      <w:rFonts w:ascii="宋体"/>
      <w:kern w:val="0"/>
      <w:szCs w:val="20"/>
    </w:rPr>
  </w:style>
  <w:style w:type="character" w:customStyle="1" w:styleId="39">
    <w:name w:val="日期 字符"/>
    <w:semiHidden/>
    <w:qFormat/>
    <w:uiPriority w:val="0"/>
    <w:rPr>
      <w:rFonts w:ascii="Times New Roman" w:hAnsi="Times New Roman" w:eastAsia="宋体"/>
      <w:sz w:val="24"/>
    </w:rPr>
  </w:style>
  <w:style w:type="character" w:customStyle="1" w:styleId="40">
    <w:name w:val="批注框文本 Char1"/>
    <w:link w:val="13"/>
    <w:semiHidden/>
    <w:qFormat/>
    <w:locked/>
    <w:uiPriority w:val="0"/>
    <w:rPr>
      <w:rFonts w:ascii="Times New Roman" w:hAnsi="Times New Roman" w:eastAsia="宋体"/>
      <w:sz w:val="18"/>
    </w:rPr>
  </w:style>
  <w:style w:type="character" w:customStyle="1" w:styleId="41">
    <w:name w:val="批注主题 Char1"/>
    <w:link w:val="19"/>
    <w:semiHidden/>
    <w:qFormat/>
    <w:locked/>
    <w:uiPriority w:val="0"/>
    <w:rPr>
      <w:rFonts w:ascii="Times New Roman" w:hAnsi="Times New Roman" w:eastAsia="宋体"/>
      <w:b/>
      <w:kern w:val="2"/>
      <w:sz w:val="24"/>
    </w:rPr>
  </w:style>
  <w:style w:type="character" w:customStyle="1" w:styleId="42">
    <w:name w:val="页眉 Char1"/>
    <w:link w:val="15"/>
    <w:qFormat/>
    <w:locked/>
    <w:uiPriority w:val="0"/>
    <w:rPr>
      <w:sz w:val="18"/>
    </w:rPr>
  </w:style>
  <w:style w:type="character" w:customStyle="1" w:styleId="43">
    <w:name w:val="批注文字 字符1"/>
    <w:semiHidden/>
    <w:qFormat/>
    <w:uiPriority w:val="0"/>
    <w:rPr>
      <w:rFonts w:ascii="Times New Roman" w:hAnsi="Times New Roman" w:eastAsia="宋体"/>
      <w:sz w:val="24"/>
    </w:rPr>
  </w:style>
  <w:style w:type="character" w:customStyle="1" w:styleId="44">
    <w:name w:val="正文文本缩进 Char"/>
    <w:link w:val="8"/>
    <w:semiHidden/>
    <w:qFormat/>
    <w:locked/>
    <w:uiPriority w:val="0"/>
    <w:rPr>
      <w:rFonts w:ascii="Times New Roman" w:hAnsi="Times New Roman" w:eastAsia="宋体"/>
      <w:sz w:val="24"/>
    </w:rPr>
  </w:style>
  <w:style w:type="paragraph" w:customStyle="1" w:styleId="45">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6">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47">
    <w:name w:val="表格内文字"/>
    <w:basedOn w:val="1"/>
    <w:qFormat/>
    <w:uiPriority w:val="0"/>
    <w:pPr>
      <w:widowControl/>
      <w:tabs>
        <w:tab w:val="left" w:pos="0"/>
      </w:tabs>
      <w:snapToGrid w:val="0"/>
      <w:jc w:val="center"/>
    </w:pPr>
    <w:rPr>
      <w:rFonts w:ascii="FangSong_GB2312" w:hAnsi="宋体" w:eastAsia="FangSong_GB2312" w:cs="宋体"/>
      <w:w w:val="90"/>
      <w:kern w:val="18"/>
      <w:sz w:val="24"/>
    </w:rPr>
  </w:style>
  <w:style w:type="character" w:customStyle="1" w:styleId="48">
    <w:name w:val="正文文本 2 Char"/>
    <w:basedOn w:val="24"/>
    <w:link w:val="17"/>
    <w:qFormat/>
    <w:uiPriority w:val="0"/>
    <w:rPr>
      <w:kern w:val="2"/>
      <w:sz w:val="21"/>
      <w:szCs w:val="24"/>
    </w:rPr>
  </w:style>
  <w:style w:type="character" w:customStyle="1" w:styleId="49">
    <w:name w:val="批注文字 Char"/>
    <w:basedOn w:val="24"/>
    <w:qFormat/>
    <w:uiPriority w:val="0"/>
    <w:rPr>
      <w:rFonts w:ascii="Calibri" w:hAnsi="Calibri"/>
      <w:kern w:val="2"/>
      <w:sz w:val="21"/>
    </w:rPr>
  </w:style>
  <w:style w:type="paragraph" w:customStyle="1" w:styleId="50">
    <w:name w:val="Table Paragraph"/>
    <w:basedOn w:val="1"/>
    <w:qFormat/>
    <w:uiPriority w:val="1"/>
    <w:pPr>
      <w:autoSpaceDE w:val="0"/>
      <w:autoSpaceDN w:val="0"/>
      <w:adjustRightInd w:val="0"/>
      <w:jc w:val="left"/>
    </w:pPr>
    <w:rPr>
      <w:rFonts w:ascii="Calibri" w:hAnsi="Calibri"/>
      <w:kern w:val="0"/>
      <w:sz w:val="24"/>
    </w:rPr>
  </w:style>
  <w:style w:type="paragraph" w:customStyle="1" w:styleId="51">
    <w:name w:val="图表文字"/>
    <w:basedOn w:val="1"/>
    <w:link w:val="54"/>
    <w:qFormat/>
    <w:uiPriority w:val="0"/>
    <w:pPr>
      <w:spacing w:line="300" w:lineRule="exact"/>
      <w:jc w:val="center"/>
    </w:pPr>
    <w:rPr>
      <w:rFonts w:ascii="Calibri" w:hAnsi="Calibri"/>
      <w:bCs/>
      <w:szCs w:val="20"/>
    </w:rPr>
  </w:style>
  <w:style w:type="paragraph" w:customStyle="1" w:styleId="52">
    <w:name w:val="我的样式（正文）"/>
    <w:basedOn w:val="1"/>
    <w:qFormat/>
    <w:uiPriority w:val="0"/>
    <w:pPr>
      <w:spacing w:line="440" w:lineRule="exact"/>
    </w:pPr>
    <w:rPr>
      <w:rFonts w:ascii="宋体" w:hAnsi="Calibri"/>
      <w:sz w:val="28"/>
    </w:rPr>
  </w:style>
  <w:style w:type="character" w:customStyle="1" w:styleId="53">
    <w:name w:val="正文缩进 Char"/>
    <w:basedOn w:val="24"/>
    <w:link w:val="5"/>
    <w:qFormat/>
    <w:uiPriority w:val="0"/>
    <w:rPr>
      <w:rFonts w:ascii="Calibri" w:hAnsi="Calibri"/>
      <w:kern w:val="2"/>
      <w:sz w:val="21"/>
    </w:rPr>
  </w:style>
  <w:style w:type="character" w:customStyle="1" w:styleId="54">
    <w:name w:val="图表文字 Char"/>
    <w:link w:val="51"/>
    <w:qFormat/>
    <w:uiPriority w:val="0"/>
    <w:rPr>
      <w:rFonts w:ascii="Calibri" w:hAnsi="Calibri"/>
      <w:bCs/>
      <w:kern w:val="2"/>
      <w:sz w:val="21"/>
    </w:rPr>
  </w:style>
  <w:style w:type="character" w:customStyle="1" w:styleId="55">
    <w:name w:val="标题 2 Char"/>
    <w:basedOn w:val="24"/>
    <w:link w:val="4"/>
    <w:semiHidden/>
    <w:qFormat/>
    <w:uiPriority w:val="0"/>
    <w:rPr>
      <w:rFonts w:asciiTheme="majorHAnsi" w:hAnsiTheme="majorHAnsi" w:eastAsiaTheme="majorEastAsia" w:cstheme="majorBidi"/>
      <w:b/>
      <w:bCs/>
      <w:kern w:val="2"/>
      <w:sz w:val="32"/>
      <w:szCs w:val="32"/>
    </w:rPr>
  </w:style>
  <w:style w:type="character" w:customStyle="1" w:styleId="56">
    <w:name w:val="纯文本 Char"/>
    <w:basedOn w:val="24"/>
    <w:link w:val="9"/>
    <w:qFormat/>
    <w:uiPriority w:val="0"/>
    <w:rPr>
      <w:rFonts w:ascii="宋体" w:hAnsi="Courier New"/>
      <w:kern w:val="2"/>
      <w:sz w:val="21"/>
    </w:rPr>
  </w:style>
  <w:style w:type="character" w:customStyle="1" w:styleId="57">
    <w:name w:val="正文文本缩进 2 Char"/>
    <w:basedOn w:val="24"/>
    <w:link w:val="12"/>
    <w:qFormat/>
    <w:uiPriority w:val="0"/>
    <w:rPr>
      <w:rFonts w:ascii="宋体" w:hAnsi="Calibri"/>
      <w:bCs/>
      <w:kern w:val="2"/>
      <w:sz w:val="24"/>
    </w:rPr>
  </w:style>
  <w:style w:type="character" w:customStyle="1" w:styleId="58">
    <w:name w:val="正文文本缩进 3 Char"/>
    <w:basedOn w:val="24"/>
    <w:link w:val="16"/>
    <w:qFormat/>
    <w:uiPriority w:val="0"/>
    <w:rPr>
      <w:rFonts w:ascii="宋体" w:hAnsi="宋体"/>
      <w:kern w:val="2"/>
      <w:sz w:val="24"/>
    </w:rPr>
  </w:style>
  <w:style w:type="character" w:customStyle="1" w:styleId="59">
    <w:name w:val="正文首行缩进 2 Char"/>
    <w:basedOn w:val="44"/>
    <w:link w:val="21"/>
    <w:qFormat/>
    <w:uiPriority w:val="0"/>
    <w:rPr>
      <w:rFonts w:ascii="Calibri" w:hAnsi="Calibri" w:eastAsia="楷体_GB2312"/>
      <w:color w:val="000000"/>
      <w:kern w:val="2"/>
      <w:sz w:val="21"/>
    </w:rPr>
  </w:style>
  <w:style w:type="paragraph" w:customStyle="1" w:styleId="60">
    <w:name w:val="Body Text 21"/>
    <w:basedOn w:val="1"/>
    <w:qFormat/>
    <w:uiPriority w:val="0"/>
    <w:pPr>
      <w:textAlignment w:val="baseline"/>
    </w:pPr>
    <w:rPr>
      <w:rFonts w:ascii="Calibri" w:hAnsi="Calibri"/>
      <w:color w:val="000000"/>
      <w:sz w:val="24"/>
      <w:szCs w:val="20"/>
    </w:rPr>
  </w:style>
  <w:style w:type="paragraph" w:customStyle="1" w:styleId="61">
    <w:name w:val="图文框"/>
    <w:basedOn w:val="1"/>
    <w:qFormat/>
    <w:uiPriority w:val="0"/>
    <w:pPr>
      <w:adjustRightInd w:val="0"/>
      <w:snapToGrid w:val="0"/>
      <w:jc w:val="center"/>
    </w:pPr>
    <w:rPr>
      <w:rFonts w:ascii="宋体" w:hAnsi="宋体"/>
      <w:color w:val="000000"/>
      <w:sz w:val="18"/>
    </w:rPr>
  </w:style>
  <w:style w:type="paragraph" w:customStyle="1" w:styleId="62">
    <w:name w:val="表"/>
    <w:basedOn w:val="1"/>
    <w:qFormat/>
    <w:uiPriority w:val="0"/>
    <w:pPr>
      <w:keepNext/>
      <w:keepLines/>
      <w:adjustRightInd w:val="0"/>
      <w:spacing w:before="60"/>
      <w:jc w:val="center"/>
    </w:pPr>
    <w:rPr>
      <w:rFonts w:ascii="Calibri" w:hAnsi="Calibri" w:eastAsia="FangSong_GB2312"/>
      <w:kern w:val="21"/>
      <w:sz w:val="24"/>
      <w:szCs w:val="20"/>
    </w:rPr>
  </w:style>
  <w:style w:type="paragraph" w:customStyle="1" w:styleId="63">
    <w:name w:val="p0"/>
    <w:basedOn w:val="1"/>
    <w:qFormat/>
    <w:uiPriority w:val="0"/>
    <w:pPr>
      <w:widowControl/>
    </w:pPr>
    <w:rPr>
      <w:rFonts w:ascii="Calibri" w:hAnsi="Calibri"/>
      <w:kern w:val="0"/>
      <w:szCs w:val="21"/>
    </w:rPr>
  </w:style>
  <w:style w:type="paragraph" w:customStyle="1" w:styleId="64">
    <w:name w:val="表格文字"/>
    <w:basedOn w:val="1"/>
    <w:qFormat/>
    <w:uiPriority w:val="0"/>
    <w:pPr>
      <w:adjustRightInd w:val="0"/>
      <w:snapToGrid w:val="0"/>
      <w:jc w:val="center"/>
    </w:pPr>
    <w:rPr>
      <w:rFonts w:ascii="FangSong_GB2312" w:hAnsi="Arial Black" w:eastAsia="FangSong_GB2312"/>
      <w:kern w:val="44"/>
      <w:sz w:val="24"/>
      <w:szCs w:val="20"/>
    </w:rPr>
  </w:style>
  <w:style w:type="paragraph" w:customStyle="1" w:styleId="65">
    <w:name w:val="表格标题"/>
    <w:basedOn w:val="1"/>
    <w:qFormat/>
    <w:uiPriority w:val="0"/>
    <w:pPr>
      <w:adjustRightInd w:val="0"/>
      <w:spacing w:before="120" w:line="360" w:lineRule="auto"/>
      <w:jc w:val="center"/>
    </w:pPr>
    <w:rPr>
      <w:rFonts w:ascii="Calibri" w:hAnsi="Calibri" w:eastAsia="文鼎CS中宋"/>
      <w:kern w:val="0"/>
      <w:sz w:val="24"/>
      <w:szCs w:val="20"/>
    </w:rPr>
  </w:style>
  <w:style w:type="paragraph" w:customStyle="1" w:styleId="66">
    <w:name w:val="文本框样式"/>
    <w:basedOn w:val="1"/>
    <w:qFormat/>
    <w:uiPriority w:val="0"/>
    <w:pPr>
      <w:jc w:val="center"/>
    </w:pPr>
    <w:rPr>
      <w:rFonts w:ascii="Calibri" w:hAnsi="Calibri"/>
      <w:szCs w:val="21"/>
    </w:rPr>
  </w:style>
  <w:style w:type="paragraph" w:customStyle="1" w:styleId="67">
    <w:name w:val="图标题"/>
    <w:basedOn w:val="1"/>
    <w:qFormat/>
    <w:uiPriority w:val="0"/>
    <w:pPr>
      <w:spacing w:line="300" w:lineRule="exact"/>
    </w:pPr>
    <w:rPr>
      <w:rFonts w:ascii="FangSong_GB2312" w:hAnsi="Calibri" w:eastAsia="FangSong_GB2312"/>
      <w:b/>
      <w:bCs/>
      <w:sz w:val="24"/>
    </w:rPr>
  </w:style>
  <w:style w:type="character" w:customStyle="1" w:styleId="68">
    <w:name w:val="font11"/>
    <w:basedOn w:val="24"/>
    <w:qFormat/>
    <w:uiPriority w:val="0"/>
    <w:rPr>
      <w:rFonts w:hint="eastAsia" w:ascii="宋体" w:hAnsi="宋体" w:eastAsia="宋体" w:cs="宋体"/>
      <w:color w:val="000000"/>
      <w:sz w:val="18"/>
      <w:szCs w:val="18"/>
      <w:u w:val="none"/>
    </w:rPr>
  </w:style>
  <w:style w:type="character" w:customStyle="1" w:styleId="69">
    <w:name w:val="font21"/>
    <w:basedOn w:val="24"/>
    <w:qFormat/>
    <w:uiPriority w:val="0"/>
    <w:rPr>
      <w:rFonts w:hint="default" w:ascii="TimesNewRomanPSMT" w:hAnsi="TimesNewRomanPSMT" w:eastAsia="TimesNewRomanPSMT" w:cs="TimesNewRomanPSMT"/>
      <w:color w:val="000000"/>
      <w:sz w:val="18"/>
      <w:szCs w:val="18"/>
      <w:u w:val="none"/>
    </w:rPr>
  </w:style>
  <w:style w:type="paragraph" w:customStyle="1" w:styleId="70">
    <w:name w:val="xl2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kern w:val="0"/>
      <w:sz w:val="24"/>
    </w:rPr>
  </w:style>
  <w:style w:type="paragraph" w:customStyle="1" w:styleId="71">
    <w:name w:val="Other|1"/>
    <w:basedOn w:val="1"/>
    <w:qFormat/>
    <w:uiPriority w:val="0"/>
    <w:rPr>
      <w:rFonts w:ascii="MingLiU" w:hAnsi="MingLiU" w:eastAsia="MingLiU" w:cs="MingLiU"/>
      <w:sz w:val="19"/>
      <w:szCs w:val="19"/>
      <w:lang w:val="zh-TW" w:eastAsia="zh-TW" w:bidi="zh-TW"/>
    </w:rPr>
  </w:style>
  <w:style w:type="paragraph" w:customStyle="1" w:styleId="72">
    <w:name w:val="Body text|1"/>
    <w:basedOn w:val="1"/>
    <w:qFormat/>
    <w:uiPriority w:val="0"/>
    <w:pPr>
      <w:spacing w:after="180" w:line="413" w:lineRule="auto"/>
    </w:pPr>
    <w:rPr>
      <w:rFonts w:ascii="宋体" w:hAnsi="宋体" w:cs="宋体"/>
      <w:szCs w:val="20"/>
      <w:lang w:val="zh-TW" w:eastAsia="zh-TW" w:bidi="zh-TW"/>
    </w:rPr>
  </w:style>
  <w:style w:type="paragraph" w:customStyle="1" w:styleId="73">
    <w:name w:val="Table caption|1"/>
    <w:basedOn w:val="1"/>
    <w:qFormat/>
    <w:uiPriority w:val="0"/>
    <w:rPr>
      <w:rFonts w:ascii="MingLiU" w:hAnsi="MingLiU" w:eastAsia="MingLiU" w:cs="MingLiU"/>
      <w:sz w:val="19"/>
      <w:szCs w:val="19"/>
      <w:lang w:val="zh-TW" w:eastAsia="zh-TW" w:bidi="zh-TW"/>
    </w:rPr>
  </w:style>
  <w:style w:type="character" w:customStyle="1" w:styleId="74">
    <w:name w:val="批注框文本 Char"/>
    <w:basedOn w:val="24"/>
    <w:qFormat/>
    <w:uiPriority w:val="0"/>
    <w:rPr>
      <w:rFonts w:ascii="Calibri" w:hAnsi="Calibri"/>
      <w:kern w:val="2"/>
      <w:sz w:val="18"/>
      <w:szCs w:val="18"/>
    </w:rPr>
  </w:style>
  <w:style w:type="character" w:styleId="75">
    <w:name w:val="Placeholder Text"/>
    <w:basedOn w:val="24"/>
    <w:unhideWhenUsed/>
    <w:qFormat/>
    <w:uiPriority w:val="99"/>
    <w:rPr>
      <w:color w:val="808080"/>
    </w:rPr>
  </w:style>
  <w:style w:type="paragraph" w:styleId="76">
    <w:name w:val="List Paragraph"/>
    <w:basedOn w:val="1"/>
    <w:unhideWhenUsed/>
    <w:qFormat/>
    <w:uiPriority w:val="99"/>
    <w:pPr>
      <w:ind w:firstLine="420" w:firstLineChars="200"/>
    </w:pPr>
    <w:rPr>
      <w:rFonts w:ascii="Calibri" w:hAnsi="Calibri"/>
      <w:szCs w:val="20"/>
    </w:rPr>
  </w:style>
  <w:style w:type="character" w:customStyle="1" w:styleId="77">
    <w:name w:val="批注主题 Char"/>
    <w:basedOn w:val="49"/>
    <w:qFormat/>
    <w:uiPriority w:val="0"/>
  </w:style>
  <w:style w:type="character" w:customStyle="1" w:styleId="78">
    <w:name w:val="页眉 Char"/>
    <w:basedOn w:val="24"/>
    <w:qFormat/>
    <w:uiPriority w:val="0"/>
    <w:rPr>
      <w:rFonts w:ascii="Calibri" w:hAnsi="Calibri"/>
      <w:kern w:val="2"/>
      <w:sz w:val="18"/>
      <w:szCs w:val="24"/>
    </w:rPr>
  </w:style>
  <w:style w:type="paragraph" w:customStyle="1" w:styleId="79">
    <w:name w:val="样式 自动设置"/>
    <w:basedOn w:val="1"/>
    <w:qFormat/>
    <w:uiPriority w:val="0"/>
    <w:pPr>
      <w:autoSpaceDE w:val="0"/>
      <w:autoSpaceDN w:val="0"/>
      <w:adjustRightInd w:val="0"/>
      <w:snapToGrid w:val="0"/>
      <w:spacing w:beforeLines="50" w:line="288" w:lineRule="auto"/>
      <w:ind w:firstLine="200" w:firstLineChars="200"/>
    </w:pPr>
    <w:rPr>
      <w:rFonts w:cs="宋体"/>
      <w:sz w:val="24"/>
      <w:szCs w:val="20"/>
    </w:rPr>
  </w:style>
  <w:style w:type="paragraph" w:customStyle="1" w:styleId="80">
    <w:name w:val="Default"/>
    <w:qFormat/>
    <w:uiPriority w:val="0"/>
    <w:pPr>
      <w:widowControl w:val="0"/>
      <w:autoSpaceDE w:val="0"/>
      <w:autoSpaceDN w:val="0"/>
      <w:adjustRightInd w:val="0"/>
    </w:pPr>
    <w:rPr>
      <w:rFonts w:ascii="方正黑体_GBK" w:hAnsi="Cambria" w:eastAsia="方正黑体_GBK" w:cs="方正黑体_GBK"/>
      <w:color w:val="000000"/>
      <w:sz w:val="24"/>
      <w:szCs w:val="24"/>
      <w:lang w:val="en-US" w:eastAsia="zh-CN" w:bidi="ar-SA"/>
    </w:rPr>
  </w:style>
  <w:style w:type="character" w:customStyle="1" w:styleId="81">
    <w:name w:val="first-child8"/>
    <w:qFormat/>
    <w:uiPriority w:val="0"/>
    <w:rPr>
      <w:color w:val="000000"/>
      <w:sz w:val="24"/>
      <w:szCs w:val="24"/>
      <w:bdr w:val="single" w:color="CC0000" w:sz="48" w:space="0"/>
      <w:shd w:val="clear" w:color="auto" w:fill="F5F5F5"/>
    </w:rPr>
  </w:style>
  <w:style w:type="character" w:customStyle="1" w:styleId="82">
    <w:name w:val="font41"/>
    <w:basedOn w:val="24"/>
    <w:qFormat/>
    <w:uiPriority w:val="0"/>
    <w:rPr>
      <w:rFonts w:hint="default" w:ascii="Times New Roman" w:hAnsi="Times New Roman" w:cs="Times New Roman"/>
      <w:color w:val="000000"/>
      <w:sz w:val="21"/>
      <w:szCs w:val="21"/>
      <w:u w:val="none"/>
      <w:vertAlign w:val="subscript"/>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2" Type="http://schemas.openxmlformats.org/officeDocument/2006/relationships/fontTable" Target="fontTable.xml"/><Relationship Id="rId41" Type="http://schemas.openxmlformats.org/officeDocument/2006/relationships/customXml" Target="../customXml/item2.xml"/><Relationship Id="rId40" Type="http://schemas.openxmlformats.org/officeDocument/2006/relationships/numbering" Target="numbering.xml"/><Relationship Id="rId4" Type="http://schemas.openxmlformats.org/officeDocument/2006/relationships/footer" Target="footer1.xml"/><Relationship Id="rId39" Type="http://schemas.openxmlformats.org/officeDocument/2006/relationships/customXml" Target="../customXml/item1.xml"/><Relationship Id="rId38" Type="http://schemas.openxmlformats.org/officeDocument/2006/relationships/image" Target="media/image17.wmf"/><Relationship Id="rId37" Type="http://schemas.openxmlformats.org/officeDocument/2006/relationships/oleObject" Target="embeddings/oleObject9.bin"/><Relationship Id="rId36" Type="http://schemas.openxmlformats.org/officeDocument/2006/relationships/image" Target="media/image16.wmf"/><Relationship Id="rId35" Type="http://schemas.openxmlformats.org/officeDocument/2006/relationships/oleObject" Target="embeddings/oleObject8.bin"/><Relationship Id="rId34" Type="http://schemas.openxmlformats.org/officeDocument/2006/relationships/image" Target="media/image15.png"/><Relationship Id="rId33" Type="http://schemas.openxmlformats.org/officeDocument/2006/relationships/image" Target="media/image14.png"/><Relationship Id="rId32" Type="http://schemas.openxmlformats.org/officeDocument/2006/relationships/image" Target="media/image13.png"/><Relationship Id="rId31" Type="http://schemas.openxmlformats.org/officeDocument/2006/relationships/image" Target="media/image12.png"/><Relationship Id="rId30" Type="http://schemas.openxmlformats.org/officeDocument/2006/relationships/image" Target="media/image11.png"/><Relationship Id="rId3" Type="http://schemas.openxmlformats.org/officeDocument/2006/relationships/header" Target="header1.xml"/><Relationship Id="rId29" Type="http://schemas.openxmlformats.org/officeDocument/2006/relationships/image" Target="media/image10.png"/><Relationship Id="rId28" Type="http://schemas.openxmlformats.org/officeDocument/2006/relationships/image" Target="media/image9.png"/><Relationship Id="rId27" Type="http://schemas.openxmlformats.org/officeDocument/2006/relationships/image" Target="media/image8.wmf"/><Relationship Id="rId26" Type="http://schemas.openxmlformats.org/officeDocument/2006/relationships/oleObject" Target="embeddings/oleObject7.bin"/><Relationship Id="rId25" Type="http://schemas.openxmlformats.org/officeDocument/2006/relationships/image" Target="media/image7.wmf"/><Relationship Id="rId24" Type="http://schemas.openxmlformats.org/officeDocument/2006/relationships/oleObject" Target="embeddings/oleObject6.bin"/><Relationship Id="rId23" Type="http://schemas.openxmlformats.org/officeDocument/2006/relationships/image" Target="media/image6.png"/><Relationship Id="rId22" Type="http://schemas.openxmlformats.org/officeDocument/2006/relationships/image" Target="media/image5.emf"/><Relationship Id="rId21" Type="http://schemas.openxmlformats.org/officeDocument/2006/relationships/oleObject" Target="embeddings/oleObject5.bin"/><Relationship Id="rId20" Type="http://schemas.openxmlformats.org/officeDocument/2006/relationships/image" Target="media/image4.emf"/><Relationship Id="rId2" Type="http://schemas.openxmlformats.org/officeDocument/2006/relationships/settings" Target="settings.xml"/><Relationship Id="rId19" Type="http://schemas.openxmlformats.org/officeDocument/2006/relationships/oleObject" Target="embeddings/oleObject4.bin"/><Relationship Id="rId18" Type="http://schemas.openxmlformats.org/officeDocument/2006/relationships/image" Target="media/image3.emf"/><Relationship Id="rId17" Type="http://schemas.openxmlformats.org/officeDocument/2006/relationships/oleObject" Target="embeddings/oleObject3.bin"/><Relationship Id="rId16" Type="http://schemas.openxmlformats.org/officeDocument/2006/relationships/image" Target="media/image2.emf"/><Relationship Id="rId15" Type="http://schemas.openxmlformats.org/officeDocument/2006/relationships/oleObject" Target="embeddings/oleObject2.bin"/><Relationship Id="rId14" Type="http://schemas.openxmlformats.org/officeDocument/2006/relationships/image" Target="media/image1.emf"/><Relationship Id="rId13" Type="http://schemas.openxmlformats.org/officeDocument/2006/relationships/oleObject" Target="embeddings/oleObject1.bin"/><Relationship Id="rId12" Type="http://schemas.openxmlformats.org/officeDocument/2006/relationships/theme" Target="theme/theme1.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3073"/>
    <customShpInfo spid="_x0000_s3074"/>
    <customShpInfo spid="_x0000_s2051"/>
    <customShpInfo spid="_x0000_s2052"/>
    <customShpInfo spid="_x0000_s2054"/>
    <customShpInfo spid="_x0000_s2055"/>
    <customShpInfo spid="_x0000_s2056"/>
    <customShpInfo spid="_x0000_s2057"/>
    <customShpInfo spid="_x0000_s2058"/>
    <customShpInfo spid="_x0000_s2060"/>
    <customShpInfo spid="_x0000_s2050"/>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1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09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EE869B4-0D54-4B2F-B0BA-05ECBB6E0CC9}">
  <ds:schemaRefs/>
</ds:datastoreItem>
</file>

<file path=docProps/app.xml><?xml version="1.0" encoding="utf-8"?>
<Properties xmlns="http://schemas.openxmlformats.org/officeDocument/2006/extended-properties" xmlns:vt="http://schemas.openxmlformats.org/officeDocument/2006/docPropsVTypes">
  <Template>wdzx97.dot</Template>
  <Company>微软中国</Company>
  <Pages>89</Pages>
  <Words>50074</Words>
  <Characters>57917</Characters>
  <Lines>407</Lines>
  <Paragraphs>114</Paragraphs>
  <TotalTime>4</TotalTime>
  <ScaleCrop>false</ScaleCrop>
  <LinksUpToDate>false</LinksUpToDate>
  <CharactersWithSpaces>58168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2021-12-15T05:05:00Z</dcterms:created>
  <dc:creator>lhj</dc:creator>
  <cp:lastModifiedBy>未来</cp:lastModifiedBy>
  <cp:lastPrinted>2022-03-08T06:58:00Z</cp:lastPrinted>
  <dcterms:modified xsi:type="dcterms:W3CDTF">2022-03-30T09:02:53Z</dcterms:modified>
  <dc:title>附件2</dc:title>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5D25F4796C814379ACA3CC8BCBF56A61</vt:lpwstr>
  </property>
</Properties>
</file>